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7669" w:rsidRDefault="00000000">
      <w:pPr>
        <w:pStyle w:val="af5"/>
        <w:jc w:val="left"/>
      </w:pPr>
      <w:bookmarkStart w:id="0" w:name="_Toc23748"/>
      <w:bookmarkStart w:id="1" w:name="_Toc7154"/>
      <w:bookmarkStart w:id="2" w:name="OLE_LINK7"/>
      <w:bookmarkEnd w:id="0"/>
      <w:bookmarkEnd w:id="1"/>
      <w:r>
        <w:rPr>
          <w:noProof/>
        </w:rPr>
        <w:drawing>
          <wp:inline distT="0" distB="0" distL="0" distR="0">
            <wp:extent cx="2699385" cy="984885"/>
            <wp:effectExtent l="0" t="0" r="5715" b="5715"/>
            <wp:docPr id="1026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3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9848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669" w:rsidRDefault="00E37669">
      <w:pPr>
        <w:ind w:firstLine="560"/>
      </w:pPr>
    </w:p>
    <w:p w:rsidR="00E37669" w:rsidRDefault="00E37669">
      <w:pPr>
        <w:ind w:firstLine="560"/>
      </w:pPr>
    </w:p>
    <w:p w:rsidR="00E37669" w:rsidRDefault="00000000">
      <w:pPr>
        <w:jc w:val="center"/>
        <w:rPr>
          <w:b/>
          <w:bCs/>
          <w:sz w:val="44"/>
          <w:szCs w:val="36"/>
        </w:rPr>
      </w:pPr>
      <w:bookmarkStart w:id="3" w:name="OLE_LINK8"/>
      <w:r>
        <w:rPr>
          <w:rFonts w:hint="eastAsia"/>
          <w:b/>
          <w:bCs/>
          <w:sz w:val="44"/>
          <w:szCs w:val="36"/>
        </w:rPr>
        <w:t>秦皇岛至沈阳高速公路松岭门至沈阳段</w:t>
      </w:r>
    </w:p>
    <w:p w:rsidR="00E37669" w:rsidRDefault="00000000">
      <w:pPr>
        <w:jc w:val="center"/>
        <w:rPr>
          <w:b/>
          <w:bCs/>
          <w:sz w:val="44"/>
          <w:szCs w:val="36"/>
        </w:rPr>
      </w:pPr>
      <w:r>
        <w:rPr>
          <w:rFonts w:hint="eastAsia"/>
          <w:b/>
          <w:bCs/>
          <w:sz w:val="44"/>
          <w:szCs w:val="36"/>
        </w:rPr>
        <w:t>秦沈项目经济运行情况汇报</w:t>
      </w:r>
    </w:p>
    <w:bookmarkEnd w:id="3"/>
    <w:p w:rsidR="00E37669" w:rsidRDefault="00E37669">
      <w:pPr>
        <w:ind w:firstLine="560"/>
      </w:pPr>
    </w:p>
    <w:p w:rsidR="00E37669" w:rsidRDefault="00E37669">
      <w:pPr>
        <w:ind w:firstLine="560"/>
      </w:pPr>
    </w:p>
    <w:p w:rsidR="00E37669" w:rsidRDefault="00000000">
      <w:pPr>
        <w:pStyle w:val="af5"/>
      </w:pPr>
      <w:r>
        <w:rPr>
          <w:noProof/>
        </w:rPr>
        <w:drawing>
          <wp:inline distT="0" distB="0" distL="0" distR="0">
            <wp:extent cx="5274310" cy="3422650"/>
            <wp:effectExtent l="0" t="0" r="2540" b="6350"/>
            <wp:docPr id="1027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8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669" w:rsidRDefault="00E37669">
      <w:pPr>
        <w:ind w:firstLine="560"/>
      </w:pPr>
    </w:p>
    <w:p w:rsidR="00E37669" w:rsidRDefault="00E37669">
      <w:pPr>
        <w:ind w:firstLine="560"/>
      </w:pPr>
    </w:p>
    <w:p w:rsidR="00E37669" w:rsidRDefault="00000000">
      <w:pPr>
        <w:jc w:val="center"/>
        <w:rPr>
          <w:rFonts w:cs="仿宋"/>
          <w:b/>
          <w:bCs/>
          <w:sz w:val="32"/>
          <w:szCs w:val="32"/>
        </w:rPr>
      </w:pPr>
      <w:bookmarkStart w:id="4" w:name="OLE_LINK9"/>
      <w:r>
        <w:rPr>
          <w:rFonts w:cs="仿宋" w:hint="eastAsia"/>
          <w:b/>
          <w:bCs/>
          <w:sz w:val="32"/>
          <w:szCs w:val="32"/>
        </w:rPr>
        <w:t>中交一航局秦沈高速公路总承包经理部</w:t>
      </w:r>
    </w:p>
    <w:p w:rsidR="00E37669" w:rsidRDefault="00000000">
      <w:pPr>
        <w:jc w:val="center"/>
        <w:rPr>
          <w:rFonts w:cs="仿宋"/>
          <w:b/>
          <w:bCs/>
          <w:sz w:val="32"/>
          <w:szCs w:val="32"/>
        </w:rPr>
      </w:pPr>
      <w:r>
        <w:rPr>
          <w:rFonts w:cs="仿宋" w:hint="eastAsia"/>
          <w:b/>
          <w:bCs/>
          <w:sz w:val="32"/>
          <w:szCs w:val="32"/>
        </w:rPr>
        <w:t>2026年3月7日</w:t>
      </w:r>
    </w:p>
    <w:bookmarkEnd w:id="2"/>
    <w:bookmarkEnd w:id="4"/>
    <w:p w:rsidR="00E37669" w:rsidRDefault="00E37669">
      <w:pPr>
        <w:widowControl/>
        <w:spacing w:after="160" w:line="278" w:lineRule="auto"/>
        <w:jc w:val="left"/>
        <w:rPr>
          <w:rFonts w:ascii="仿宋" w:eastAsia="仿宋" w:hAnsi="仿宋" w:cs="仿宋"/>
          <w:b/>
          <w:sz w:val="32"/>
          <w:szCs w:val="32"/>
        </w:rPr>
        <w:sectPr w:rsidR="00E37669">
          <w:footerReference w:type="even" r:id="rId9"/>
          <w:footerReference w:type="default" r:id="rId10"/>
          <w:pgSz w:w="11906" w:h="16838"/>
          <w:pgMar w:top="1440" w:right="1134" w:bottom="1440" w:left="1134" w:header="851" w:footer="992" w:gutter="0"/>
          <w:cols w:space="425"/>
          <w:titlePg/>
          <w:docGrid w:type="lines" w:linePitch="312"/>
        </w:sectPr>
      </w:pPr>
    </w:p>
    <w:sdt>
      <w:sdtPr>
        <w:rPr>
          <w:rFonts w:ascii="仿宋" w:eastAsia="仿宋" w:hAnsi="仿宋" w:cstheme="minorBidi"/>
          <w:b w:val="0"/>
          <w:bCs w:val="0"/>
          <w:color w:val="auto"/>
          <w:kern w:val="2"/>
          <w:sz w:val="30"/>
          <w:szCs w:val="30"/>
          <w:lang w:val="zh-CN"/>
        </w:rPr>
        <w:id w:val="-187322362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noProof/>
          <w:sz w:val="21"/>
          <w:szCs w:val="24"/>
          <w:lang w:val="en-US"/>
        </w:rPr>
      </w:sdtEndPr>
      <w:sdtContent>
        <w:p w:rsidR="002135AD" w:rsidRPr="00C40F81" w:rsidRDefault="002135AD" w:rsidP="00A52FD7">
          <w:pPr>
            <w:pStyle w:val="TOC"/>
            <w:adjustRightInd w:val="0"/>
            <w:snapToGrid w:val="0"/>
            <w:spacing w:before="0"/>
            <w:jc w:val="center"/>
            <w:rPr>
              <w:rFonts w:ascii="仿宋" w:eastAsia="仿宋" w:hAnsi="仿宋"/>
              <w:sz w:val="30"/>
              <w:szCs w:val="30"/>
            </w:rPr>
          </w:pPr>
          <w:r w:rsidRPr="00C40F81">
            <w:rPr>
              <w:rFonts w:ascii="仿宋" w:eastAsia="仿宋" w:hAnsi="仿宋"/>
              <w:sz w:val="30"/>
              <w:szCs w:val="30"/>
              <w:lang w:val="zh-CN"/>
            </w:rPr>
            <w:t>目</w:t>
          </w:r>
          <w:r w:rsidR="00386C76" w:rsidRPr="00C40F81">
            <w:rPr>
              <w:rFonts w:ascii="仿宋" w:eastAsia="仿宋" w:hAnsi="仿宋" w:hint="eastAsia"/>
              <w:sz w:val="30"/>
              <w:szCs w:val="30"/>
              <w:lang w:val="zh-CN"/>
            </w:rPr>
            <w:t xml:space="preserve">  </w:t>
          </w:r>
          <w:r w:rsidRPr="00C40F81">
            <w:rPr>
              <w:rFonts w:ascii="仿宋" w:eastAsia="仿宋" w:hAnsi="仿宋"/>
              <w:sz w:val="30"/>
              <w:szCs w:val="30"/>
              <w:lang w:val="zh-CN"/>
            </w:rPr>
            <w:t>录</w:t>
          </w:r>
        </w:p>
        <w:p w:rsidR="00A52FD7" w:rsidRPr="00A52FD7" w:rsidRDefault="002135AD" w:rsidP="00A52FD7">
          <w:pPr>
            <w:pStyle w:val="TOC1"/>
            <w:adjustRightInd w:val="0"/>
            <w:snapToGrid w:val="0"/>
            <w:spacing w:line="276" w:lineRule="auto"/>
            <w:rPr>
              <w:rFonts w:ascii="仿宋" w:eastAsia="仿宋" w:hAnsi="仿宋"/>
              <w:b w:val="0"/>
              <w:bCs w:val="0"/>
              <w:caps w:val="0"/>
              <w:noProof/>
              <w:sz w:val="28"/>
              <w:szCs w:val="28"/>
              <w14:ligatures w14:val="standardContextual"/>
            </w:rPr>
          </w:pPr>
          <w:r w:rsidRPr="00A52FD7">
            <w:rPr>
              <w:rFonts w:ascii="仿宋" w:eastAsia="仿宋" w:hAnsi="仿宋"/>
              <w:sz w:val="28"/>
              <w:szCs w:val="28"/>
            </w:rPr>
            <w:fldChar w:fldCharType="begin"/>
          </w:r>
          <w:r w:rsidRPr="00A52FD7">
            <w:rPr>
              <w:rFonts w:ascii="仿宋" w:eastAsia="仿宋" w:hAnsi="仿宋"/>
              <w:sz w:val="28"/>
              <w:szCs w:val="28"/>
            </w:rPr>
            <w:instrText>TOC \o "1-3" \h \z \u</w:instrText>
          </w:r>
          <w:r w:rsidRPr="00A52FD7">
            <w:rPr>
              <w:rFonts w:ascii="仿宋" w:eastAsia="仿宋" w:hAnsi="仿宋"/>
              <w:sz w:val="28"/>
              <w:szCs w:val="28"/>
            </w:rPr>
            <w:fldChar w:fldCharType="separate"/>
          </w:r>
          <w:hyperlink w:anchor="_Toc223802481" w:history="1">
            <w:r w:rsidR="00A52FD7" w:rsidRPr="00A52FD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一、项目基本情况</w:t>
            </w:r>
            <w:r w:rsidR="00A52FD7"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="00A52FD7"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="00A52FD7"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_Toc223802481 \h </w:instrText>
            </w:r>
            <w:r w:rsidR="00A52FD7"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="00A52FD7"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="00A52FD7"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1</w:t>
            </w:r>
            <w:r w:rsidR="00A52FD7"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82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(一)工程概况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_Toc223802482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1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83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(二)组织架构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_Toc223802483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1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84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(三)建设合同履约情况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_Toc223802484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2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A52FD7" w:rsidRDefault="00A52FD7" w:rsidP="00A52FD7">
          <w:pPr>
            <w:pStyle w:val="TOC1"/>
            <w:adjustRightInd w:val="0"/>
            <w:snapToGrid w:val="0"/>
            <w:spacing w:line="276" w:lineRule="auto"/>
            <w:rPr>
              <w:rFonts w:ascii="仿宋" w:eastAsia="仿宋" w:hAnsi="仿宋"/>
              <w:b w:val="0"/>
              <w:bCs w:val="0"/>
              <w:caps w:val="0"/>
              <w:noProof/>
              <w:sz w:val="28"/>
              <w:szCs w:val="28"/>
              <w14:ligatures w14:val="standardContextual"/>
            </w:rPr>
          </w:pPr>
          <w:hyperlink w:anchor="_Toc223802485" w:history="1">
            <w:r w:rsidRPr="00A52FD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二、项目效益情况</w: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_Toc223802485 \h </w:instrTex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2</w: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86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(一)标后预算情况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_Toc223802486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2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87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(二)预收预本情况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_Toc223802487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2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88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(三)开累效益情况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_Toc223802488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3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A52FD7" w:rsidRDefault="00A52FD7" w:rsidP="00A52FD7">
          <w:pPr>
            <w:pStyle w:val="TOC1"/>
            <w:adjustRightInd w:val="0"/>
            <w:snapToGrid w:val="0"/>
            <w:spacing w:line="276" w:lineRule="auto"/>
            <w:rPr>
              <w:rFonts w:ascii="仿宋" w:eastAsia="仿宋" w:hAnsi="仿宋"/>
              <w:b w:val="0"/>
              <w:bCs w:val="0"/>
              <w:caps w:val="0"/>
              <w:noProof/>
              <w:sz w:val="28"/>
              <w:szCs w:val="28"/>
              <w14:ligatures w14:val="standardContextual"/>
            </w:rPr>
          </w:pPr>
          <w:hyperlink w:anchor="_Toc223802489" w:history="1">
            <w:r w:rsidRPr="00A52FD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三、主要盈、亏项执行情况分析</w: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_Toc223802489 \h </w:instrTex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3</w: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90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(一)盈利点执行情况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_Toc223802490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3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91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(二)亏损点执行情况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_Toc223802491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3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A52FD7" w:rsidRDefault="00A52FD7" w:rsidP="00A52FD7">
          <w:pPr>
            <w:pStyle w:val="TOC1"/>
            <w:adjustRightInd w:val="0"/>
            <w:snapToGrid w:val="0"/>
            <w:spacing w:line="276" w:lineRule="auto"/>
            <w:rPr>
              <w:rFonts w:ascii="仿宋" w:eastAsia="仿宋" w:hAnsi="仿宋"/>
              <w:b w:val="0"/>
              <w:bCs w:val="0"/>
              <w:caps w:val="0"/>
              <w:noProof/>
              <w:sz w:val="28"/>
              <w:szCs w:val="28"/>
              <w14:ligatures w14:val="standardContextual"/>
            </w:rPr>
          </w:pPr>
          <w:hyperlink w:anchor="_Toc223802492" w:history="1">
            <w:r w:rsidRPr="00A52FD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四、成本效益偏差分析与纠偏措施</w: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_Toc223802492 \h </w:instrTex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3</w: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93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(一)分包成本偏差分析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_Toc223802493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3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94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(二)材料费成本偏差分析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_Toc223802494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4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95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(三)船机设备费成本偏差分析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_Toc223802495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5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96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(四)临时设施成本偏差分析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_Toc223802496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5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97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(五)现场管理费成本偏差分析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_Toc223802497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6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498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(六)其他成本偏差分析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_Toc223802498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6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A52FD7" w:rsidRDefault="00A52FD7" w:rsidP="00A52FD7">
          <w:pPr>
            <w:pStyle w:val="TOC1"/>
            <w:adjustRightInd w:val="0"/>
            <w:snapToGrid w:val="0"/>
            <w:spacing w:line="276" w:lineRule="auto"/>
            <w:rPr>
              <w:rFonts w:ascii="仿宋" w:eastAsia="仿宋" w:hAnsi="仿宋"/>
              <w:b w:val="0"/>
              <w:bCs w:val="0"/>
              <w:caps w:val="0"/>
              <w:noProof/>
              <w:sz w:val="28"/>
              <w:szCs w:val="28"/>
              <w14:ligatures w14:val="standardContextual"/>
            </w:rPr>
          </w:pPr>
          <w:hyperlink w:anchor="_Toc223802499" w:history="1">
            <w:r w:rsidRPr="00A52FD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五、招采情况</w: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_Toc223802499 \h </w:instrTex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6</w: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500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(一)分包招采情况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_Toc223802500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7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501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(二)物资集采情况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_Toc223802501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7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502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(三)填料招采情况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_Toc223802502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7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A52FD7" w:rsidRDefault="00A52FD7" w:rsidP="00A52FD7">
          <w:pPr>
            <w:pStyle w:val="TOC1"/>
            <w:adjustRightInd w:val="0"/>
            <w:snapToGrid w:val="0"/>
            <w:spacing w:line="276" w:lineRule="auto"/>
            <w:rPr>
              <w:rFonts w:ascii="仿宋" w:eastAsia="仿宋" w:hAnsi="仿宋"/>
              <w:b w:val="0"/>
              <w:bCs w:val="0"/>
              <w:caps w:val="0"/>
              <w:noProof/>
              <w:sz w:val="28"/>
              <w:szCs w:val="28"/>
              <w14:ligatures w14:val="standardContextual"/>
            </w:rPr>
          </w:pPr>
          <w:hyperlink w:anchor="_Toc223802503" w:history="1">
            <w:r w:rsidRPr="00A52FD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六、需公司协调的问题</w: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_Toc223802503 \h </w:instrTex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8</w:t>
            </w:r>
            <w:r w:rsidRPr="00A52FD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925FA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504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(一)合规性管理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_Toc223802504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8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2FD7" w:rsidRPr="00A52FD7" w:rsidRDefault="00A52FD7" w:rsidP="00A52FD7">
          <w:pPr>
            <w:pStyle w:val="TOC2"/>
            <w:tabs>
              <w:tab w:val="right" w:leader="dot" w:pos="9628"/>
            </w:tabs>
            <w:adjustRightInd w:val="0"/>
            <w:snapToGrid w:val="0"/>
            <w:spacing w:line="276" w:lineRule="auto"/>
            <w:rPr>
              <w:rFonts w:ascii="仿宋" w:eastAsia="仿宋" w:hAnsi="仿宋"/>
              <w:smallCaps w:val="0"/>
              <w:noProof/>
              <w:sz w:val="28"/>
              <w:szCs w:val="28"/>
              <w14:ligatures w14:val="standardContextual"/>
            </w:rPr>
          </w:pPr>
          <w:hyperlink w:anchor="_Toc223802505" w:history="1">
            <w:r w:rsidRPr="00925FA7">
              <w:rPr>
                <w:rStyle w:val="af"/>
                <w:rFonts w:ascii="仿宋" w:eastAsia="仿宋" w:hAnsi="仿宋" w:cs="仿宋"/>
                <w:noProof/>
                <w:sz w:val="28"/>
                <w:szCs w:val="28"/>
              </w:rPr>
              <w:t>(二)资金支持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ab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begin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instrText xml:space="preserve"> PAGEREF _Toc223802505 \h </w:instrTex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separate"/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t>8</w:t>
            </w:r>
            <w:r w:rsidRPr="00925FA7">
              <w:rPr>
                <w:rFonts w:ascii="仿宋" w:eastAsia="仿宋" w:hAnsi="仿宋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35AD" w:rsidRDefault="002135AD" w:rsidP="00A52FD7">
          <w:pPr>
            <w:adjustRightInd w:val="0"/>
            <w:snapToGrid w:val="0"/>
            <w:spacing w:line="276" w:lineRule="auto"/>
          </w:pPr>
          <w:r w:rsidRPr="00A52FD7">
            <w:rPr>
              <w:rFonts w:ascii="仿宋" w:eastAsia="仿宋" w:hAnsi="仿宋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E37669" w:rsidRDefault="00E37669" w:rsidP="00836494">
      <w:pPr>
        <w:pStyle w:val="1"/>
        <w:spacing w:before="0" w:after="0" w:line="276" w:lineRule="auto"/>
        <w:rPr>
          <w:rFonts w:ascii="仿宋" w:eastAsia="仿宋" w:hAnsi="仿宋" w:cs="仿宋"/>
          <w:b/>
          <w:color w:val="auto"/>
          <w:sz w:val="32"/>
          <w:szCs w:val="32"/>
        </w:rPr>
        <w:sectPr w:rsidR="00E37669">
          <w:pgSz w:w="11906" w:h="16838"/>
          <w:pgMar w:top="1440" w:right="1134" w:bottom="1440" w:left="1134" w:header="851" w:footer="992" w:gutter="0"/>
          <w:cols w:space="425"/>
          <w:titlePg/>
          <w:docGrid w:type="lines" w:linePitch="312"/>
        </w:sectPr>
      </w:pPr>
    </w:p>
    <w:p w:rsidR="00E37669" w:rsidRDefault="00000000">
      <w:pPr>
        <w:pStyle w:val="1"/>
        <w:spacing w:before="0" w:after="0"/>
        <w:rPr>
          <w:rFonts w:ascii="仿宋" w:eastAsia="仿宋" w:hAnsi="仿宋" w:cs="仿宋"/>
          <w:b/>
          <w:sz w:val="32"/>
          <w:szCs w:val="32"/>
        </w:rPr>
      </w:pPr>
      <w:bookmarkStart w:id="5" w:name="_Toc19483"/>
      <w:bookmarkStart w:id="6" w:name="_Toc18881"/>
      <w:bookmarkStart w:id="7" w:name="_Toc223802481"/>
      <w:r>
        <w:rPr>
          <w:rFonts w:ascii="仿宋" w:eastAsia="仿宋" w:hAnsi="仿宋" w:cs="仿宋" w:hint="eastAsia"/>
          <w:b/>
          <w:color w:val="auto"/>
          <w:sz w:val="32"/>
          <w:szCs w:val="32"/>
        </w:rPr>
        <w:lastRenderedPageBreak/>
        <w:t>一</w:t>
      </w:r>
      <w:r>
        <w:rPr>
          <w:rFonts w:ascii="仿宋" w:eastAsia="仿宋" w:hAnsi="仿宋" w:cs="仿宋" w:hint="eastAsia"/>
          <w:b/>
          <w:sz w:val="32"/>
          <w:szCs w:val="32"/>
        </w:rPr>
        <w:t>、</w:t>
      </w:r>
      <w:r>
        <w:rPr>
          <w:rFonts w:ascii="仿宋" w:eastAsia="仿宋" w:hAnsi="仿宋" w:cs="仿宋" w:hint="eastAsia"/>
          <w:b/>
          <w:color w:val="auto"/>
          <w:sz w:val="32"/>
          <w:szCs w:val="32"/>
        </w:rPr>
        <w:t>项目基本情况</w:t>
      </w:r>
      <w:bookmarkEnd w:id="5"/>
      <w:bookmarkEnd w:id="6"/>
      <w:bookmarkEnd w:id="7"/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8" w:name="_Toc17355"/>
      <w:bookmarkStart w:id="9" w:name="_Toc764"/>
      <w:bookmarkStart w:id="10" w:name="_Toc223802482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(一)工程概况</w:t>
      </w:r>
      <w:bookmarkEnd w:id="8"/>
      <w:bookmarkEnd w:id="9"/>
      <w:bookmarkEnd w:id="10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一航局承建六、七标段施工里程为46.01公里，途径黑山县和新民市两个县市。项目路基零挖方，路基处理及填筑土石方约940万方；共设置桥梁72座，其中特大桥2座(长度约7公里)，预制T梁5223榀；主线及匝道涵洞94道；垫层及水稳基层147.9万吨，沥青路面55.6万吨；互通枢纽立交3处(1处预留)，房建1处及沿线交安工程、机电工程、绿化及环境保护工程，其中绕阳河特大桥、柳河沟互通枢纽(跨辽中环线高速公路部分)及辽河特大桥为标段内重点控制性工程。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98"/>
        <w:gridCol w:w="2396"/>
        <w:gridCol w:w="6414"/>
      </w:tblGrid>
      <w:tr w:rsidR="00E37669">
        <w:trPr>
          <w:jc w:val="center"/>
        </w:trPr>
        <w:tc>
          <w:tcPr>
            <w:tcW w:w="41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序号</w:t>
            </w:r>
          </w:p>
        </w:tc>
        <w:tc>
          <w:tcPr>
            <w:tcW w:w="1247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项目</w:t>
            </w:r>
          </w:p>
        </w:tc>
        <w:tc>
          <w:tcPr>
            <w:tcW w:w="333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内容</w:t>
            </w:r>
          </w:p>
        </w:tc>
      </w:tr>
      <w:tr w:rsidR="00E37669">
        <w:trPr>
          <w:jc w:val="center"/>
        </w:trPr>
        <w:tc>
          <w:tcPr>
            <w:tcW w:w="41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1</w:t>
            </w:r>
          </w:p>
        </w:tc>
        <w:tc>
          <w:tcPr>
            <w:tcW w:w="1247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工程名称</w:t>
            </w:r>
          </w:p>
        </w:tc>
        <w:tc>
          <w:tcPr>
            <w:tcW w:w="333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秦皇岛至沈阳高速公路(松岭门至沈阳段)项目</w:t>
            </w:r>
          </w:p>
        </w:tc>
      </w:tr>
      <w:tr w:rsidR="00E37669">
        <w:trPr>
          <w:jc w:val="center"/>
        </w:trPr>
        <w:tc>
          <w:tcPr>
            <w:tcW w:w="41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2</w:t>
            </w:r>
          </w:p>
        </w:tc>
        <w:tc>
          <w:tcPr>
            <w:tcW w:w="1247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工程地址</w:t>
            </w:r>
          </w:p>
        </w:tc>
        <w:tc>
          <w:tcPr>
            <w:tcW w:w="333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辽宁省沈阳市新民市</w:t>
            </w:r>
          </w:p>
        </w:tc>
      </w:tr>
      <w:tr w:rsidR="00E37669">
        <w:trPr>
          <w:jc w:val="center"/>
        </w:trPr>
        <w:tc>
          <w:tcPr>
            <w:tcW w:w="41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3</w:t>
            </w:r>
          </w:p>
        </w:tc>
        <w:tc>
          <w:tcPr>
            <w:tcW w:w="1247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工程类型</w:t>
            </w:r>
          </w:p>
        </w:tc>
        <w:tc>
          <w:tcPr>
            <w:tcW w:w="333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公路工程</w:t>
            </w:r>
          </w:p>
        </w:tc>
      </w:tr>
      <w:tr w:rsidR="00E37669">
        <w:trPr>
          <w:jc w:val="center"/>
        </w:trPr>
        <w:tc>
          <w:tcPr>
            <w:tcW w:w="41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4</w:t>
            </w:r>
          </w:p>
        </w:tc>
        <w:tc>
          <w:tcPr>
            <w:tcW w:w="1247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工程承包模式</w:t>
            </w:r>
          </w:p>
        </w:tc>
        <w:tc>
          <w:tcPr>
            <w:tcW w:w="333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BOT模式</w:t>
            </w:r>
          </w:p>
        </w:tc>
      </w:tr>
      <w:tr w:rsidR="00E37669">
        <w:trPr>
          <w:jc w:val="center"/>
        </w:trPr>
        <w:tc>
          <w:tcPr>
            <w:tcW w:w="41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5</w:t>
            </w:r>
          </w:p>
        </w:tc>
        <w:tc>
          <w:tcPr>
            <w:tcW w:w="1247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业主单位</w:t>
            </w:r>
          </w:p>
        </w:tc>
        <w:tc>
          <w:tcPr>
            <w:tcW w:w="333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辽宁中交秦沈高速公路有限公司</w:t>
            </w:r>
          </w:p>
        </w:tc>
      </w:tr>
      <w:tr w:rsidR="00E37669">
        <w:trPr>
          <w:jc w:val="center"/>
        </w:trPr>
        <w:tc>
          <w:tcPr>
            <w:tcW w:w="41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6</w:t>
            </w:r>
          </w:p>
        </w:tc>
        <w:tc>
          <w:tcPr>
            <w:tcW w:w="1247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设计单位</w:t>
            </w:r>
          </w:p>
        </w:tc>
        <w:tc>
          <w:tcPr>
            <w:tcW w:w="333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辽宁省交通规划设计院有限责任公司</w:t>
            </w:r>
          </w:p>
        </w:tc>
      </w:tr>
      <w:tr w:rsidR="00E37669">
        <w:trPr>
          <w:jc w:val="center"/>
        </w:trPr>
        <w:tc>
          <w:tcPr>
            <w:tcW w:w="41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7</w:t>
            </w:r>
          </w:p>
        </w:tc>
        <w:tc>
          <w:tcPr>
            <w:tcW w:w="1247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监理单位</w:t>
            </w:r>
          </w:p>
        </w:tc>
        <w:tc>
          <w:tcPr>
            <w:tcW w:w="333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辽宁驰通工程管理有限公司</w:t>
            </w:r>
          </w:p>
        </w:tc>
      </w:tr>
      <w:tr w:rsidR="00E37669">
        <w:trPr>
          <w:jc w:val="center"/>
        </w:trPr>
        <w:tc>
          <w:tcPr>
            <w:tcW w:w="41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8</w:t>
            </w:r>
          </w:p>
        </w:tc>
        <w:tc>
          <w:tcPr>
            <w:tcW w:w="1247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合同总工期</w:t>
            </w:r>
          </w:p>
        </w:tc>
        <w:tc>
          <w:tcPr>
            <w:tcW w:w="3338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1220天(2025年5月21日～2028年9月22日)</w:t>
            </w:r>
          </w:p>
        </w:tc>
      </w:tr>
      <w:tr w:rsidR="00E37669">
        <w:trPr>
          <w:jc w:val="center"/>
        </w:trPr>
        <w:tc>
          <w:tcPr>
            <w:tcW w:w="41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9</w:t>
            </w:r>
          </w:p>
        </w:tc>
        <w:tc>
          <w:tcPr>
            <w:tcW w:w="1247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实际总工期</w:t>
            </w:r>
          </w:p>
        </w:tc>
        <w:tc>
          <w:tcPr>
            <w:tcW w:w="3338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893天(2025年5月21日～2027年10月31日)</w:t>
            </w:r>
          </w:p>
        </w:tc>
      </w:tr>
      <w:tr w:rsidR="00E37669">
        <w:trPr>
          <w:jc w:val="center"/>
        </w:trPr>
        <w:tc>
          <w:tcPr>
            <w:tcW w:w="41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 w:val="24"/>
              </w:rPr>
            </w:pPr>
            <w:r>
              <w:rPr>
                <w:rFonts w:ascii="仿宋" w:eastAsia="仿宋" w:hAnsi="仿宋" w:cs="仿宋" w:hint="eastAsia"/>
                <w:kern w:val="44"/>
                <w:sz w:val="24"/>
              </w:rPr>
              <w:t>10</w:t>
            </w:r>
          </w:p>
        </w:tc>
        <w:tc>
          <w:tcPr>
            <w:tcW w:w="1247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其他内容</w:t>
            </w:r>
          </w:p>
        </w:tc>
        <w:tc>
          <w:tcPr>
            <w:tcW w:w="333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 w:val="24"/>
              </w:rPr>
            </w:pPr>
            <w:r>
              <w:rPr>
                <w:rFonts w:ascii="仿宋" w:eastAsia="仿宋" w:hAnsi="仿宋" w:cs="仿宋" w:hint="eastAsia"/>
                <w:spacing w:val="22"/>
                <w:sz w:val="24"/>
              </w:rPr>
              <w:t>/</w:t>
            </w:r>
          </w:p>
        </w:tc>
      </w:tr>
    </w:tbl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11" w:name="_Toc15829"/>
      <w:bookmarkStart w:id="12" w:name="_Toc5161"/>
      <w:bookmarkStart w:id="13" w:name="_Toc223802483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(二)组织架构</w:t>
      </w:r>
      <w:bookmarkEnd w:id="11"/>
      <w:bookmarkEnd w:id="12"/>
      <w:bookmarkEnd w:id="13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项目部实行“总包部+标段”一体化管理模式，下设“七部二室一中心”；六、七标各设置一名执行经理负责各自标段内现场实施。</w:t>
      </w:r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现场管理人员合计145人。其中，领导班子16人，管理人员79人，班组人员50人。</w:t>
      </w:r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14" w:name="_Toc3224"/>
      <w:bookmarkStart w:id="15" w:name="_Toc22773"/>
      <w:bookmarkStart w:id="16" w:name="_Toc223802484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lastRenderedPageBreak/>
        <w:t>(三)</w:t>
      </w:r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建设合同履约情况</w:t>
      </w:r>
      <w:bookmarkEnd w:id="14"/>
      <w:bookmarkEnd w:id="15"/>
      <w:bookmarkEnd w:id="16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截至202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/>
          <w:sz w:val="32"/>
          <w:szCs w:val="32"/>
        </w:rPr>
        <w:t>月底，项目已完施工产值5.3亿元，占总产值32.99亿的16.1%；其中六标段完成产值1.2亿，占总产值6.56亿的18.3%；七标段完成产值4.1亿，占总产值26.43亿的15.5%。计量金额5.0384亿元，计量产值比95%。</w:t>
      </w:r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bCs/>
          <w:sz w:val="32"/>
          <w:szCs w:val="32"/>
        </w:rPr>
      </w:pPr>
      <w:r>
        <w:rPr>
          <w:rFonts w:ascii="仿宋" w:eastAsia="仿宋" w:hAnsi="仿宋" w:cs="仿宋" w:hint="eastAsia"/>
          <w:bCs/>
          <w:sz w:val="32"/>
          <w:szCs w:val="32"/>
        </w:rPr>
        <w:t>开累收款61,207.8万元，开累收款计量比121.48%。(其中预付款24,695.4万元，进度款36,512.4万元)。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9"/>
        <w:gridCol w:w="2536"/>
        <w:gridCol w:w="2694"/>
        <w:gridCol w:w="2494"/>
      </w:tblGrid>
      <w:tr w:rsidR="00E37669">
        <w:trPr>
          <w:jc w:val="center"/>
        </w:trPr>
        <w:tc>
          <w:tcPr>
            <w:tcW w:w="739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序号</w:t>
            </w:r>
          </w:p>
        </w:tc>
        <w:tc>
          <w:tcPr>
            <w:tcW w:w="2536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项目</w:t>
            </w:r>
          </w:p>
        </w:tc>
        <w:tc>
          <w:tcPr>
            <w:tcW w:w="2694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内容</w:t>
            </w:r>
          </w:p>
        </w:tc>
        <w:tc>
          <w:tcPr>
            <w:tcW w:w="2494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备注</w:t>
            </w:r>
          </w:p>
        </w:tc>
      </w:tr>
      <w:tr w:rsidR="00E37669">
        <w:trPr>
          <w:jc w:val="center"/>
        </w:trPr>
        <w:tc>
          <w:tcPr>
            <w:tcW w:w="739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1</w:t>
            </w:r>
          </w:p>
        </w:tc>
        <w:tc>
          <w:tcPr>
            <w:tcW w:w="2536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原合同签约金额</w:t>
            </w:r>
          </w:p>
        </w:tc>
        <w:tc>
          <w:tcPr>
            <w:tcW w:w="2694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329,907.20</w:t>
            </w:r>
          </w:p>
        </w:tc>
        <w:tc>
          <w:tcPr>
            <w:tcW w:w="2494" w:type="dxa"/>
            <w:vAlign w:val="center"/>
          </w:tcPr>
          <w:p w:rsidR="00E37669" w:rsidRDefault="00E37669">
            <w:pPr>
              <w:spacing w:line="276" w:lineRule="auto"/>
              <w:ind w:firstLine="568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E37669">
        <w:trPr>
          <w:jc w:val="center"/>
        </w:trPr>
        <w:tc>
          <w:tcPr>
            <w:tcW w:w="739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2</w:t>
            </w:r>
          </w:p>
        </w:tc>
        <w:tc>
          <w:tcPr>
            <w:tcW w:w="2536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已批复变更索赔</w:t>
            </w:r>
          </w:p>
        </w:tc>
        <w:tc>
          <w:tcPr>
            <w:tcW w:w="2694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39.84</w:t>
            </w:r>
          </w:p>
        </w:tc>
        <w:tc>
          <w:tcPr>
            <w:tcW w:w="2494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已批复未计量</w:t>
            </w:r>
          </w:p>
        </w:tc>
      </w:tr>
      <w:tr w:rsidR="00E37669">
        <w:trPr>
          <w:jc w:val="center"/>
        </w:trPr>
        <w:tc>
          <w:tcPr>
            <w:tcW w:w="739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3</w:t>
            </w:r>
          </w:p>
        </w:tc>
        <w:tc>
          <w:tcPr>
            <w:tcW w:w="2536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开累完成产值</w:t>
            </w:r>
          </w:p>
        </w:tc>
        <w:tc>
          <w:tcPr>
            <w:tcW w:w="2694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53,000.50</w:t>
            </w:r>
          </w:p>
        </w:tc>
        <w:tc>
          <w:tcPr>
            <w:tcW w:w="2494" w:type="dxa"/>
            <w:vAlign w:val="center"/>
          </w:tcPr>
          <w:p w:rsidR="00E37669" w:rsidRDefault="00E37669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E37669">
        <w:trPr>
          <w:jc w:val="center"/>
        </w:trPr>
        <w:tc>
          <w:tcPr>
            <w:tcW w:w="739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4</w:t>
            </w:r>
          </w:p>
        </w:tc>
        <w:tc>
          <w:tcPr>
            <w:tcW w:w="2536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开累批复计量金额</w:t>
            </w:r>
          </w:p>
        </w:tc>
        <w:tc>
          <w:tcPr>
            <w:tcW w:w="2694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50,384.03</w:t>
            </w:r>
          </w:p>
        </w:tc>
        <w:tc>
          <w:tcPr>
            <w:tcW w:w="2494" w:type="dxa"/>
            <w:vAlign w:val="center"/>
          </w:tcPr>
          <w:p w:rsidR="00E37669" w:rsidRDefault="00E37669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E37669">
        <w:trPr>
          <w:jc w:val="center"/>
        </w:trPr>
        <w:tc>
          <w:tcPr>
            <w:tcW w:w="739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5</w:t>
            </w:r>
          </w:p>
        </w:tc>
        <w:tc>
          <w:tcPr>
            <w:tcW w:w="2536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开累计量产值比</w:t>
            </w:r>
          </w:p>
        </w:tc>
        <w:tc>
          <w:tcPr>
            <w:tcW w:w="2694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95.1%</w:t>
            </w:r>
          </w:p>
        </w:tc>
        <w:tc>
          <w:tcPr>
            <w:tcW w:w="2494" w:type="dxa"/>
            <w:vAlign w:val="center"/>
          </w:tcPr>
          <w:p w:rsidR="00E37669" w:rsidRDefault="00000000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(4/3)</w:t>
            </w:r>
          </w:p>
        </w:tc>
      </w:tr>
      <w:tr w:rsidR="00E37669">
        <w:trPr>
          <w:jc w:val="center"/>
        </w:trPr>
        <w:tc>
          <w:tcPr>
            <w:tcW w:w="739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6</w:t>
            </w:r>
          </w:p>
        </w:tc>
        <w:tc>
          <w:tcPr>
            <w:tcW w:w="2536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开累业主支付金额</w:t>
            </w:r>
          </w:p>
        </w:tc>
        <w:tc>
          <w:tcPr>
            <w:tcW w:w="2694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61,207.80</w:t>
            </w:r>
          </w:p>
        </w:tc>
        <w:tc>
          <w:tcPr>
            <w:tcW w:w="2494" w:type="dxa"/>
            <w:vAlign w:val="center"/>
          </w:tcPr>
          <w:p w:rsidR="00E37669" w:rsidRDefault="00E37669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E37669">
        <w:trPr>
          <w:jc w:val="center"/>
        </w:trPr>
        <w:tc>
          <w:tcPr>
            <w:tcW w:w="739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7</w:t>
            </w:r>
          </w:p>
        </w:tc>
        <w:tc>
          <w:tcPr>
            <w:tcW w:w="2536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开累支付计量比</w:t>
            </w:r>
          </w:p>
        </w:tc>
        <w:tc>
          <w:tcPr>
            <w:tcW w:w="2694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121.48%</w:t>
            </w:r>
          </w:p>
        </w:tc>
        <w:tc>
          <w:tcPr>
            <w:tcW w:w="2494" w:type="dxa"/>
            <w:vAlign w:val="center"/>
          </w:tcPr>
          <w:p w:rsidR="00E37669" w:rsidRDefault="00000000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(6/4)</w:t>
            </w:r>
          </w:p>
        </w:tc>
      </w:tr>
      <w:tr w:rsidR="00E37669">
        <w:trPr>
          <w:jc w:val="center"/>
        </w:trPr>
        <w:tc>
          <w:tcPr>
            <w:tcW w:w="739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9</w:t>
            </w:r>
          </w:p>
        </w:tc>
        <w:tc>
          <w:tcPr>
            <w:tcW w:w="2536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质保金金额</w:t>
            </w:r>
          </w:p>
        </w:tc>
        <w:tc>
          <w:tcPr>
            <w:tcW w:w="2694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1,007.68</w:t>
            </w:r>
          </w:p>
        </w:tc>
        <w:tc>
          <w:tcPr>
            <w:tcW w:w="2494" w:type="dxa"/>
            <w:vAlign w:val="center"/>
          </w:tcPr>
          <w:p w:rsidR="00E37669" w:rsidRDefault="00E37669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E37669">
        <w:trPr>
          <w:jc w:val="center"/>
        </w:trPr>
        <w:tc>
          <w:tcPr>
            <w:tcW w:w="739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10</w:t>
            </w:r>
          </w:p>
        </w:tc>
        <w:tc>
          <w:tcPr>
            <w:tcW w:w="2536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其他保证金金额</w:t>
            </w:r>
          </w:p>
        </w:tc>
        <w:tc>
          <w:tcPr>
            <w:tcW w:w="2694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755.76</w:t>
            </w:r>
          </w:p>
        </w:tc>
        <w:tc>
          <w:tcPr>
            <w:tcW w:w="2494" w:type="dxa"/>
            <w:vAlign w:val="center"/>
          </w:tcPr>
          <w:p w:rsidR="00E37669" w:rsidRDefault="00E37669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E37669">
        <w:trPr>
          <w:jc w:val="center"/>
        </w:trPr>
        <w:tc>
          <w:tcPr>
            <w:tcW w:w="739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11</w:t>
            </w:r>
          </w:p>
        </w:tc>
        <w:tc>
          <w:tcPr>
            <w:tcW w:w="2536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其中合同履约奖励</w:t>
            </w:r>
          </w:p>
        </w:tc>
        <w:tc>
          <w:tcPr>
            <w:tcW w:w="2694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148.38</w:t>
            </w:r>
          </w:p>
        </w:tc>
        <w:tc>
          <w:tcPr>
            <w:tcW w:w="2494" w:type="dxa"/>
            <w:vAlign w:val="center"/>
          </w:tcPr>
          <w:p w:rsidR="00E37669" w:rsidRDefault="00E37669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E37669">
        <w:trPr>
          <w:jc w:val="center"/>
        </w:trPr>
        <w:tc>
          <w:tcPr>
            <w:tcW w:w="739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12</w:t>
            </w:r>
          </w:p>
        </w:tc>
        <w:tc>
          <w:tcPr>
            <w:tcW w:w="2536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其中合同履约罚款</w:t>
            </w:r>
          </w:p>
        </w:tc>
        <w:tc>
          <w:tcPr>
            <w:tcW w:w="2694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33.91</w:t>
            </w:r>
          </w:p>
        </w:tc>
        <w:tc>
          <w:tcPr>
            <w:tcW w:w="2494" w:type="dxa"/>
            <w:vAlign w:val="center"/>
          </w:tcPr>
          <w:p w:rsidR="00E37669" w:rsidRDefault="00E37669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  <w:tr w:rsidR="00E37669">
        <w:trPr>
          <w:jc w:val="center"/>
        </w:trPr>
        <w:tc>
          <w:tcPr>
            <w:tcW w:w="739" w:type="dxa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44"/>
                <w:szCs w:val="21"/>
              </w:rPr>
            </w:pPr>
            <w:r>
              <w:rPr>
                <w:rFonts w:ascii="仿宋" w:eastAsia="仿宋" w:hAnsi="仿宋" w:cs="仿宋" w:hint="eastAsia"/>
                <w:kern w:val="44"/>
                <w:szCs w:val="21"/>
              </w:rPr>
              <w:t>13</w:t>
            </w:r>
          </w:p>
        </w:tc>
        <w:tc>
          <w:tcPr>
            <w:tcW w:w="2536" w:type="dxa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spacing w:val="22"/>
                <w:szCs w:val="21"/>
              </w:rPr>
            </w:pPr>
            <w:r>
              <w:rPr>
                <w:rFonts w:ascii="仿宋" w:eastAsia="仿宋" w:hAnsi="仿宋" w:cs="仿宋" w:hint="eastAsia"/>
                <w:spacing w:val="22"/>
                <w:szCs w:val="21"/>
              </w:rPr>
              <w:t>其他内容</w:t>
            </w:r>
          </w:p>
        </w:tc>
        <w:tc>
          <w:tcPr>
            <w:tcW w:w="2694" w:type="dxa"/>
            <w:vAlign w:val="center"/>
          </w:tcPr>
          <w:p w:rsidR="00E37669" w:rsidRDefault="00E37669">
            <w:pPr>
              <w:spacing w:line="276" w:lineRule="auto"/>
              <w:jc w:val="center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  <w:tc>
          <w:tcPr>
            <w:tcW w:w="2494" w:type="dxa"/>
            <w:vAlign w:val="center"/>
          </w:tcPr>
          <w:p w:rsidR="00E37669" w:rsidRDefault="00E37669">
            <w:pPr>
              <w:spacing w:line="276" w:lineRule="auto"/>
              <w:ind w:firstLine="568"/>
              <w:rPr>
                <w:rFonts w:ascii="仿宋" w:eastAsia="仿宋" w:hAnsi="仿宋" w:cs="仿宋"/>
                <w:spacing w:val="22"/>
                <w:szCs w:val="21"/>
              </w:rPr>
            </w:pPr>
          </w:p>
        </w:tc>
      </w:tr>
    </w:tbl>
    <w:p w:rsidR="00E37669" w:rsidRDefault="00000000">
      <w:pPr>
        <w:pStyle w:val="1"/>
        <w:spacing w:before="0" w:after="0"/>
        <w:rPr>
          <w:rFonts w:ascii="仿宋" w:eastAsia="仿宋" w:hAnsi="仿宋" w:cs="仿宋"/>
          <w:b/>
          <w:color w:val="auto"/>
          <w:sz w:val="32"/>
          <w:szCs w:val="32"/>
        </w:rPr>
      </w:pPr>
      <w:bookmarkStart w:id="17" w:name="_Toc2333"/>
      <w:bookmarkStart w:id="18" w:name="_Toc21704"/>
      <w:bookmarkStart w:id="19" w:name="_Toc223802485"/>
      <w:r>
        <w:rPr>
          <w:rFonts w:ascii="仿宋" w:eastAsia="仿宋" w:hAnsi="仿宋" w:cs="仿宋" w:hint="eastAsia"/>
          <w:b/>
          <w:color w:val="auto"/>
          <w:sz w:val="32"/>
          <w:szCs w:val="32"/>
        </w:rPr>
        <w:t>二、项目效益情况</w:t>
      </w:r>
      <w:bookmarkEnd w:id="17"/>
      <w:bookmarkEnd w:id="18"/>
      <w:bookmarkEnd w:id="19"/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20" w:name="_Toc15064"/>
      <w:bookmarkStart w:id="21" w:name="_Toc10523"/>
      <w:bookmarkStart w:id="22" w:name="_Toc223802486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(一)标后预算情况</w:t>
      </w:r>
      <w:bookmarkEnd w:id="20"/>
      <w:bookmarkEnd w:id="21"/>
      <w:bookmarkEnd w:id="22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本项目标后预算(暂定)预计完工总收入312,722万元，预计完工总支出233,622万元，预计项目盈利金额79,101万元，利润率为25.29%。                     </w:t>
      </w:r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23" w:name="_Toc19128"/>
      <w:bookmarkStart w:id="24" w:name="_Toc8559"/>
      <w:bookmarkStart w:id="25" w:name="_Toc223802487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(二)预收预本情况</w:t>
      </w:r>
      <w:bookmarkEnd w:id="23"/>
      <w:bookmarkEnd w:id="24"/>
      <w:bookmarkEnd w:id="25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预计完工总收入312,722万元，预计完工总支出233,066万元，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预计项目盈利金额79,656万元，利润率为25.47%，标后盈利金额1,250.15万元，较标后预算增加盈利金额555万元，较标后预算利润率提高1.01%。</w:t>
      </w:r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26" w:name="_Toc6928"/>
      <w:bookmarkStart w:id="27" w:name="_Toc12921"/>
      <w:bookmarkStart w:id="28" w:name="_Toc223802488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(三)开累效益情况</w:t>
      </w:r>
      <w:bookmarkEnd w:id="26"/>
      <w:bookmarkEnd w:id="27"/>
      <w:bookmarkEnd w:id="28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截至2025年末，项目开累总收入46,338万元，开累总支出34,098万元，项目盈利金额12,240万元，利润率为26.42%，对应公司标后预算收入增加盈利金额172万元，较标后预算收入利润率提高0.56%。</w:t>
      </w:r>
    </w:p>
    <w:p w:rsidR="00E37669" w:rsidRDefault="00000000">
      <w:pPr>
        <w:pStyle w:val="1"/>
        <w:spacing w:before="0" w:after="0"/>
        <w:rPr>
          <w:rFonts w:ascii="仿宋" w:eastAsia="仿宋" w:hAnsi="仿宋" w:cs="仿宋"/>
          <w:b/>
          <w:color w:val="auto"/>
          <w:sz w:val="32"/>
          <w:szCs w:val="32"/>
        </w:rPr>
      </w:pPr>
      <w:bookmarkStart w:id="29" w:name="_Toc7307"/>
      <w:bookmarkStart w:id="30" w:name="_Toc17271"/>
      <w:bookmarkStart w:id="31" w:name="_Toc223802489"/>
      <w:r>
        <w:rPr>
          <w:rFonts w:ascii="仿宋" w:eastAsia="仿宋" w:hAnsi="仿宋" w:cs="仿宋" w:hint="eastAsia"/>
          <w:b/>
          <w:color w:val="auto"/>
          <w:sz w:val="32"/>
          <w:szCs w:val="32"/>
        </w:rPr>
        <w:t>三</w:t>
      </w:r>
      <w:r>
        <w:rPr>
          <w:rFonts w:ascii="仿宋" w:eastAsia="仿宋" w:hAnsi="仿宋" w:cs="仿宋"/>
          <w:b/>
          <w:color w:val="auto"/>
          <w:sz w:val="32"/>
          <w:szCs w:val="32"/>
        </w:rPr>
        <w:t>、主要盈、亏项执行情况分析</w:t>
      </w:r>
      <w:bookmarkEnd w:id="29"/>
      <w:bookmarkEnd w:id="30"/>
      <w:bookmarkEnd w:id="31"/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32" w:name="_Toc10564"/>
      <w:bookmarkStart w:id="33" w:name="_Toc28057"/>
      <w:bookmarkStart w:id="34" w:name="_Toc223802490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(一)盈利点执行情况</w:t>
      </w:r>
      <w:bookmarkEnd w:id="32"/>
      <w:bookmarkEnd w:id="33"/>
      <w:bookmarkEnd w:id="34"/>
    </w:p>
    <w:tbl>
      <w:tblPr>
        <w:tblW w:w="51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2790"/>
        <w:gridCol w:w="685"/>
        <w:gridCol w:w="1058"/>
        <w:gridCol w:w="953"/>
        <w:gridCol w:w="953"/>
        <w:gridCol w:w="1058"/>
        <w:gridCol w:w="1153"/>
      </w:tblGrid>
      <w:tr w:rsidR="00E37669" w:rsidTr="00033434">
        <w:trPr>
          <w:jc w:val="center"/>
        </w:trPr>
        <w:tc>
          <w:tcPr>
            <w:tcW w:w="642" w:type="pct"/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子目号</w:t>
            </w:r>
          </w:p>
        </w:tc>
        <w:tc>
          <w:tcPr>
            <w:tcW w:w="1406" w:type="pct"/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子目名称</w:t>
            </w:r>
          </w:p>
        </w:tc>
        <w:tc>
          <w:tcPr>
            <w:tcW w:w="345" w:type="pct"/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533" w:type="pct"/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数量</w:t>
            </w:r>
          </w:p>
        </w:tc>
        <w:tc>
          <w:tcPr>
            <w:tcW w:w="480" w:type="pct"/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合同价</w:t>
            </w:r>
          </w:p>
        </w:tc>
        <w:tc>
          <w:tcPr>
            <w:tcW w:w="480" w:type="pct"/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成本价</w:t>
            </w:r>
          </w:p>
        </w:tc>
        <w:tc>
          <w:tcPr>
            <w:tcW w:w="533" w:type="pct"/>
            <w:noWrap/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总利润</w:t>
            </w:r>
          </w:p>
          <w:p w:rsidR="00E37669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(万元)</w:t>
            </w:r>
          </w:p>
        </w:tc>
        <w:tc>
          <w:tcPr>
            <w:tcW w:w="581" w:type="pct"/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</w:rPr>
              <w:t>已实现利润(万元)</w:t>
            </w:r>
          </w:p>
        </w:tc>
      </w:tr>
      <w:tr w:rsidR="00E37669" w:rsidTr="00033434">
        <w:trPr>
          <w:jc w:val="center"/>
        </w:trPr>
        <w:tc>
          <w:tcPr>
            <w:tcW w:w="642" w:type="pct"/>
            <w:vAlign w:val="center"/>
          </w:tcPr>
          <w:p w:rsidR="00E37669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204-1-e-1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路基填筑透水性材料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m3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914484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108.68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59.5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E37669" w:rsidRDefault="00000000">
            <w:pPr>
              <w:widowControl/>
              <w:jc w:val="right"/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4497.43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791.01 </w:t>
            </w:r>
          </w:p>
        </w:tc>
      </w:tr>
      <w:tr w:rsidR="00E37669" w:rsidTr="00033434">
        <w:trPr>
          <w:jc w:val="center"/>
        </w:trPr>
        <w:tc>
          <w:tcPr>
            <w:tcW w:w="642" w:type="pct"/>
            <w:vAlign w:val="center"/>
          </w:tcPr>
          <w:p w:rsidR="00E37669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205-1-i-2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浆喷桩(水泥搅拌桩等)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653619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47.91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31.86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1049.06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357.85 </w:t>
            </w:r>
          </w:p>
        </w:tc>
      </w:tr>
      <w:tr w:rsidR="00E37669" w:rsidTr="00033434">
        <w:trPr>
          <w:jc w:val="center"/>
        </w:trPr>
        <w:tc>
          <w:tcPr>
            <w:tcW w:w="642" w:type="pct"/>
            <w:vAlign w:val="center"/>
          </w:tcPr>
          <w:p w:rsidR="00E37669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403-2-a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基桩钢筋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kg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12216272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4.49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3.78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867.36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625.93 </w:t>
            </w:r>
          </w:p>
        </w:tc>
      </w:tr>
      <w:tr w:rsidR="00E37669" w:rsidTr="00033434">
        <w:trPr>
          <w:jc w:val="center"/>
        </w:trPr>
        <w:tc>
          <w:tcPr>
            <w:tcW w:w="642" w:type="pct"/>
            <w:vAlign w:val="center"/>
          </w:tcPr>
          <w:p w:rsidR="00E37669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403-3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下部结构钢筋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kg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9572773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4.77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3.78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947.70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77.86 </w:t>
            </w:r>
          </w:p>
        </w:tc>
      </w:tr>
      <w:tr w:rsidR="00E37669" w:rsidTr="00033434">
        <w:trPr>
          <w:jc w:val="center"/>
        </w:trPr>
        <w:tc>
          <w:tcPr>
            <w:tcW w:w="642" w:type="pct"/>
            <w:vAlign w:val="center"/>
          </w:tcPr>
          <w:p w:rsidR="00E37669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403-4-b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预制梁板钢筋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kg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36429118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4.95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3.71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4517.21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266.41 </w:t>
            </w:r>
          </w:p>
        </w:tc>
      </w:tr>
      <w:tr w:rsidR="00E37669" w:rsidTr="00033434">
        <w:trPr>
          <w:jc w:val="center"/>
        </w:trPr>
        <w:tc>
          <w:tcPr>
            <w:tcW w:w="642" w:type="pct"/>
            <w:vAlign w:val="center"/>
          </w:tcPr>
          <w:p w:rsidR="00E37669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405-1-a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1.2米直径基桩C30混凝土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m3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22832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1224.86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519.55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1610.36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387.93 </w:t>
            </w:r>
          </w:p>
        </w:tc>
      </w:tr>
      <w:tr w:rsidR="00E37669" w:rsidTr="00033434">
        <w:trPr>
          <w:jc w:val="center"/>
        </w:trPr>
        <w:tc>
          <w:tcPr>
            <w:tcW w:w="642" w:type="pct"/>
            <w:vAlign w:val="center"/>
          </w:tcPr>
          <w:p w:rsidR="00E37669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405-1-g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1.6米直径基桩C35混凝土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m3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31025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1125.85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527.58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1856.13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1552.98 </w:t>
            </w:r>
          </w:p>
        </w:tc>
      </w:tr>
      <w:tr w:rsidR="00E37669" w:rsidTr="00033434">
        <w:trPr>
          <w:jc w:val="center"/>
        </w:trPr>
        <w:tc>
          <w:tcPr>
            <w:tcW w:w="642" w:type="pct"/>
            <w:vAlign w:val="center"/>
          </w:tcPr>
          <w:p w:rsidR="00E37669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405-1-h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1.8米直径基桩C35混凝土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m3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128402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1212.32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518.95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8903.01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7263.60 </w:t>
            </w:r>
          </w:p>
        </w:tc>
      </w:tr>
      <w:tr w:rsidR="00E37669" w:rsidTr="00033434">
        <w:trPr>
          <w:jc w:val="center"/>
        </w:trPr>
        <w:tc>
          <w:tcPr>
            <w:tcW w:w="642" w:type="pct"/>
            <w:vAlign w:val="center"/>
          </w:tcPr>
          <w:p w:rsidR="00E37669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410-2-b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Ca40混凝土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m3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66069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964.48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633.68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2185.56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191.75 </w:t>
            </w:r>
          </w:p>
        </w:tc>
      </w:tr>
      <w:tr w:rsidR="00E37669" w:rsidTr="00033434">
        <w:trPr>
          <w:jc w:val="center"/>
        </w:trPr>
        <w:tc>
          <w:tcPr>
            <w:tcW w:w="642" w:type="pct"/>
            <w:vAlign w:val="center"/>
          </w:tcPr>
          <w:p w:rsidR="00E37669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411-5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后张法预应力钢绞线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kg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4235369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9.71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7.76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825.90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38.65 </w:t>
            </w:r>
          </w:p>
        </w:tc>
      </w:tr>
      <w:tr w:rsidR="00E37669" w:rsidTr="00033434">
        <w:trPr>
          <w:jc w:val="center"/>
        </w:trPr>
        <w:tc>
          <w:tcPr>
            <w:tcW w:w="642" w:type="pct"/>
            <w:vAlign w:val="center"/>
          </w:tcPr>
          <w:p w:rsidR="00E37669" w:rsidRDefault="00000000">
            <w:pPr>
              <w:widowControl/>
              <w:spacing w:line="276" w:lineRule="auto"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411-8-a-1</w:t>
            </w:r>
          </w:p>
        </w:tc>
        <w:tc>
          <w:tcPr>
            <w:tcW w:w="1406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C50混凝土</w:t>
            </w:r>
          </w:p>
        </w:tc>
        <w:tc>
          <w:tcPr>
            <w:tcW w:w="345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m3</w:t>
            </w:r>
          </w:p>
        </w:tc>
        <w:tc>
          <w:tcPr>
            <w:tcW w:w="533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126665</w:t>
            </w:r>
          </w:p>
        </w:tc>
        <w:tc>
          <w:tcPr>
            <w:tcW w:w="480" w:type="pct"/>
            <w:shd w:val="clear" w:color="auto" w:fill="FFFFFF"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1239.34</w:t>
            </w:r>
          </w:p>
        </w:tc>
        <w:tc>
          <w:tcPr>
            <w:tcW w:w="480" w:type="pct"/>
            <w:shd w:val="clear" w:color="auto" w:fill="FFFFFF"/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textAlignment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664.05</w:t>
            </w:r>
          </w:p>
        </w:tc>
        <w:tc>
          <w:tcPr>
            <w:tcW w:w="533" w:type="pct"/>
            <w:shd w:val="clear" w:color="auto" w:fill="FFFFFF"/>
            <w:noWrap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7286.91 </w:t>
            </w:r>
          </w:p>
        </w:tc>
        <w:tc>
          <w:tcPr>
            <w:tcW w:w="581" w:type="pct"/>
            <w:shd w:val="clear" w:color="auto" w:fill="FFFFFF"/>
            <w:vAlign w:val="center"/>
          </w:tcPr>
          <w:p w:rsidR="00E37669" w:rsidRDefault="00000000">
            <w:pPr>
              <w:jc w:val="right"/>
              <w:rPr>
                <w:rFonts w:ascii="仿宋" w:eastAsia="仿宋" w:hAnsi="仿宋"/>
                <w:color w:val="000000"/>
              </w:rPr>
            </w:pPr>
            <w:r>
              <w:rPr>
                <w:rFonts w:ascii="仿宋" w:eastAsia="仿宋" w:hAnsi="仿宋" w:hint="eastAsia"/>
                <w:color w:val="000000"/>
              </w:rPr>
              <w:t xml:space="preserve">429.49 </w:t>
            </w:r>
          </w:p>
        </w:tc>
      </w:tr>
    </w:tbl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35" w:name="_Toc21901"/>
      <w:bookmarkStart w:id="36" w:name="_Toc7052"/>
      <w:bookmarkStart w:id="37" w:name="_Toc223802491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(二)亏损点执行情况</w:t>
      </w:r>
      <w:bookmarkEnd w:id="35"/>
      <w:bookmarkEnd w:id="36"/>
      <w:bookmarkEnd w:id="37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(1)临时供电设施架设、维护与拆除：清单收入为355.68万元，实际成本862.44万元，亏损金额506.76万元。</w:t>
      </w:r>
    </w:p>
    <w:p w:rsidR="00E37669" w:rsidRDefault="00000000">
      <w:pPr>
        <w:pStyle w:val="1"/>
        <w:spacing w:before="0" w:after="0"/>
        <w:rPr>
          <w:rFonts w:ascii="仿宋" w:eastAsia="仿宋" w:hAnsi="仿宋" w:cs="仿宋"/>
          <w:b/>
          <w:color w:val="auto"/>
          <w:sz w:val="32"/>
          <w:szCs w:val="32"/>
        </w:rPr>
      </w:pPr>
      <w:bookmarkStart w:id="38" w:name="_Toc1921"/>
      <w:bookmarkStart w:id="39" w:name="_Toc410"/>
      <w:bookmarkStart w:id="40" w:name="_Toc223802492"/>
      <w:r>
        <w:rPr>
          <w:rFonts w:ascii="仿宋" w:eastAsia="仿宋" w:hAnsi="仿宋" w:cs="仿宋" w:hint="eastAsia"/>
          <w:b/>
          <w:color w:val="auto"/>
          <w:sz w:val="32"/>
          <w:szCs w:val="32"/>
        </w:rPr>
        <w:t>四</w:t>
      </w:r>
      <w:r>
        <w:rPr>
          <w:rFonts w:ascii="仿宋" w:eastAsia="仿宋" w:hAnsi="仿宋" w:cs="仿宋"/>
          <w:b/>
          <w:color w:val="auto"/>
          <w:sz w:val="32"/>
          <w:szCs w:val="32"/>
        </w:rPr>
        <w:t>、成本效益偏差分析与纠偏措施</w:t>
      </w:r>
      <w:bookmarkEnd w:id="38"/>
      <w:bookmarkEnd w:id="39"/>
      <w:bookmarkEnd w:id="40"/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41" w:name="_Toc681"/>
      <w:bookmarkStart w:id="42" w:name="_Toc24812"/>
      <w:bookmarkStart w:id="43" w:name="_Toc223802493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(一)分包成本偏差分析</w:t>
      </w:r>
      <w:bookmarkEnd w:id="41"/>
      <w:bookmarkEnd w:id="42"/>
      <w:bookmarkEnd w:id="43"/>
    </w:p>
    <w:p w:rsidR="00E37669" w:rsidRDefault="00000000">
      <w:pPr>
        <w:spacing w:line="360" w:lineRule="auto"/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/>
          <w:b/>
          <w:bCs/>
          <w:sz w:val="32"/>
          <w:szCs w:val="32"/>
        </w:rPr>
        <w:t>1.合同价格情况</w:t>
      </w:r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lastRenderedPageBreak/>
        <w:t>分包单价与标后预算单价对比，超出标后预算价的情况。涉及的工程项目主要有：</w:t>
      </w:r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(1)防腐涂层：辽宁交投指定防腐涂料供应单位，材料</w:t>
      </w:r>
      <w:r w:rsidR="00CA1862">
        <w:rPr>
          <w:rFonts w:ascii="仿宋" w:eastAsia="仿宋" w:hAnsi="仿宋" w:cs="仿宋" w:hint="eastAsia"/>
          <w:sz w:val="32"/>
          <w:szCs w:val="32"/>
        </w:rPr>
        <w:t>采购</w:t>
      </w:r>
      <w:r>
        <w:rPr>
          <w:rFonts w:ascii="仿宋" w:eastAsia="仿宋" w:hAnsi="仿宋" w:cs="仿宋"/>
          <w:sz w:val="32"/>
          <w:szCs w:val="32"/>
        </w:rPr>
        <w:t>价高于</w:t>
      </w:r>
      <w:r w:rsidR="006C4D01">
        <w:rPr>
          <w:rFonts w:ascii="仿宋" w:eastAsia="仿宋" w:hAnsi="仿宋" w:cs="仿宋" w:hint="eastAsia"/>
          <w:sz w:val="32"/>
          <w:szCs w:val="32"/>
        </w:rPr>
        <w:t>市场价</w:t>
      </w:r>
      <w:r>
        <w:rPr>
          <w:rFonts w:ascii="仿宋" w:eastAsia="仿宋" w:hAnsi="仿宋" w:cs="仿宋" w:hint="eastAsia"/>
          <w:sz w:val="32"/>
          <w:szCs w:val="32"/>
        </w:rPr>
        <w:t>，分包价(包工包料)超标后预算5元/m</w:t>
      </w:r>
      <w:r>
        <w:rPr>
          <w:rFonts w:ascii="仿宋" w:eastAsia="仿宋" w:hAnsi="仿宋" w:cs="仿宋" w:hint="eastAsia"/>
          <w:sz w:val="32"/>
          <w:szCs w:val="32"/>
          <w:vertAlign w:val="superscript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(2)便道分包费：路基施工单位负责采买石料，石料价格较标后降低24元/</w:t>
      </w:r>
      <w:r>
        <w:rPr>
          <w:rFonts w:ascii="仿宋" w:eastAsia="仿宋" w:hAnsi="仿宋" w:cs="仿宋" w:hint="eastAsia"/>
          <w:sz w:val="32"/>
          <w:szCs w:val="32"/>
        </w:rPr>
        <w:t>m</w:t>
      </w:r>
      <w:r>
        <w:rPr>
          <w:rFonts w:ascii="仿宋" w:eastAsia="仿宋" w:hAnsi="仿宋" w:cs="仿宋" w:hint="eastAsia"/>
          <w:sz w:val="32"/>
          <w:szCs w:val="32"/>
          <w:vertAlign w:val="superscript"/>
        </w:rPr>
        <w:t>3</w:t>
      </w:r>
      <w:r>
        <w:rPr>
          <w:rFonts w:ascii="仿宋" w:eastAsia="仿宋" w:hAnsi="仿宋" w:cs="仿宋"/>
          <w:sz w:val="32"/>
          <w:szCs w:val="32"/>
        </w:rPr>
        <w:t>，现场施工要求标准高，分包</w:t>
      </w:r>
      <w:r>
        <w:rPr>
          <w:rFonts w:ascii="仿宋" w:eastAsia="仿宋" w:hAnsi="仿宋" w:cs="仿宋" w:hint="eastAsia"/>
          <w:sz w:val="32"/>
          <w:szCs w:val="32"/>
        </w:rPr>
        <w:t>价超标后</w:t>
      </w:r>
      <w:r>
        <w:rPr>
          <w:rFonts w:ascii="仿宋" w:eastAsia="仿宋" w:hAnsi="仿宋" w:cs="仿宋"/>
          <w:sz w:val="32"/>
          <w:szCs w:val="32"/>
        </w:rPr>
        <w:t>5.5元/</w:t>
      </w:r>
      <w:r>
        <w:rPr>
          <w:rFonts w:ascii="仿宋" w:eastAsia="仿宋" w:hAnsi="仿宋" w:cs="仿宋" w:hint="eastAsia"/>
          <w:sz w:val="32"/>
          <w:szCs w:val="32"/>
        </w:rPr>
        <w:t>m</w:t>
      </w:r>
      <w:r>
        <w:rPr>
          <w:rFonts w:ascii="仿宋" w:eastAsia="仿宋" w:hAnsi="仿宋" w:cs="仿宋" w:hint="eastAsia"/>
          <w:sz w:val="32"/>
          <w:szCs w:val="32"/>
          <w:vertAlign w:val="superscript"/>
        </w:rPr>
        <w:t>3</w:t>
      </w:r>
      <w:r>
        <w:rPr>
          <w:rFonts w:ascii="仿宋" w:eastAsia="仿宋" w:hAnsi="仿宋" w:cs="仿宋"/>
          <w:sz w:val="32"/>
          <w:szCs w:val="32"/>
        </w:rPr>
        <w:t>。</w:t>
      </w:r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(3)临时电力工程：现场实际变压器安装数量、型号与前期策划存在出处，导致临时电力工程实际成本增加。</w:t>
      </w:r>
    </w:p>
    <w:p w:rsidR="00E37669" w:rsidRDefault="00000000">
      <w:pPr>
        <w:spacing w:line="360" w:lineRule="auto"/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/>
          <w:b/>
          <w:bCs/>
          <w:sz w:val="32"/>
          <w:szCs w:val="32"/>
        </w:rPr>
        <w:t>2.分包结算情况</w:t>
      </w:r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截至202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/>
          <w:sz w:val="32"/>
          <w:szCs w:val="32"/>
        </w:rPr>
        <w:t>月底，已有</w:t>
      </w:r>
      <w:r>
        <w:rPr>
          <w:rFonts w:ascii="仿宋" w:eastAsia="仿宋" w:hAnsi="仿宋" w:cs="仿宋" w:hint="eastAsia"/>
          <w:sz w:val="32"/>
          <w:szCs w:val="32"/>
        </w:rPr>
        <w:t>35</w:t>
      </w:r>
      <w:r>
        <w:rPr>
          <w:rFonts w:ascii="仿宋" w:eastAsia="仿宋" w:hAnsi="仿宋" w:cs="仿宋"/>
          <w:sz w:val="32"/>
          <w:szCs w:val="32"/>
        </w:rPr>
        <w:t>份分包合同办理结算，累计结算金额为</w:t>
      </w:r>
      <w:r>
        <w:rPr>
          <w:rFonts w:ascii="仿宋" w:eastAsia="仿宋" w:hAnsi="仿宋" w:cs="仿宋" w:hint="eastAsia"/>
          <w:sz w:val="32"/>
          <w:szCs w:val="32"/>
        </w:rPr>
        <w:t>10,552</w:t>
      </w:r>
      <w:r>
        <w:rPr>
          <w:rFonts w:ascii="仿宋" w:eastAsia="仿宋" w:hAnsi="仿宋" w:cs="仿宋"/>
          <w:sz w:val="32"/>
          <w:szCs w:val="32"/>
        </w:rPr>
        <w:t>.</w:t>
      </w:r>
      <w:r>
        <w:rPr>
          <w:rFonts w:ascii="仿宋" w:eastAsia="仿宋" w:hAnsi="仿宋" w:cs="仿宋" w:hint="eastAsia"/>
          <w:sz w:val="32"/>
          <w:szCs w:val="32"/>
        </w:rPr>
        <w:t>56</w:t>
      </w:r>
      <w:r>
        <w:rPr>
          <w:rFonts w:ascii="仿宋" w:eastAsia="仿宋" w:hAnsi="仿宋" w:cs="仿宋"/>
          <w:sz w:val="32"/>
          <w:szCs w:val="32"/>
        </w:rPr>
        <w:t>万元。</w:t>
      </w:r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44" w:name="_Toc32214"/>
      <w:bookmarkStart w:id="45" w:name="_Toc10993"/>
      <w:bookmarkStart w:id="46" w:name="_Toc223802494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(二)材料费成本偏差分析</w:t>
      </w:r>
      <w:bookmarkEnd w:id="44"/>
      <w:bookmarkEnd w:id="45"/>
      <w:bookmarkEnd w:id="46"/>
    </w:p>
    <w:p w:rsidR="00E37669" w:rsidRDefault="00000000">
      <w:pPr>
        <w:spacing w:line="360" w:lineRule="auto"/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1.工程材料</w:t>
      </w:r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主体材料标后收入15,433.89万元，主材实发成本13,619.79万元，较标后收入盈利1,814.1万元，其中价差盈利1,189.07万元，量差盈利600.14万元。具体分析如下表：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3"/>
        <w:gridCol w:w="1266"/>
        <w:gridCol w:w="638"/>
        <w:gridCol w:w="1161"/>
        <w:gridCol w:w="1063"/>
        <w:gridCol w:w="1161"/>
        <w:gridCol w:w="1063"/>
        <w:gridCol w:w="841"/>
        <w:gridCol w:w="982"/>
        <w:gridCol w:w="980"/>
      </w:tblGrid>
      <w:tr w:rsidR="00E37669"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6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材料名称</w:t>
            </w:r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设计量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标后单价(元)</w:t>
            </w:r>
          </w:p>
        </w:tc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实际消耗量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采购均价(元)</w:t>
            </w:r>
          </w:p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损耗率(%)</w:t>
            </w:r>
          </w:p>
        </w:tc>
        <w:tc>
          <w:tcPr>
            <w:tcW w:w="102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节(+)超(-)</w:t>
            </w:r>
          </w:p>
        </w:tc>
      </w:tr>
      <w:tr w:rsidR="00E37669">
        <w:tc>
          <w:tcPr>
            <w:tcW w:w="2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E37669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E37669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E37669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E37669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E37669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E37669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E37669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4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E37669">
            <w:pPr>
              <w:widowControl/>
              <w:spacing w:line="276" w:lineRule="auto"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量差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价差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钢筋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16010.88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3110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16000.69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2967.47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-1%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3.02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228.20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减水剂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1075.529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1750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1226.55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1752.21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-14%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-26.46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-0.24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粉煤灰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12093.943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74.34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12088.64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51.72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0.03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27.36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商混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m</w:t>
            </w:r>
            <w:r>
              <w:rPr>
                <w:rFonts w:ascii="Calibri" w:eastAsia="仿宋" w:hAnsi="Calibri" w:cs="Calibri"/>
                <w:color w:val="000000"/>
                <w:kern w:val="0"/>
                <w:szCs w:val="21"/>
              </w:rPr>
              <w:t>³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75497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305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75497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317.94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0.00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-97.69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机制砂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151194.21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64.25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146617.33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42.59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2%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19.49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327.49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碎石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201012.07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66.94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198822.38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44.31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9.70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454.89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下构钢模板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1164.6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4504.42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1257.02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4504.42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-8%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-41.63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0.00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钢绞线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212.44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6490.7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207.56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3772.68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-2%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1.84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57.74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lastRenderedPageBreak/>
              <w:t>9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型材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958.502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3940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951.36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3448.69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2.46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47.09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声测管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m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316471.11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11.75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330008.5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11.06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-5%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-14.97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21.84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水泥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64749.822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345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64892.44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321.71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-4.59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150.80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水泥管涵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m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947.2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945.43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947.2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1676.49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0.00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-69.25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支座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t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193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3235.3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193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1352.37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0.00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36.34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路基填料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m</w:t>
            </w:r>
            <w:r>
              <w:rPr>
                <w:rFonts w:ascii="Calibri" w:eastAsia="仿宋" w:hAnsi="Calibri" w:cs="Calibri"/>
                <w:color w:val="000000"/>
                <w:kern w:val="0"/>
                <w:szCs w:val="21"/>
              </w:rPr>
              <w:t>³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142545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51.14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122154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14%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101.96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16.25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路基填料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m</w:t>
            </w:r>
            <w:r>
              <w:rPr>
                <w:rFonts w:ascii="Calibri" w:eastAsia="仿宋" w:hAnsi="Calibri" w:cs="Calibri"/>
                <w:color w:val="000000"/>
                <w:kern w:val="0"/>
                <w:szCs w:val="21"/>
              </w:rPr>
              <w:t>³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184871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55.71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85000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55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54%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549.29 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13.13 </w:t>
            </w:r>
          </w:p>
        </w:tc>
      </w:tr>
      <w:tr w:rsidR="00E37669"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E37669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万元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E37669">
            <w:pPr>
              <w:widowControl/>
              <w:spacing w:line="276" w:lineRule="auto"/>
              <w:jc w:val="righ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15433.89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13619.79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600.14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37669" w:rsidRDefault="00000000">
            <w:pPr>
              <w:widowControl/>
              <w:spacing w:line="276" w:lineRule="auto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 xml:space="preserve">1213.95 </w:t>
            </w:r>
          </w:p>
        </w:tc>
      </w:tr>
    </w:tbl>
    <w:p w:rsidR="00E37669" w:rsidRDefault="00000000">
      <w:pPr>
        <w:spacing w:line="360" w:lineRule="auto"/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2.</w:t>
      </w:r>
      <w:r>
        <w:rPr>
          <w:rFonts w:ascii="仿宋" w:eastAsia="仿宋" w:hAnsi="仿宋" w:cs="仿宋"/>
          <w:b/>
          <w:bCs/>
          <w:sz w:val="32"/>
          <w:szCs w:val="32"/>
        </w:rPr>
        <w:t>零星材料</w:t>
      </w:r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无</w:t>
      </w:r>
    </w:p>
    <w:p w:rsidR="00E37669" w:rsidRDefault="00000000">
      <w:pPr>
        <w:spacing w:line="360" w:lineRule="auto"/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3.</w:t>
      </w:r>
      <w:r>
        <w:rPr>
          <w:rFonts w:ascii="仿宋" w:eastAsia="仿宋" w:hAnsi="仿宋" w:cs="仿宋"/>
          <w:b/>
          <w:bCs/>
          <w:sz w:val="32"/>
          <w:szCs w:val="32"/>
        </w:rPr>
        <w:t>周转材料</w:t>
      </w:r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秦沈项目桥梁墩柱施工</w:t>
      </w:r>
      <w:r>
        <w:rPr>
          <w:rFonts w:ascii="仿宋" w:eastAsia="仿宋" w:hAnsi="仿宋" w:cs="仿宋" w:hint="eastAsia"/>
          <w:sz w:val="32"/>
          <w:szCs w:val="32"/>
        </w:rPr>
        <w:t>使用调拨钢模板，</w:t>
      </w:r>
      <w:r>
        <w:rPr>
          <w:rFonts w:ascii="仿宋" w:eastAsia="仿宋" w:hAnsi="仿宋" w:cs="仿宋"/>
          <w:sz w:val="32"/>
          <w:szCs w:val="32"/>
        </w:rPr>
        <w:t>经现场核查</w:t>
      </w:r>
      <w:r>
        <w:rPr>
          <w:rFonts w:ascii="仿宋" w:eastAsia="仿宋" w:hAnsi="仿宋" w:cs="仿宋" w:hint="eastAsia"/>
          <w:sz w:val="32"/>
          <w:szCs w:val="32"/>
        </w:rPr>
        <w:t>该批次钢模板</w:t>
      </w:r>
      <w:r>
        <w:rPr>
          <w:rFonts w:ascii="仿宋" w:eastAsia="仿宋" w:hAnsi="仿宋" w:cs="仿宋"/>
          <w:sz w:val="32"/>
          <w:szCs w:val="32"/>
        </w:rPr>
        <w:t>存在变形问题，现场监理单位依据《公路桥涵施工技术规范》及项目施工质量要求，</w:t>
      </w:r>
      <w:r>
        <w:rPr>
          <w:rFonts w:ascii="仿宋" w:eastAsia="仿宋" w:hAnsi="仿宋" w:cs="仿宋" w:hint="eastAsia"/>
          <w:sz w:val="32"/>
          <w:szCs w:val="32"/>
        </w:rPr>
        <w:t>禁止使用</w:t>
      </w:r>
      <w:r>
        <w:rPr>
          <w:rFonts w:ascii="仿宋" w:eastAsia="仿宋" w:hAnsi="仿宋" w:cs="仿宋"/>
          <w:sz w:val="32"/>
          <w:szCs w:val="32"/>
        </w:rPr>
        <w:t>该批次变形模板。为确保墩柱施工质量符合设计及验收标准，保障后续施工工序顺利推进，</w:t>
      </w:r>
      <w:r>
        <w:rPr>
          <w:rFonts w:ascii="仿宋" w:eastAsia="仿宋" w:hAnsi="仿宋" w:cs="仿宋" w:hint="eastAsia"/>
          <w:sz w:val="32"/>
          <w:szCs w:val="32"/>
        </w:rPr>
        <w:t>需</w:t>
      </w:r>
      <w:r>
        <w:rPr>
          <w:rFonts w:ascii="仿宋" w:eastAsia="仿宋" w:hAnsi="仿宋" w:cs="仿宋"/>
          <w:sz w:val="32"/>
          <w:szCs w:val="32"/>
        </w:rPr>
        <w:t>重新定制墩柱模板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/>
          <w:sz w:val="32"/>
          <w:szCs w:val="32"/>
        </w:rPr>
        <w:t>重量约134.5吨，</w:t>
      </w:r>
      <w:r>
        <w:rPr>
          <w:rFonts w:ascii="仿宋" w:eastAsia="仿宋" w:hAnsi="仿宋" w:cs="仿宋" w:hint="eastAsia"/>
          <w:sz w:val="32"/>
          <w:szCs w:val="32"/>
        </w:rPr>
        <w:t>增加</w:t>
      </w:r>
      <w:r>
        <w:rPr>
          <w:rFonts w:ascii="仿宋" w:eastAsia="仿宋" w:hAnsi="仿宋" w:cs="仿宋"/>
          <w:sz w:val="32"/>
          <w:szCs w:val="32"/>
        </w:rPr>
        <w:t>成本约60.58万元。</w:t>
      </w:r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47" w:name="_Toc10068"/>
      <w:bookmarkStart w:id="48" w:name="_Toc32674"/>
      <w:bookmarkStart w:id="49" w:name="_Toc223802495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(三)船机设备费成本偏差分析</w:t>
      </w:r>
      <w:bookmarkEnd w:id="47"/>
      <w:bookmarkEnd w:id="48"/>
      <w:bookmarkEnd w:id="49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混凝土罐车租赁标后</w:t>
      </w:r>
      <w:r w:rsidR="00627772">
        <w:rPr>
          <w:rFonts w:ascii="仿宋" w:eastAsia="仿宋" w:hAnsi="仿宋" w:cs="仿宋" w:hint="eastAsia"/>
          <w:sz w:val="32"/>
          <w:szCs w:val="32"/>
        </w:rPr>
        <w:t>单价</w:t>
      </w:r>
      <w:r>
        <w:rPr>
          <w:rFonts w:ascii="仿宋" w:eastAsia="仿宋" w:hAnsi="仿宋" w:cs="仿宋"/>
          <w:sz w:val="32"/>
          <w:szCs w:val="32"/>
        </w:rPr>
        <w:t>为24元/m</w:t>
      </w:r>
      <w:r>
        <w:rPr>
          <w:rFonts w:ascii="仿宋" w:eastAsia="仿宋" w:hAnsi="仿宋" w:cs="仿宋"/>
          <w:sz w:val="32"/>
          <w:szCs w:val="32"/>
          <w:vertAlign w:val="superscript"/>
        </w:rPr>
        <w:t>3</w:t>
      </w:r>
      <w:r>
        <w:rPr>
          <w:rFonts w:ascii="仿宋" w:eastAsia="仿宋" w:hAnsi="仿宋" w:cs="仿宋"/>
          <w:sz w:val="32"/>
          <w:szCs w:val="32"/>
        </w:rPr>
        <w:t>,实际成本价为18.3元/m</w:t>
      </w:r>
      <w:r>
        <w:rPr>
          <w:rFonts w:ascii="仿宋" w:eastAsia="仿宋" w:hAnsi="仿宋" w:cs="仿宋"/>
          <w:sz w:val="32"/>
          <w:szCs w:val="32"/>
          <w:vertAlign w:val="superscript"/>
        </w:rPr>
        <w:t>3</w:t>
      </w:r>
      <w:r>
        <w:rPr>
          <w:rFonts w:ascii="仿宋" w:eastAsia="仿宋" w:hAnsi="仿宋" w:cs="仿宋"/>
          <w:sz w:val="32"/>
          <w:szCs w:val="32"/>
        </w:rPr>
        <w:t>，较标后预算节省约5.7元/m</w:t>
      </w:r>
      <w:r>
        <w:rPr>
          <w:rFonts w:ascii="仿宋" w:eastAsia="仿宋" w:hAnsi="仿宋" w:cs="仿宋"/>
          <w:sz w:val="32"/>
          <w:szCs w:val="32"/>
          <w:vertAlign w:val="superscript"/>
        </w:rPr>
        <w:t>3</w:t>
      </w:r>
      <w:r>
        <w:rPr>
          <w:rFonts w:ascii="仿宋" w:eastAsia="仿宋" w:hAnsi="仿宋" w:cs="仿宋"/>
          <w:sz w:val="32"/>
          <w:szCs w:val="32"/>
        </w:rPr>
        <w:t>，其主要原因为现场投入的罐车多为电车，相较于传统燃油罐车，电车能耗成本显著降低。同时，电车因其结构相对简单，日常保养项目及费用也低于燃油罐车，进一步压缩了综合运营成本。</w:t>
      </w:r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50" w:name="_Toc30456"/>
      <w:bookmarkStart w:id="51" w:name="_Toc26946"/>
      <w:bookmarkStart w:id="52" w:name="_Toc223802496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(四)临时设施成本偏差分析</w:t>
      </w:r>
      <w:bookmarkEnd w:id="50"/>
      <w:bookmarkEnd w:id="51"/>
      <w:bookmarkEnd w:id="52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/>
          <w:sz w:val="32"/>
          <w:szCs w:val="32"/>
        </w:rPr>
        <w:t>1#综合场站包含2#拌合站、1#预制梁场、1#钢筋加工场和2#钢筋加工场，标后预算总体为1</w:t>
      </w:r>
      <w:r w:rsidR="000F38CE">
        <w:rPr>
          <w:rFonts w:ascii="仿宋" w:eastAsia="仿宋" w:hAnsi="仿宋" w:cs="仿宋" w:hint="eastAsia"/>
          <w:sz w:val="32"/>
          <w:szCs w:val="32"/>
        </w:rPr>
        <w:t>,</w:t>
      </w:r>
      <w:r>
        <w:rPr>
          <w:rFonts w:ascii="仿宋" w:eastAsia="仿宋" w:hAnsi="仿宋" w:cs="仿宋"/>
          <w:sz w:val="32"/>
          <w:szCs w:val="32"/>
        </w:rPr>
        <w:t>518.11万元，实际成本为1</w:t>
      </w:r>
      <w:r w:rsidR="00820122">
        <w:rPr>
          <w:rFonts w:ascii="仿宋" w:eastAsia="仿宋" w:hAnsi="仿宋" w:cs="仿宋" w:hint="eastAsia"/>
          <w:sz w:val="32"/>
          <w:szCs w:val="32"/>
        </w:rPr>
        <w:t>,</w:t>
      </w:r>
      <w:r>
        <w:rPr>
          <w:rFonts w:ascii="仿宋" w:eastAsia="仿宋" w:hAnsi="仿宋" w:cs="仿宋"/>
          <w:sz w:val="32"/>
          <w:szCs w:val="32"/>
        </w:rPr>
        <w:t>824.09万</w:t>
      </w:r>
      <w:r>
        <w:rPr>
          <w:rFonts w:ascii="仿宋" w:eastAsia="仿宋" w:hAnsi="仿宋" w:cs="仿宋"/>
          <w:sz w:val="32"/>
          <w:szCs w:val="32"/>
        </w:rPr>
        <w:lastRenderedPageBreak/>
        <w:t>元，较标后增加成本305.98万元，其主要原因为1#预制梁场、1#钢筋加工场和2#钢筋加工场实际施工建设与标后预算清单存在出处，导致实际成本增加。</w:t>
      </w:r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2.</w:t>
      </w:r>
      <w:r>
        <w:rPr>
          <w:rFonts w:ascii="仿宋" w:eastAsia="仿宋" w:hAnsi="仿宋" w:cs="仿宋"/>
          <w:sz w:val="32"/>
          <w:szCs w:val="32"/>
        </w:rPr>
        <w:t>4#拌合站建设标后预算313.39万元，实际成本为361.18万元，较标后增加成本47.49万元，其主要原因为4#拌合站建设时使用商品混凝土，商品混凝土成本价高于标后预算单价，导致实际成本高于标后预算成本。</w:t>
      </w:r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53" w:name="_Toc3102"/>
      <w:bookmarkStart w:id="54" w:name="_Toc13691"/>
      <w:bookmarkStart w:id="55" w:name="_Toc223802497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(五)现场管理费成本偏差分析</w:t>
      </w:r>
      <w:bookmarkEnd w:id="53"/>
      <w:bookmarkEnd w:id="54"/>
      <w:bookmarkEnd w:id="55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截至2025年末，现场管理费累计金额为2,573.26万元,占开累总收入4.9%，高于标后预算现场管理费比例，其主要原因为项目部人员于2024年9月进场开展工程筹备工作，2025年5月21日正式开工，管理费实发时间与工程施工时间存在时间差，导致已完成施工产值与原计划产值存在比例差异，管理费占比提高。后期产值进度提升，管理费占比将逐步降低，预控指标为产值的2.3%以内。</w:t>
      </w:r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56" w:name="_Toc18216"/>
      <w:bookmarkStart w:id="57" w:name="_Toc13555"/>
      <w:bookmarkStart w:id="58" w:name="_Toc223802498"/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(六)其他成本偏差分析</w:t>
      </w:r>
      <w:bookmarkEnd w:id="56"/>
      <w:bookmarkEnd w:id="57"/>
      <w:bookmarkEnd w:id="58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无。</w:t>
      </w:r>
    </w:p>
    <w:p w:rsidR="00E37669" w:rsidRDefault="00000000">
      <w:pPr>
        <w:pStyle w:val="1"/>
        <w:spacing w:before="0" w:after="0"/>
        <w:rPr>
          <w:rFonts w:ascii="仿宋" w:eastAsia="仿宋" w:hAnsi="仿宋" w:cs="仿宋"/>
          <w:b/>
          <w:color w:val="auto"/>
          <w:sz w:val="32"/>
          <w:szCs w:val="32"/>
        </w:rPr>
      </w:pPr>
      <w:bookmarkStart w:id="59" w:name="_Toc21132"/>
      <w:bookmarkStart w:id="60" w:name="_Toc19405"/>
      <w:bookmarkStart w:id="61" w:name="_Toc223802499"/>
      <w:r>
        <w:rPr>
          <w:rFonts w:ascii="仿宋" w:eastAsia="仿宋" w:hAnsi="仿宋" w:cs="仿宋" w:hint="eastAsia"/>
          <w:b/>
          <w:color w:val="auto"/>
          <w:sz w:val="32"/>
          <w:szCs w:val="32"/>
        </w:rPr>
        <w:t>五</w:t>
      </w:r>
      <w:r>
        <w:rPr>
          <w:rFonts w:ascii="仿宋" w:eastAsia="仿宋" w:hAnsi="仿宋" w:cs="仿宋"/>
          <w:b/>
          <w:color w:val="auto"/>
          <w:sz w:val="32"/>
          <w:szCs w:val="32"/>
        </w:rPr>
        <w:t>、招采情况</w:t>
      </w:r>
      <w:bookmarkEnd w:id="59"/>
      <w:bookmarkEnd w:id="60"/>
      <w:bookmarkEnd w:id="61"/>
    </w:p>
    <w:p w:rsidR="004D79D9" w:rsidRDefault="004D79D9" w:rsidP="004D79D9">
      <w:pPr>
        <w:spacing w:line="360" w:lineRule="auto"/>
        <w:ind w:firstLineChars="200" w:firstLine="640"/>
        <w:rPr>
          <w:rFonts w:ascii="仿宋" w:eastAsia="仿宋" w:hAnsi="仿宋" w:cs="仿宋"/>
          <w:bCs/>
          <w:sz w:val="32"/>
          <w:szCs w:val="32"/>
        </w:rPr>
      </w:pPr>
      <w:bookmarkStart w:id="62" w:name="_Toc14091"/>
      <w:bookmarkStart w:id="63" w:name="_Toc17002"/>
      <w:bookmarkStart w:id="64" w:name="_Toc223802500"/>
      <w:r>
        <w:rPr>
          <w:rFonts w:ascii="仿宋" w:eastAsia="仿宋" w:hAnsi="仿宋" w:cs="仿宋"/>
          <w:bCs/>
          <w:sz w:val="32"/>
          <w:szCs w:val="32"/>
        </w:rPr>
        <w:t>本项目累计招采</w:t>
      </w:r>
      <w:r>
        <w:rPr>
          <w:rFonts w:ascii="仿宋" w:eastAsia="仿宋" w:hAnsi="仿宋" w:cs="仿宋" w:hint="eastAsia"/>
          <w:bCs/>
          <w:sz w:val="32"/>
          <w:szCs w:val="32"/>
        </w:rPr>
        <w:t>91</w:t>
      </w:r>
      <w:r>
        <w:rPr>
          <w:rFonts w:ascii="仿宋" w:eastAsia="仿宋" w:hAnsi="仿宋" w:cs="仿宋"/>
          <w:bCs/>
          <w:sz w:val="32"/>
          <w:szCs w:val="32"/>
        </w:rPr>
        <w:t>笔，定标总金额</w:t>
      </w:r>
      <w:r>
        <w:rPr>
          <w:rFonts w:ascii="仿宋" w:eastAsia="仿宋" w:hAnsi="仿宋" w:cs="仿宋" w:hint="eastAsia"/>
          <w:bCs/>
          <w:sz w:val="32"/>
          <w:szCs w:val="32"/>
        </w:rPr>
        <w:t>107,697</w:t>
      </w:r>
      <w:r>
        <w:rPr>
          <w:rFonts w:ascii="仿宋" w:eastAsia="仿宋" w:hAnsi="仿宋" w:cs="仿宋"/>
          <w:bCs/>
          <w:sz w:val="32"/>
          <w:szCs w:val="32"/>
        </w:rPr>
        <w:t>万元，标后总金额</w:t>
      </w:r>
      <w:r>
        <w:rPr>
          <w:rFonts w:ascii="仿宋" w:eastAsia="仿宋" w:hAnsi="仿宋" w:cs="仿宋" w:hint="eastAsia"/>
          <w:bCs/>
          <w:sz w:val="32"/>
          <w:szCs w:val="32"/>
        </w:rPr>
        <w:t>119,199</w:t>
      </w:r>
      <w:r>
        <w:rPr>
          <w:rFonts w:ascii="仿宋" w:eastAsia="仿宋" w:hAnsi="仿宋" w:cs="仿宋"/>
          <w:bCs/>
          <w:sz w:val="32"/>
          <w:szCs w:val="32"/>
        </w:rPr>
        <w:t>万元。截至2025年12月底，现场实际完成对应定标金额</w:t>
      </w:r>
      <w:r>
        <w:rPr>
          <w:rFonts w:ascii="仿宋" w:eastAsia="仿宋" w:hAnsi="仿宋" w:cs="仿宋" w:hint="eastAsia"/>
          <w:bCs/>
          <w:sz w:val="32"/>
          <w:szCs w:val="32"/>
        </w:rPr>
        <w:t>26,270</w:t>
      </w:r>
      <w:r>
        <w:rPr>
          <w:rFonts w:ascii="仿宋" w:eastAsia="仿宋" w:hAnsi="仿宋" w:cs="仿宋"/>
          <w:bCs/>
          <w:sz w:val="32"/>
          <w:szCs w:val="32"/>
        </w:rPr>
        <w:t>万元，对应标后总金额</w:t>
      </w:r>
      <w:r>
        <w:rPr>
          <w:rFonts w:ascii="仿宋" w:eastAsia="仿宋" w:hAnsi="仿宋" w:cs="仿宋" w:hint="eastAsia"/>
          <w:bCs/>
          <w:sz w:val="32"/>
          <w:szCs w:val="32"/>
        </w:rPr>
        <w:t>29,250</w:t>
      </w:r>
      <w:r>
        <w:rPr>
          <w:rFonts w:ascii="仿宋" w:eastAsia="仿宋" w:hAnsi="仿宋" w:cs="仿宋"/>
          <w:bCs/>
          <w:sz w:val="32"/>
          <w:szCs w:val="32"/>
        </w:rPr>
        <w:t>万元，降本金额</w:t>
      </w:r>
      <w:r>
        <w:rPr>
          <w:rFonts w:ascii="仿宋" w:eastAsia="仿宋" w:hAnsi="仿宋" w:cs="仿宋" w:hint="eastAsia"/>
          <w:bCs/>
          <w:sz w:val="32"/>
          <w:szCs w:val="32"/>
        </w:rPr>
        <w:t>2,980</w:t>
      </w:r>
      <w:r>
        <w:rPr>
          <w:rFonts w:ascii="仿宋" w:eastAsia="仿宋" w:hAnsi="仿宋" w:cs="仿宋"/>
          <w:bCs/>
          <w:sz w:val="32"/>
          <w:szCs w:val="32"/>
        </w:rPr>
        <w:t>万元，降本率</w:t>
      </w:r>
      <w:r>
        <w:rPr>
          <w:rFonts w:ascii="仿宋" w:eastAsia="仿宋" w:hAnsi="仿宋" w:cs="仿宋" w:hint="eastAsia"/>
          <w:bCs/>
          <w:sz w:val="32"/>
          <w:szCs w:val="32"/>
        </w:rPr>
        <w:t>10</w:t>
      </w:r>
      <w:r>
        <w:rPr>
          <w:rFonts w:ascii="仿宋" w:eastAsia="仿宋" w:hAnsi="仿宋" w:cs="仿宋"/>
          <w:bCs/>
          <w:sz w:val="32"/>
          <w:szCs w:val="32"/>
        </w:rPr>
        <w:t>.</w:t>
      </w:r>
      <w:r>
        <w:rPr>
          <w:rFonts w:ascii="仿宋" w:eastAsia="仿宋" w:hAnsi="仿宋" w:cs="仿宋" w:hint="eastAsia"/>
          <w:bCs/>
          <w:sz w:val="32"/>
          <w:szCs w:val="32"/>
        </w:rPr>
        <w:t>19</w:t>
      </w:r>
      <w:r>
        <w:rPr>
          <w:rFonts w:ascii="仿宋" w:eastAsia="仿宋" w:hAnsi="仿宋" w:cs="仿宋"/>
          <w:bCs/>
          <w:sz w:val="32"/>
          <w:szCs w:val="32"/>
        </w:rPr>
        <w:t>%。其中：分包降本金额</w:t>
      </w:r>
      <w:r>
        <w:rPr>
          <w:rFonts w:ascii="仿宋" w:eastAsia="仿宋" w:hAnsi="仿宋" w:cs="仿宋" w:hint="eastAsia"/>
          <w:bCs/>
          <w:sz w:val="32"/>
          <w:szCs w:val="32"/>
        </w:rPr>
        <w:t>1</w:t>
      </w:r>
      <w:r>
        <w:rPr>
          <w:rFonts w:ascii="仿宋" w:eastAsia="仿宋" w:hAnsi="仿宋" w:cs="仿宋"/>
          <w:bCs/>
          <w:sz w:val="32"/>
          <w:szCs w:val="32"/>
        </w:rPr>
        <w:t>,</w:t>
      </w:r>
      <w:r>
        <w:rPr>
          <w:rFonts w:ascii="仿宋" w:eastAsia="仿宋" w:hAnsi="仿宋" w:cs="仿宋" w:hint="eastAsia"/>
          <w:bCs/>
          <w:sz w:val="32"/>
          <w:szCs w:val="32"/>
        </w:rPr>
        <w:t>790</w:t>
      </w:r>
      <w:r>
        <w:rPr>
          <w:rFonts w:ascii="仿宋" w:eastAsia="仿宋" w:hAnsi="仿宋" w:cs="仿宋"/>
          <w:bCs/>
          <w:sz w:val="32"/>
          <w:szCs w:val="32"/>
        </w:rPr>
        <w:t>万元，降本率</w:t>
      </w:r>
      <w:r>
        <w:rPr>
          <w:rFonts w:ascii="仿宋" w:eastAsia="仿宋" w:hAnsi="仿宋" w:cs="仿宋" w:hint="eastAsia"/>
          <w:bCs/>
          <w:sz w:val="32"/>
          <w:szCs w:val="32"/>
        </w:rPr>
        <w:t>12.4</w:t>
      </w:r>
      <w:r>
        <w:rPr>
          <w:rFonts w:ascii="仿宋" w:eastAsia="仿宋" w:hAnsi="仿宋" w:cs="仿宋"/>
          <w:bCs/>
          <w:sz w:val="32"/>
          <w:szCs w:val="32"/>
        </w:rPr>
        <w:t>%，物资降本金额</w:t>
      </w:r>
      <w:r>
        <w:rPr>
          <w:rFonts w:ascii="仿宋" w:eastAsia="仿宋" w:hAnsi="仿宋" w:cs="仿宋" w:hint="eastAsia"/>
          <w:bCs/>
          <w:sz w:val="32"/>
          <w:szCs w:val="32"/>
        </w:rPr>
        <w:t>1</w:t>
      </w:r>
      <w:r>
        <w:rPr>
          <w:rFonts w:ascii="仿宋" w:eastAsia="仿宋" w:hAnsi="仿宋" w:cs="仿宋"/>
          <w:bCs/>
          <w:sz w:val="32"/>
          <w:szCs w:val="32"/>
        </w:rPr>
        <w:t>,</w:t>
      </w:r>
      <w:r>
        <w:rPr>
          <w:rFonts w:ascii="仿宋" w:eastAsia="仿宋" w:hAnsi="仿宋" w:cs="仿宋" w:hint="eastAsia"/>
          <w:bCs/>
          <w:sz w:val="32"/>
          <w:szCs w:val="32"/>
        </w:rPr>
        <w:t>190</w:t>
      </w:r>
      <w:r>
        <w:rPr>
          <w:rFonts w:ascii="仿宋" w:eastAsia="仿宋" w:hAnsi="仿宋" w:cs="仿宋"/>
          <w:bCs/>
          <w:sz w:val="32"/>
          <w:szCs w:val="32"/>
        </w:rPr>
        <w:t>万元，降本率</w:t>
      </w:r>
      <w:r>
        <w:rPr>
          <w:rFonts w:ascii="仿宋" w:eastAsia="仿宋" w:hAnsi="仿宋" w:cs="仿宋" w:hint="eastAsia"/>
          <w:bCs/>
          <w:sz w:val="32"/>
          <w:szCs w:val="32"/>
        </w:rPr>
        <w:t>8</w:t>
      </w:r>
      <w:r>
        <w:rPr>
          <w:rFonts w:ascii="仿宋" w:eastAsia="仿宋" w:hAnsi="仿宋" w:cs="仿宋"/>
          <w:bCs/>
          <w:sz w:val="32"/>
          <w:szCs w:val="32"/>
        </w:rPr>
        <w:t>.</w:t>
      </w:r>
      <w:r>
        <w:rPr>
          <w:rFonts w:ascii="仿宋" w:eastAsia="仿宋" w:hAnsi="仿宋" w:cs="仿宋" w:hint="eastAsia"/>
          <w:bCs/>
          <w:sz w:val="32"/>
          <w:szCs w:val="32"/>
        </w:rPr>
        <w:t>03</w:t>
      </w:r>
      <w:r>
        <w:rPr>
          <w:rFonts w:ascii="仿宋" w:eastAsia="仿宋" w:hAnsi="仿宋" w:cs="仿宋"/>
          <w:bCs/>
          <w:sz w:val="32"/>
          <w:szCs w:val="32"/>
        </w:rPr>
        <w:t>%。</w:t>
      </w:r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lastRenderedPageBreak/>
        <w:t>(一)</w:t>
      </w:r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分包招采情况</w:t>
      </w:r>
      <w:bookmarkEnd w:id="62"/>
      <w:bookmarkEnd w:id="63"/>
      <w:bookmarkEnd w:id="64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仿宋"/>
          <w:bCs/>
          <w:sz w:val="32"/>
          <w:szCs w:val="32"/>
        </w:rPr>
      </w:pPr>
      <w:r>
        <w:rPr>
          <w:rFonts w:ascii="仿宋" w:eastAsia="仿宋" w:hAnsi="仿宋" w:cs="仿宋"/>
          <w:bCs/>
          <w:sz w:val="32"/>
          <w:szCs w:val="32"/>
        </w:rPr>
        <w:t>2025年已完成分包招采</w:t>
      </w:r>
      <w:r>
        <w:rPr>
          <w:rFonts w:ascii="仿宋" w:eastAsia="仿宋" w:hAnsi="仿宋" w:cs="仿宋" w:hint="eastAsia"/>
          <w:bCs/>
          <w:sz w:val="32"/>
          <w:szCs w:val="32"/>
        </w:rPr>
        <w:t>43</w:t>
      </w:r>
      <w:r>
        <w:rPr>
          <w:rFonts w:ascii="仿宋" w:eastAsia="仿宋" w:hAnsi="仿宋" w:cs="仿宋"/>
          <w:bCs/>
          <w:sz w:val="32"/>
          <w:szCs w:val="32"/>
        </w:rPr>
        <w:t>份，剩余</w:t>
      </w:r>
      <w:r>
        <w:rPr>
          <w:rFonts w:ascii="仿宋" w:eastAsia="仿宋" w:hAnsi="仿宋" w:cs="仿宋" w:hint="eastAsia"/>
          <w:bCs/>
          <w:sz w:val="32"/>
          <w:szCs w:val="32"/>
        </w:rPr>
        <w:t>2</w:t>
      </w:r>
      <w:r>
        <w:rPr>
          <w:rFonts w:ascii="仿宋" w:eastAsia="仿宋" w:hAnsi="仿宋" w:cs="仿宋"/>
          <w:bCs/>
          <w:sz w:val="32"/>
          <w:szCs w:val="32"/>
        </w:rPr>
        <w:t>份正在招投标流程中，已完成分包招标合同额为</w:t>
      </w:r>
      <w:r>
        <w:rPr>
          <w:rFonts w:ascii="仿宋" w:eastAsia="仿宋" w:hAnsi="仿宋" w:cs="仿宋" w:hint="eastAsia"/>
          <w:bCs/>
          <w:sz w:val="32"/>
          <w:szCs w:val="32"/>
        </w:rPr>
        <w:t>39</w:t>
      </w:r>
      <w:r>
        <w:rPr>
          <w:rFonts w:ascii="仿宋" w:eastAsia="仿宋" w:hAnsi="仿宋" w:cs="仿宋"/>
          <w:bCs/>
          <w:sz w:val="32"/>
          <w:szCs w:val="32"/>
        </w:rPr>
        <w:t>,</w:t>
      </w:r>
      <w:r>
        <w:rPr>
          <w:rFonts w:ascii="仿宋" w:eastAsia="仿宋" w:hAnsi="仿宋" w:cs="仿宋" w:hint="eastAsia"/>
          <w:bCs/>
          <w:sz w:val="32"/>
          <w:szCs w:val="32"/>
        </w:rPr>
        <w:t>352.68</w:t>
      </w:r>
      <w:r>
        <w:rPr>
          <w:rFonts w:ascii="仿宋" w:eastAsia="仿宋" w:hAnsi="仿宋" w:cs="仿宋"/>
          <w:bCs/>
          <w:sz w:val="32"/>
          <w:szCs w:val="32"/>
        </w:rPr>
        <w:t>万元。2026年计划分包招采7份，包括水稳场站建设2份、沥青场站建设1份、水稳劳务施工3份、沥青劳务施工1份。</w:t>
      </w:r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65" w:name="_Toc248"/>
      <w:bookmarkStart w:id="66" w:name="_Toc31814"/>
      <w:bookmarkStart w:id="67" w:name="_Toc223802501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(二)</w:t>
      </w:r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物资集采情况</w:t>
      </w:r>
      <w:bookmarkEnd w:id="65"/>
      <w:bookmarkEnd w:id="66"/>
      <w:bookmarkEnd w:id="67"/>
    </w:p>
    <w:p w:rsidR="00E37669" w:rsidRDefault="00A9117B">
      <w:pPr>
        <w:spacing w:line="360" w:lineRule="auto"/>
        <w:ind w:firstLineChars="200" w:firstLine="640"/>
        <w:rPr>
          <w:rFonts w:ascii="仿宋" w:eastAsia="仿宋" w:hAnsi="仿宋" w:cs="仿宋"/>
          <w:bCs/>
          <w:sz w:val="32"/>
          <w:szCs w:val="32"/>
        </w:rPr>
      </w:pPr>
      <w:r w:rsidRPr="00A9117B">
        <w:rPr>
          <w:rFonts w:ascii="仿宋" w:eastAsia="仿宋" w:hAnsi="仿宋" w:cs="仿宋"/>
          <w:bCs/>
          <w:sz w:val="32"/>
          <w:szCs w:val="32"/>
        </w:rPr>
        <w:t>2025年已完成物资招采48份，已完成物资招标合同额为80,388.739万元。2026年计划物资招采40份，其中路面水稳水泥及地材4份，路面沥青及地材5份，混凝土外加剂4份，路基填料8份，路面护栏、润滑油、电缆、土工材料、路面标志牌、隔离栅、伸缩缝、钢筋网片、钢纤维、排水管、泄水管及盖、防落网、声屏障、梯笼、防撞墙模板、作业平台、商混6、商混7、拌合站配件各一份。</w:t>
      </w:r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68" w:name="_Toc23199"/>
      <w:bookmarkStart w:id="69" w:name="_Toc18445"/>
      <w:bookmarkStart w:id="70" w:name="_Toc223802502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(三)</w:t>
      </w:r>
      <w:r>
        <w:rPr>
          <w:rFonts w:ascii="仿宋" w:eastAsia="仿宋" w:hAnsi="仿宋" w:cs="仿宋"/>
          <w:b/>
          <w:bCs/>
          <w:color w:val="auto"/>
          <w:sz w:val="32"/>
          <w:szCs w:val="32"/>
        </w:rPr>
        <w:t>填料招采</w:t>
      </w:r>
      <w:bookmarkEnd w:id="68"/>
      <w:bookmarkEnd w:id="69"/>
      <w:r w:rsidR="00607999"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情况</w:t>
      </w:r>
      <w:bookmarkEnd w:id="70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Calibri"/>
          <w:bCs/>
          <w:sz w:val="32"/>
          <w:szCs w:val="32"/>
        </w:rPr>
      </w:pPr>
      <w:r>
        <w:rPr>
          <w:rFonts w:ascii="仿宋" w:eastAsia="仿宋" w:hAnsi="仿宋" w:cs="仿宋"/>
          <w:bCs/>
          <w:sz w:val="32"/>
          <w:szCs w:val="32"/>
        </w:rPr>
        <w:t>与局商务部共同开展料源地考察，共计考察黑山3个取土场和彰武、辽阳各1个料源地。其中黑山3个取土场目前可落实2个，储量共计约400万m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仿宋"/>
          <w:bCs/>
          <w:sz w:val="32"/>
          <w:szCs w:val="32"/>
        </w:rPr>
        <w:t>，可供应本项目6标段1-3路基段及7标段4路基段(绕阳河西侧)；彰武料源地目前已签订200万m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仿宋"/>
          <w:bCs/>
          <w:sz w:val="32"/>
          <w:szCs w:val="32"/>
        </w:rPr>
        <w:t>回填料框架协议，可供应本项目7标段5-9路基段；填料缺口约300万m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Calibri" w:hint="eastAsia"/>
          <w:bCs/>
          <w:sz w:val="32"/>
          <w:szCs w:val="32"/>
        </w:rPr>
        <w:t>。</w:t>
      </w:r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Calibri"/>
          <w:bCs/>
          <w:sz w:val="32"/>
          <w:szCs w:val="32"/>
        </w:rPr>
      </w:pPr>
      <w:r>
        <w:rPr>
          <w:rFonts w:ascii="仿宋" w:eastAsia="仿宋" w:hAnsi="仿宋" w:cs="Calibri"/>
          <w:bCs/>
          <w:sz w:val="32"/>
          <w:szCs w:val="32"/>
        </w:rPr>
        <w:t>6标采购黑山段填料335.65万方，预计节省成本3,798万元,7标采购黑山取土点填料103万m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Calibri"/>
          <w:bCs/>
          <w:sz w:val="32"/>
          <w:szCs w:val="32"/>
        </w:rPr>
        <w:t>，彰武填料200万m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Calibri"/>
          <w:bCs/>
          <w:sz w:val="32"/>
          <w:szCs w:val="32"/>
        </w:rPr>
        <w:t>(7标缺口约300万m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Calibri"/>
          <w:bCs/>
          <w:sz w:val="32"/>
          <w:szCs w:val="32"/>
        </w:rPr>
        <w:t>)，预计节省成本1809万元，合计节省成本5607万元，利润率增加1.65%(剩余300万m</w:t>
      </w:r>
      <w:r>
        <w:rPr>
          <w:rFonts w:ascii="Calibri" w:eastAsia="仿宋" w:hAnsi="Calibri" w:cs="Calibri"/>
          <w:bCs/>
          <w:sz w:val="32"/>
          <w:szCs w:val="32"/>
        </w:rPr>
        <w:t>³</w:t>
      </w:r>
      <w:r>
        <w:rPr>
          <w:rFonts w:ascii="仿宋" w:eastAsia="仿宋" w:hAnsi="仿宋" w:cs="Calibri"/>
          <w:bCs/>
          <w:sz w:val="32"/>
          <w:szCs w:val="32"/>
        </w:rPr>
        <w:t>料源缺口暂未考虑)</w:t>
      </w:r>
      <w:r>
        <w:rPr>
          <w:rFonts w:ascii="仿宋" w:eastAsia="仿宋" w:hAnsi="仿宋" w:cs="Calibri" w:hint="eastAsia"/>
          <w:bCs/>
          <w:sz w:val="32"/>
          <w:szCs w:val="32"/>
        </w:rPr>
        <w:t>。</w:t>
      </w:r>
    </w:p>
    <w:p w:rsidR="00E37669" w:rsidRPr="00D64BBF" w:rsidRDefault="00000000">
      <w:pPr>
        <w:pStyle w:val="a9"/>
        <w:rPr>
          <w:rFonts w:ascii="仿宋" w:eastAsia="仿宋" w:hAnsi="仿宋"/>
          <w:b/>
          <w:bCs/>
          <w:color w:val="auto"/>
          <w:sz w:val="21"/>
          <w:szCs w:val="21"/>
        </w:rPr>
      </w:pPr>
      <w:r w:rsidRPr="00D64BBF">
        <w:rPr>
          <w:rFonts w:ascii="仿宋" w:eastAsia="仿宋" w:hAnsi="仿宋" w:hint="eastAsia"/>
          <w:b/>
          <w:bCs/>
          <w:color w:val="auto"/>
          <w:sz w:val="21"/>
          <w:szCs w:val="21"/>
        </w:rPr>
        <w:lastRenderedPageBreak/>
        <w:t>路基填料成本对比表</w:t>
      </w:r>
    </w:p>
    <w:tbl>
      <w:tblPr>
        <w:tblStyle w:val="ad"/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3151"/>
        <w:gridCol w:w="1239"/>
        <w:gridCol w:w="1485"/>
        <w:gridCol w:w="1239"/>
        <w:gridCol w:w="1747"/>
      </w:tblGrid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回填料种类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标后单价</w:t>
            </w:r>
          </w:p>
        </w:tc>
        <w:tc>
          <w:tcPr>
            <w:tcW w:w="773" w:type="pct"/>
            <w:vAlign w:val="center"/>
          </w:tcPr>
          <w:p w:rsidR="00E37669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预计采购价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施工总量</w:t>
            </w:r>
          </w:p>
          <w:p w:rsidR="00E37669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(万方)</w:t>
            </w:r>
          </w:p>
        </w:tc>
        <w:tc>
          <w:tcPr>
            <w:tcW w:w="909" w:type="pct"/>
            <w:vAlign w:val="center"/>
          </w:tcPr>
          <w:p w:rsidR="00E37669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节省成本</w:t>
            </w:r>
          </w:p>
          <w:p w:rsidR="00E37669" w:rsidRDefault="00000000">
            <w:pPr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(万元)</w:t>
            </w:r>
          </w:p>
        </w:tc>
      </w:tr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一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6标(黑山县填料)</w:t>
            </w:r>
          </w:p>
        </w:tc>
        <w:tc>
          <w:tcPr>
            <w:tcW w:w="645" w:type="pct"/>
            <w:vAlign w:val="center"/>
          </w:tcPr>
          <w:p w:rsidR="00E37669" w:rsidRDefault="00E37669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773" w:type="pct"/>
            <w:vAlign w:val="center"/>
          </w:tcPr>
          <w:p w:rsidR="00E37669" w:rsidRDefault="00E37669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645" w:type="pct"/>
            <w:vAlign w:val="center"/>
          </w:tcPr>
          <w:p w:rsidR="00E37669" w:rsidRDefault="00E37669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909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3798.17</w:t>
            </w:r>
          </w:p>
        </w:tc>
      </w:tr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路基填料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48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289.86</w:t>
            </w:r>
          </w:p>
        </w:tc>
        <w:tc>
          <w:tcPr>
            <w:tcW w:w="909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3478.32</w:t>
            </w:r>
          </w:p>
        </w:tc>
      </w:tr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2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路基填筑透水性材料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50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18.18</w:t>
            </w:r>
          </w:p>
        </w:tc>
        <w:tc>
          <w:tcPr>
            <w:tcW w:w="909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181.8</w:t>
            </w:r>
          </w:p>
        </w:tc>
      </w:tr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3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换填透水性材料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55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27.61</w:t>
            </w:r>
          </w:p>
        </w:tc>
        <w:tc>
          <w:tcPr>
            <w:tcW w:w="909" w:type="pct"/>
            <w:vAlign w:val="center"/>
          </w:tcPr>
          <w:p w:rsidR="00E37669" w:rsidRDefault="00000000">
            <w:pPr>
              <w:tabs>
                <w:tab w:val="left" w:pos="547"/>
                <w:tab w:val="center" w:pos="1328"/>
              </w:tabs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138.05</w:t>
            </w:r>
          </w:p>
        </w:tc>
      </w:tr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二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7标路基4队(黑山填料)</w:t>
            </w:r>
          </w:p>
        </w:tc>
        <w:tc>
          <w:tcPr>
            <w:tcW w:w="645" w:type="pct"/>
            <w:vAlign w:val="center"/>
          </w:tcPr>
          <w:p w:rsidR="00E37669" w:rsidRDefault="00E37669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773" w:type="pct"/>
            <w:vAlign w:val="center"/>
          </w:tcPr>
          <w:p w:rsidR="00E37669" w:rsidRDefault="00E37669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645" w:type="pct"/>
            <w:vAlign w:val="center"/>
          </w:tcPr>
          <w:p w:rsidR="00E37669" w:rsidRDefault="00E37669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909" w:type="pct"/>
            <w:vAlign w:val="center"/>
          </w:tcPr>
          <w:p w:rsidR="00E37669" w:rsidRDefault="00000000">
            <w:pPr>
              <w:tabs>
                <w:tab w:val="left" w:pos="547"/>
                <w:tab w:val="center" w:pos="1328"/>
              </w:tabs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884</w:t>
            </w:r>
          </w:p>
        </w:tc>
      </w:tr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路基填料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50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73.8</w:t>
            </w:r>
          </w:p>
        </w:tc>
        <w:tc>
          <w:tcPr>
            <w:tcW w:w="909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738</w:t>
            </w:r>
          </w:p>
        </w:tc>
      </w:tr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2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路基填筑透水性材料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55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29.2</w:t>
            </w:r>
          </w:p>
        </w:tc>
        <w:tc>
          <w:tcPr>
            <w:tcW w:w="909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146</w:t>
            </w:r>
          </w:p>
        </w:tc>
      </w:tr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3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换填透水性材料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/</w:t>
            </w:r>
          </w:p>
        </w:tc>
        <w:tc>
          <w:tcPr>
            <w:tcW w:w="909" w:type="pct"/>
            <w:vAlign w:val="center"/>
          </w:tcPr>
          <w:p w:rsidR="00E37669" w:rsidRDefault="00E37669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三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7标路基5-9队(彰武填料)</w:t>
            </w:r>
          </w:p>
        </w:tc>
        <w:tc>
          <w:tcPr>
            <w:tcW w:w="645" w:type="pct"/>
            <w:vAlign w:val="center"/>
          </w:tcPr>
          <w:p w:rsidR="00E37669" w:rsidRDefault="00E37669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773" w:type="pct"/>
            <w:vAlign w:val="center"/>
          </w:tcPr>
          <w:p w:rsidR="00E37669" w:rsidRDefault="00E37669">
            <w:pPr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645" w:type="pct"/>
            <w:vAlign w:val="center"/>
          </w:tcPr>
          <w:p w:rsidR="00E37669" w:rsidRDefault="00E37669">
            <w:pPr>
              <w:tabs>
                <w:tab w:val="left" w:pos="547"/>
                <w:tab w:val="center" w:pos="1328"/>
              </w:tabs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</w:p>
        </w:tc>
        <w:tc>
          <w:tcPr>
            <w:tcW w:w="909" w:type="pct"/>
            <w:vAlign w:val="center"/>
          </w:tcPr>
          <w:p w:rsidR="00E37669" w:rsidRDefault="00000000">
            <w:pPr>
              <w:tabs>
                <w:tab w:val="left" w:pos="547"/>
                <w:tab w:val="center" w:pos="1328"/>
              </w:tabs>
              <w:spacing w:line="276" w:lineRule="auto"/>
              <w:jc w:val="center"/>
              <w:rPr>
                <w:rFonts w:ascii="仿宋" w:eastAsia="仿宋" w:hAnsi="仿宋" w:cs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925</w:t>
            </w:r>
          </w:p>
        </w:tc>
      </w:tr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1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路基填料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50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44</w:t>
            </w:r>
          </w:p>
        </w:tc>
        <w:tc>
          <w:tcPr>
            <w:tcW w:w="909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440</w:t>
            </w:r>
          </w:p>
        </w:tc>
      </w:tr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2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路基填筑透水性材料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55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97</w:t>
            </w:r>
          </w:p>
        </w:tc>
        <w:tc>
          <w:tcPr>
            <w:tcW w:w="909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485</w:t>
            </w:r>
          </w:p>
        </w:tc>
      </w:tr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3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换填透水性材料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59</w:t>
            </w:r>
          </w:p>
        </w:tc>
        <w:tc>
          <w:tcPr>
            <w:tcW w:w="909" w:type="pct"/>
            <w:vAlign w:val="center"/>
          </w:tcPr>
          <w:p w:rsidR="00E37669" w:rsidRDefault="00E37669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</w:p>
        </w:tc>
      </w:tr>
      <w:tr w:rsidR="00E37669">
        <w:trPr>
          <w:jc w:val="center"/>
        </w:trPr>
        <w:tc>
          <w:tcPr>
            <w:tcW w:w="388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4</w:t>
            </w:r>
          </w:p>
        </w:tc>
        <w:tc>
          <w:tcPr>
            <w:tcW w:w="1640" w:type="pct"/>
            <w:vAlign w:val="center"/>
          </w:tcPr>
          <w:p w:rsidR="00E37669" w:rsidRDefault="00000000">
            <w:pPr>
              <w:spacing w:line="276" w:lineRule="auto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填料缺口(未落地)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60</w:t>
            </w:r>
          </w:p>
        </w:tc>
        <w:tc>
          <w:tcPr>
            <w:tcW w:w="773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未定</w:t>
            </w:r>
          </w:p>
        </w:tc>
        <w:tc>
          <w:tcPr>
            <w:tcW w:w="645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300</w:t>
            </w:r>
          </w:p>
        </w:tc>
        <w:tc>
          <w:tcPr>
            <w:tcW w:w="909" w:type="pct"/>
            <w:vAlign w:val="center"/>
          </w:tcPr>
          <w:p w:rsidR="00E37669" w:rsidRDefault="00000000">
            <w:pPr>
              <w:spacing w:line="276" w:lineRule="auto"/>
              <w:jc w:val="center"/>
              <w:rPr>
                <w:rFonts w:ascii="仿宋" w:eastAsia="仿宋" w:hAnsi="仿宋" w:cs="仿宋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</w:rPr>
              <w:t>未考虑</w:t>
            </w:r>
          </w:p>
        </w:tc>
      </w:tr>
    </w:tbl>
    <w:p w:rsidR="00E37669" w:rsidRDefault="00000000">
      <w:pPr>
        <w:pStyle w:val="1"/>
        <w:spacing w:before="0" w:after="0"/>
        <w:rPr>
          <w:rFonts w:ascii="仿宋" w:eastAsia="仿宋" w:hAnsi="仿宋" w:cs="仿宋"/>
          <w:b/>
          <w:color w:val="auto"/>
          <w:sz w:val="32"/>
          <w:szCs w:val="32"/>
        </w:rPr>
      </w:pPr>
      <w:bookmarkStart w:id="71" w:name="_Toc3667"/>
      <w:bookmarkStart w:id="72" w:name="_Toc16729"/>
      <w:bookmarkStart w:id="73" w:name="_Toc223802503"/>
      <w:r>
        <w:rPr>
          <w:rFonts w:ascii="仿宋" w:eastAsia="仿宋" w:hAnsi="仿宋" w:cs="仿宋" w:hint="eastAsia"/>
          <w:b/>
          <w:color w:val="auto"/>
          <w:sz w:val="32"/>
          <w:szCs w:val="32"/>
        </w:rPr>
        <w:t>六、需公司协调的问题</w:t>
      </w:r>
      <w:bookmarkEnd w:id="71"/>
      <w:bookmarkEnd w:id="72"/>
      <w:bookmarkEnd w:id="73"/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74" w:name="_Toc15469"/>
      <w:bookmarkStart w:id="75" w:name="_Toc9602"/>
      <w:bookmarkStart w:id="76" w:name="_Toc223802504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(一)合规性管理</w:t>
      </w:r>
      <w:bookmarkEnd w:id="74"/>
      <w:bookmarkEnd w:id="75"/>
      <w:bookmarkEnd w:id="76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Calibri"/>
          <w:bCs/>
          <w:sz w:val="32"/>
          <w:szCs w:val="32"/>
        </w:rPr>
      </w:pPr>
      <w:r>
        <w:rPr>
          <w:rFonts w:ascii="仿宋" w:eastAsia="仿宋" w:hAnsi="仿宋" w:cs="Calibri" w:hint="eastAsia"/>
          <w:bCs/>
          <w:sz w:val="32"/>
          <w:szCs w:val="32"/>
        </w:rPr>
        <w:t>合同招标及签订滞后，现场存在未签合同先进场合规性问题，需要公司在分包限价和流程方面给予支持。</w:t>
      </w:r>
    </w:p>
    <w:p w:rsidR="00E37669" w:rsidRDefault="00000000">
      <w:pPr>
        <w:pStyle w:val="2"/>
        <w:spacing w:before="0" w:after="0"/>
        <w:ind w:firstLineChars="200" w:firstLine="643"/>
        <w:rPr>
          <w:rFonts w:ascii="仿宋" w:eastAsia="仿宋" w:hAnsi="仿宋" w:cs="仿宋"/>
          <w:b/>
          <w:bCs/>
          <w:color w:val="auto"/>
          <w:sz w:val="32"/>
          <w:szCs w:val="32"/>
        </w:rPr>
      </w:pPr>
      <w:bookmarkStart w:id="77" w:name="_Toc29937"/>
      <w:bookmarkStart w:id="78" w:name="_Toc5901"/>
      <w:bookmarkStart w:id="79" w:name="_Toc223802505"/>
      <w:r>
        <w:rPr>
          <w:rFonts w:ascii="仿宋" w:eastAsia="仿宋" w:hAnsi="仿宋" w:cs="仿宋" w:hint="eastAsia"/>
          <w:b/>
          <w:bCs/>
          <w:color w:val="auto"/>
          <w:sz w:val="32"/>
          <w:szCs w:val="32"/>
        </w:rPr>
        <w:t>(二)资金支持</w:t>
      </w:r>
      <w:bookmarkEnd w:id="77"/>
      <w:bookmarkEnd w:id="78"/>
      <w:bookmarkEnd w:id="79"/>
    </w:p>
    <w:p w:rsidR="00E37669" w:rsidRDefault="00000000">
      <w:pPr>
        <w:spacing w:line="360" w:lineRule="auto"/>
        <w:ind w:firstLineChars="200" w:firstLine="640"/>
        <w:rPr>
          <w:rFonts w:ascii="仿宋" w:eastAsia="仿宋" w:hAnsi="仿宋" w:cs="Calibri"/>
          <w:bCs/>
          <w:sz w:val="32"/>
          <w:szCs w:val="32"/>
        </w:rPr>
      </w:pPr>
      <w:r>
        <w:rPr>
          <w:rFonts w:ascii="仿宋" w:eastAsia="仿宋" w:hAnsi="仿宋" w:cs="Calibri" w:hint="eastAsia"/>
          <w:bCs/>
          <w:sz w:val="32"/>
          <w:szCs w:val="32"/>
        </w:rPr>
        <w:t>土石方填方量巨大，施工时间短，资金需求巨大。为保证现场作业有效开展，需要公司给予资金(现汇)支持。</w:t>
      </w:r>
    </w:p>
    <w:sectPr w:rsidR="00E37669">
      <w:footerReference w:type="default" r:id="rId11"/>
      <w:footerReference w:type="first" r:id="rId12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455D" w:rsidRDefault="00F7455D">
      <w:r>
        <w:separator/>
      </w:r>
    </w:p>
  </w:endnote>
  <w:endnote w:type="continuationSeparator" w:id="0">
    <w:p w:rsidR="00F7455D" w:rsidRDefault="00F74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358508515"/>
    </w:sdtPr>
    <w:sdtContent>
      <w:p w:rsidR="00E37669" w:rsidRDefault="00000000">
        <w:pPr>
          <w:pStyle w:val="a5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:rsidR="00E37669" w:rsidRDefault="00E3766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614180136"/>
    </w:sdtPr>
    <w:sdtContent>
      <w:p w:rsidR="00E37669" w:rsidRDefault="00000000">
        <w:pPr>
          <w:pStyle w:val="a5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4</w:t>
        </w:r>
        <w:r>
          <w:rPr>
            <w:rStyle w:val="ae"/>
          </w:rPr>
          <w:fldChar w:fldCharType="end"/>
        </w:r>
      </w:p>
    </w:sdtContent>
  </w:sdt>
  <w:p w:rsidR="00E37669" w:rsidRDefault="00E3766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1"/>
        <w:szCs w:val="21"/>
      </w:rPr>
      <w:id w:val="597451798"/>
    </w:sdtPr>
    <w:sdtContent>
      <w:p w:rsidR="00E37669" w:rsidRDefault="00000000">
        <w:pPr>
          <w:pStyle w:val="a5"/>
          <w:framePr w:wrap="auto" w:vAnchor="text" w:hAnchor="margin" w:xAlign="center" w:y="1"/>
          <w:rPr>
            <w:rStyle w:val="ae"/>
            <w:sz w:val="21"/>
            <w:szCs w:val="21"/>
          </w:rPr>
        </w:pPr>
        <w:r>
          <w:rPr>
            <w:rStyle w:val="ae"/>
            <w:sz w:val="21"/>
            <w:szCs w:val="21"/>
          </w:rPr>
          <w:fldChar w:fldCharType="begin"/>
        </w:r>
        <w:r>
          <w:rPr>
            <w:rStyle w:val="ae"/>
            <w:sz w:val="21"/>
            <w:szCs w:val="21"/>
          </w:rPr>
          <w:instrText xml:space="preserve"> PAGE </w:instrText>
        </w:r>
        <w:r>
          <w:rPr>
            <w:rStyle w:val="ae"/>
            <w:sz w:val="21"/>
            <w:szCs w:val="21"/>
          </w:rPr>
          <w:fldChar w:fldCharType="separate"/>
        </w:r>
        <w:r>
          <w:rPr>
            <w:rStyle w:val="ae"/>
            <w:sz w:val="21"/>
            <w:szCs w:val="21"/>
          </w:rPr>
          <w:t>4</w:t>
        </w:r>
        <w:r>
          <w:rPr>
            <w:rStyle w:val="ae"/>
            <w:sz w:val="21"/>
            <w:szCs w:val="21"/>
          </w:rPr>
          <w:fldChar w:fldCharType="end"/>
        </w:r>
      </w:p>
    </w:sdtContent>
  </w:sdt>
  <w:p w:rsidR="00E37669" w:rsidRDefault="00E37669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669" w:rsidRDefault="00E376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455D" w:rsidRDefault="00F7455D">
      <w:r>
        <w:separator/>
      </w:r>
    </w:p>
  </w:footnote>
  <w:footnote w:type="continuationSeparator" w:id="0">
    <w:p w:rsidR="00F7455D" w:rsidRDefault="00F74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B39"/>
    <w:rsid w:val="00033434"/>
    <w:rsid w:val="000A602C"/>
    <w:rsid w:val="000D2EC3"/>
    <w:rsid w:val="000D4A0E"/>
    <w:rsid w:val="000F38CE"/>
    <w:rsid w:val="001078D6"/>
    <w:rsid w:val="001334EF"/>
    <w:rsid w:val="00134F32"/>
    <w:rsid w:val="001400AA"/>
    <w:rsid w:val="001B5D1D"/>
    <w:rsid w:val="001F14C0"/>
    <w:rsid w:val="001F231F"/>
    <w:rsid w:val="002135AD"/>
    <w:rsid w:val="00214AC9"/>
    <w:rsid w:val="0022739A"/>
    <w:rsid w:val="00274FDC"/>
    <w:rsid w:val="00283ADF"/>
    <w:rsid w:val="00295DC9"/>
    <w:rsid w:val="002B202D"/>
    <w:rsid w:val="00303D6E"/>
    <w:rsid w:val="00327C6F"/>
    <w:rsid w:val="00332A7D"/>
    <w:rsid w:val="00386C76"/>
    <w:rsid w:val="003D5150"/>
    <w:rsid w:val="00407B48"/>
    <w:rsid w:val="00417401"/>
    <w:rsid w:val="00492D0E"/>
    <w:rsid w:val="004D79D9"/>
    <w:rsid w:val="004F37CB"/>
    <w:rsid w:val="00512B39"/>
    <w:rsid w:val="00523AB4"/>
    <w:rsid w:val="00551841"/>
    <w:rsid w:val="0057607F"/>
    <w:rsid w:val="005E151A"/>
    <w:rsid w:val="00607999"/>
    <w:rsid w:val="00627772"/>
    <w:rsid w:val="006312DA"/>
    <w:rsid w:val="00662A60"/>
    <w:rsid w:val="00670DFC"/>
    <w:rsid w:val="006737B4"/>
    <w:rsid w:val="00680372"/>
    <w:rsid w:val="006C2876"/>
    <w:rsid w:val="006C4D01"/>
    <w:rsid w:val="006D3A97"/>
    <w:rsid w:val="007105A0"/>
    <w:rsid w:val="00722CB6"/>
    <w:rsid w:val="007548CF"/>
    <w:rsid w:val="00792CBF"/>
    <w:rsid w:val="00797198"/>
    <w:rsid w:val="007C2813"/>
    <w:rsid w:val="007C5BF2"/>
    <w:rsid w:val="007D06E9"/>
    <w:rsid w:val="007E2EEA"/>
    <w:rsid w:val="00805B2B"/>
    <w:rsid w:val="00811308"/>
    <w:rsid w:val="00820122"/>
    <w:rsid w:val="00836494"/>
    <w:rsid w:val="00844C2D"/>
    <w:rsid w:val="00846016"/>
    <w:rsid w:val="00881AE3"/>
    <w:rsid w:val="00885457"/>
    <w:rsid w:val="00890926"/>
    <w:rsid w:val="00891473"/>
    <w:rsid w:val="008A5821"/>
    <w:rsid w:val="008E5091"/>
    <w:rsid w:val="00925FA7"/>
    <w:rsid w:val="009368B0"/>
    <w:rsid w:val="009703C1"/>
    <w:rsid w:val="00977E86"/>
    <w:rsid w:val="009968DD"/>
    <w:rsid w:val="00997B6C"/>
    <w:rsid w:val="009D62D3"/>
    <w:rsid w:val="009E555C"/>
    <w:rsid w:val="00A34317"/>
    <w:rsid w:val="00A35CEE"/>
    <w:rsid w:val="00A52FD7"/>
    <w:rsid w:val="00A61005"/>
    <w:rsid w:val="00A7235A"/>
    <w:rsid w:val="00A76059"/>
    <w:rsid w:val="00A9117B"/>
    <w:rsid w:val="00AA7DA9"/>
    <w:rsid w:val="00AB6427"/>
    <w:rsid w:val="00AD4C0D"/>
    <w:rsid w:val="00AE061D"/>
    <w:rsid w:val="00B65FB4"/>
    <w:rsid w:val="00BA1F59"/>
    <w:rsid w:val="00BB365E"/>
    <w:rsid w:val="00BB3F47"/>
    <w:rsid w:val="00BB412C"/>
    <w:rsid w:val="00BD4770"/>
    <w:rsid w:val="00BD7056"/>
    <w:rsid w:val="00BF31EE"/>
    <w:rsid w:val="00C036C3"/>
    <w:rsid w:val="00C05E74"/>
    <w:rsid w:val="00C17AF9"/>
    <w:rsid w:val="00C22249"/>
    <w:rsid w:val="00C37809"/>
    <w:rsid w:val="00C40F81"/>
    <w:rsid w:val="00C41180"/>
    <w:rsid w:val="00C863BD"/>
    <w:rsid w:val="00CA1862"/>
    <w:rsid w:val="00CA71FA"/>
    <w:rsid w:val="00CD2D27"/>
    <w:rsid w:val="00CD4E95"/>
    <w:rsid w:val="00CD4F8F"/>
    <w:rsid w:val="00D01CFD"/>
    <w:rsid w:val="00D22882"/>
    <w:rsid w:val="00D3776A"/>
    <w:rsid w:val="00D634FB"/>
    <w:rsid w:val="00D643C1"/>
    <w:rsid w:val="00D64BBF"/>
    <w:rsid w:val="00D866AF"/>
    <w:rsid w:val="00DB2F87"/>
    <w:rsid w:val="00DE4036"/>
    <w:rsid w:val="00E17A9F"/>
    <w:rsid w:val="00E254DB"/>
    <w:rsid w:val="00E306EE"/>
    <w:rsid w:val="00E30FE3"/>
    <w:rsid w:val="00E37669"/>
    <w:rsid w:val="00E5669A"/>
    <w:rsid w:val="00EB2804"/>
    <w:rsid w:val="00EB676C"/>
    <w:rsid w:val="00EB7781"/>
    <w:rsid w:val="00EE2E7B"/>
    <w:rsid w:val="00F67418"/>
    <w:rsid w:val="00F7455D"/>
    <w:rsid w:val="00F81E5A"/>
    <w:rsid w:val="00F95F29"/>
    <w:rsid w:val="00FC6E42"/>
    <w:rsid w:val="233A33D9"/>
    <w:rsid w:val="4CC8535C"/>
    <w:rsid w:val="73CA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920FB25-AAA1-714F-8036-FBC8E290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next w:val="a"/>
    <w:link w:val="a4"/>
    <w:autoRedefine/>
    <w:uiPriority w:val="1"/>
    <w:qFormat/>
    <w:pPr>
      <w:spacing w:line="360" w:lineRule="auto"/>
      <w:ind w:firstLineChars="200" w:firstLine="560"/>
    </w:pPr>
    <w:rPr>
      <w:rFonts w:ascii="黑体" w:eastAsia="仿宋" w:hAnsi="黑体" w:cs="黑体"/>
      <w:sz w:val="28"/>
      <w:szCs w:val="32"/>
      <w:u w:color="000000"/>
    </w:rPr>
  </w:style>
  <w:style w:type="paragraph" w:styleId="TOC5">
    <w:name w:val="toc 5"/>
    <w:basedOn w:val="a"/>
    <w:next w:val="a"/>
    <w:autoRedefine/>
    <w:uiPriority w:val="39"/>
    <w:unhideWhenUsed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rsid w:val="00417401"/>
    <w:pPr>
      <w:tabs>
        <w:tab w:val="right" w:leader="dot" w:pos="9628"/>
      </w:tabs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pPr>
      <w:ind w:left="630"/>
      <w:jc w:val="left"/>
    </w:pPr>
    <w:rPr>
      <w:rFonts w:eastAsiaTheme="minorHAnsi"/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6">
    <w:name w:val="toc 6"/>
    <w:basedOn w:val="a"/>
    <w:next w:val="a"/>
    <w:autoRedefine/>
    <w:uiPriority w:val="39"/>
    <w:unhideWhenUsed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d">
    <w:name w:val="Table Grid"/>
    <w:basedOn w:val="a1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uiPriority w:val="99"/>
    <w:semiHidden/>
    <w:unhideWhenUsed/>
  </w:style>
  <w:style w:type="character" w:styleId="af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af5">
    <w:name w:val="表格样式"/>
    <w:basedOn w:val="a"/>
    <w:next w:val="a"/>
    <w:autoRedefine/>
    <w:qFormat/>
    <w:pPr>
      <w:jc w:val="center"/>
    </w:pPr>
    <w:rPr>
      <w:rFonts w:ascii="Calibri" w:eastAsia="仿宋" w:hAnsi="Calibri" w:cs="宋体"/>
      <w:sz w:val="24"/>
    </w:rPr>
  </w:style>
  <w:style w:type="character" w:customStyle="1" w:styleId="a4">
    <w:name w:val="正文文本 字符"/>
    <w:basedOn w:val="a0"/>
    <w:link w:val="a3"/>
    <w:uiPriority w:val="1"/>
    <w:rPr>
      <w:rFonts w:ascii="黑体" w:eastAsia="仿宋" w:hAnsi="黑体" w:cs="黑体"/>
      <w:sz w:val="28"/>
      <w:szCs w:val="32"/>
      <w:u w:color="000000"/>
      <w14:ligatures w14:val="none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  <w14:ligatures w14:val="none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885457"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51A191-6DFD-274A-BC67-FD916BB76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Mr.Simi</dc:creator>
  <cp:lastModifiedBy>Mr.Simi</cp:lastModifiedBy>
  <cp:revision>110</cp:revision>
  <dcterms:created xsi:type="dcterms:W3CDTF">2026-03-07T03:20:00Z</dcterms:created>
  <dcterms:modified xsi:type="dcterms:W3CDTF">2026-03-07T15:23:00Z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eyJoZGlkIjoiNDUwNzcwZWFmMDgwYmY5NTMzNmM1NWMyN2VmYzQxYzciLCJ1c2VySWQiOiI2NzQwMzM5MjUifQ==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4FFAEC1671FA4A5DB1B7FF3766C77A91_13</vt:lpwstr>
  </property>
</Properties>
</file>