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lang w:val="ru-RU" w:eastAsia="ru-RU"/>
          <w:rFonts w:ascii="Aptos Display" w:cs="Aptos Display" w:eastAsia="Aptos Display" w:hAnsi="Aptos Display"/>
        </w:rPr>
        <w:t xml:space="preserve">Дашборд оценки качества обучения в филиале ВУЗа</w:t>
      </w:r>
    </w:p>
    <w:p>
      <w:pPr>
        <w:pStyle w:val="Subtitle"/>
      </w:pPr>
      <w:r>
        <w:rPr>
          <w:rFonts w:ascii="Aptos" w:cs="Aptos" w:eastAsia="Aptos" w:hAnsi="Aptos"/>
        </w:rPr>
        <w:t xml:space="preserve">Полный исходный код и техническая документация</w:t>
      </w:r>
    </w:p>
    <w:p>
      <w:pPr>
        <w:spacing w:after="220" w:line="276" w:lineRule="auto"/>
      </w:pPr>
      <w:r>
        <w:rPr>
          <w:rFonts w:ascii="Aptos" w:cs="Aptos" w:eastAsia="Aptos" w:hAnsi="Aptos"/>
          <w:color w:val="5D6B70"/>
          <w:sz w:val="19"/>
          <w:szCs w:val="19"/>
        </w:rPr>
        <w:t xml:space="preserve">Руководство филиала (Директор, Декан)  |  2026-10-08</w:t>
      </w:r>
    </w:p>
    <w:p>
      <w:pPr>
        <w:pStyle w:val="TOCHeading"/>
      </w:pPr>
      <w:r>
        <w:rPr>
          <w:rFonts w:ascii="Aptos Display" w:cs="Aptos Display" w:eastAsia="Aptos Display" w:hAnsi="Aptos Display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false"/>
            <w:instrText xml:space="preserve">TOC \h \o "1-2"</w:instrText>
            <w:fldChar w:fldCharType="separate"/>
          </w:r>
          <w:hyperlink w:history="1" w:anchor="toc_section_001">
            <w:r>
              <w:rPr>
                <w:rStyle w:val="IndexLink"/>
              </w:rPr>
              <w:t xml:space="default">Обзор системы</w:t>
              <w:tab/>
              <w:t xml:space="default">2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02">
            <w:r>
              <w:rPr>
                <w:rStyle w:val="IndexLink"/>
              </w:rPr>
              <w:t xml:space="default">Назначение и целевая аудитория</w:t>
              <w:tab/>
              <w:t xml:space="default">2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03">
            <w:r>
              <w:rPr>
                <w:rStyle w:val="IndexLink"/>
              </w:rPr>
              <w:t xml:space="default">Состав системы</w:t>
              <w:tab/>
              <w:t xml:space="default">2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04">
            <w:r>
              <w:rPr>
                <w:rStyle w:val="IndexLink"/>
              </w:rPr>
              <w:t xml:space="default">Кафедры и преподаватели</w:t>
              <w:tab/>
              <w:t xml:space="default">3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05">
            <w:r>
              <w:rPr>
                <w:rStyle w:val="IndexLink"/>
              </w:rPr>
              <w:t xml:space="default">Ключевые показатели</w:t>
              <w:tab/>
              <w:t xml:space="default">3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</w:pPr>
          <w:hyperlink w:history="1" w:anchor="toc_section_006">
            <w:r>
              <w:rPr>
                <w:rStyle w:val="IndexLink"/>
              </w:rPr>
              <w:t xml:space="default">Архитектура и технологии</w:t>
              <w:tab/>
              <w:t xml:space="default">3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07">
            <w:r>
              <w:rPr>
                <w:rStyle w:val="IndexLink"/>
              </w:rPr>
              <w:t xml:space="default">Технологический стек</w:t>
              <w:tab/>
              <w:t xml:space="default">3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08">
            <w:r>
              <w:rPr>
                <w:rStyle w:val="IndexLink"/>
              </w:rPr>
              <w:t xml:space="default">Структура HTML-файла</w:t>
              <w:tab/>
              <w:t xml:space="default">4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09">
            <w:r>
              <w:rPr>
                <w:rStyle w:val="IndexLink"/>
              </w:rPr>
              <w:t xml:space="default">CSS-анимации и визуальные эффекты</w:t>
              <w:tab/>
              <w:t xml:space="default">4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</w:pPr>
          <w:hyperlink w:history="1" w:anchor="toc_section_010">
            <w:r>
              <w:rPr>
                <w:rStyle w:val="IndexLink"/>
              </w:rPr>
              <w:t xml:space="default">Структура данных и логика расчётов</w:t>
              <w:tab/>
              <w:t xml:space="default">4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11">
            <w:r>
              <w:rPr>
                <w:rStyle w:val="IndexLink"/>
              </w:rPr>
              <w:t xml:space="default">Массивы данных</w:t>
              <w:tab/>
              <w:t xml:space="default">5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15">
            <w:r>
              <w:rPr>
                <w:rStyle w:val="IndexLink"/>
              </w:rPr>
              <w:t xml:space="default">Логика расчёта баллов</w:t>
              <w:tab/>
              <w:t xml:space="default">6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16">
            <w:r>
              <w:rPr>
                <w:rStyle w:val="IndexLink"/>
              </w:rPr>
              <w:t xml:space="default">Функции JavaScript</w:t>
              <w:tab/>
              <w:t xml:space="default">6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</w:pPr>
          <w:hyperlink w:history="1" w:anchor="toc_section_017">
            <w:r>
              <w:rPr>
                <w:rStyle w:val="IndexLink"/>
              </w:rPr>
              <w:t xml:space="default">Навигация и экраны дашборда</w:t>
              <w:tab/>
              <w:t xml:space="default">7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18">
            <w:r>
              <w:rPr>
                <w:rStyle w:val="IndexLink"/>
              </w:rPr>
              <w:t xml:space="default">Экран 1 — Главный индекс филиала</w:t>
              <w:tab/>
              <w:t xml:space="default">7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19">
            <w:r>
              <w:rPr>
                <w:rStyle w:val="IndexLink"/>
              </w:rPr>
              <w:t xml:space="default">Экран 2 — Блоки анкеты</w:t>
              <w:tab/>
              <w:t xml:space="default">7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20">
            <w:r>
              <w:rPr>
                <w:rStyle w:val="IndexLink"/>
              </w:rPr>
              <w:t xml:space="default">Экран 3 — Срез по кафедрам (Блок 5)</w:t>
              <w:tab/>
              <w:t xml:space="default">7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21">
            <w:r>
              <w:rPr>
                <w:rStyle w:val="IndexLink"/>
              </w:rPr>
              <w:t xml:space="default">Экран 4 — Рейтинг преподавателей Кафедры ВМ</w:t>
              <w:tab/>
              <w:t xml:space="default">7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22">
            <w:r>
              <w:rPr>
                <w:rStyle w:val="IndexLink"/>
              </w:rPr>
              <w:t xml:space="default">Экран 5 — Персональная карта Ивановой И.И.</w:t>
              <w:tab/>
              <w:t xml:space="default">8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</w:pPr>
          <w:hyperlink w:history="1" w:anchor="toc_section_023">
            <w:r>
              <w:rPr>
                <w:rStyle w:val="IndexLink"/>
              </w:rPr>
              <w:t xml:space="default">Полный исходный HTML-код</w:t>
              <w:tab/>
              <w:t xml:space="default">8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24">
            <w:r>
              <w:rPr>
                <w:rStyle w:val="IndexLink"/>
              </w:rPr>
              <w:t xml:space="default">Секция HEAD — зависимости и стили</w:t>
              <w:tab/>
              <w:t xml:space="default">8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25">
            <w:r>
              <w:rPr>
                <w:rStyle w:val="IndexLink"/>
              </w:rPr>
              <w:t xml:space="default">Секция HEADER — шапка с навигацией</w:t>
              <w:tab/>
              <w:t xml:space="default">9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26">
            <w:r>
              <w:rPr>
                <w:rStyle w:val="IndexLink"/>
              </w:rPr>
              <w:t xml:space="default">Экран 1 — разметка главного индекса</w:t>
              <w:tab/>
              <w:t xml:space="default">10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27">
            <w:r>
              <w:rPr>
                <w:rStyle w:val="IndexLink"/>
              </w:rPr>
              <w:t xml:space="default">Экран 2 — разметка плиток блоков</w:t>
              <w:tab/>
              <w:t xml:space="default">10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28">
            <w:r>
              <w:rPr>
                <w:rStyle w:val="IndexLink"/>
              </w:rPr>
              <w:t xml:space="default">Экран 3 — разметка гистограммы кафедр</w:t>
              <w:tab/>
              <w:t xml:space="default">10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29">
            <w:r>
              <w:rPr>
                <w:rStyle w:val="IndexLink"/>
              </w:rPr>
              <w:t xml:space="default">Экран 4 — разметка рейтинга преподавателей</w:t>
              <w:tab/>
              <w:t xml:space="default">11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30">
            <w:r>
              <w:rPr>
                <w:rStyle w:val="IndexLink"/>
              </w:rPr>
              <w:t xml:space="default">Экран 5 — разметка персональной карты</w:t>
              <w:tab/>
              <w:t xml:space="default">11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31">
            <w:r>
              <w:rPr>
                <w:rStyle w:val="IndexLink"/>
              </w:rPr>
              <w:t xml:space="default">JavaScript — полная структура блока script</w:t>
              <w:tab/>
              <w:t xml:space="default">11</w:t>
            </w:r>
          </w:hyperlink>
        </w:p>
        <w:p>
          <w:pPr>
            <w:pStyle w:val="TOC1"/>
            <w:tabs>
              <w:tab w:val="clear" w:pos="9026"/>
              <w:tab w:val="right" w:pos="9025" w:leader="dot"/>
            </w:tabs>
          </w:pPr>
          <w:hyperlink w:history="1" w:anchor="toc_section_032">
            <w:r>
              <w:rPr>
                <w:rStyle w:val="IndexLink"/>
              </w:rPr>
              <w:t xml:space="default">Инструкция по запуску и использованию</w:t>
              <w:tab/>
              <w:t xml:space="default">12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33">
            <w:r>
              <w:rPr>
                <w:rStyle w:val="IndexLink"/>
              </w:rPr>
              <w:t xml:space="default">Системные требования</w:t>
              <w:tab/>
              <w:t xml:space="default">12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34">
            <w:r>
              <w:rPr>
                <w:rStyle w:val="IndexLink"/>
              </w:rPr>
              <w:t xml:space="default">Запуск дашборда</w:t>
              <w:tab/>
              <w:t xml:space="default">13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35">
            <w:r>
              <w:rPr>
                <w:rStyle w:val="IndexLink"/>
              </w:rPr>
              <w:t xml:space="default">Сценарий навигации (Drill-down)</w:t>
              <w:tab/>
              <w:t xml:space="default">13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36">
            <w:r>
              <w:rPr>
                <w:rStyle w:val="IndexLink"/>
              </w:rPr>
              <w:t xml:space="default">Возврат на предыдущий уровень</w:t>
              <w:tab/>
              <w:t xml:space="default">13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37">
            <w:r>
              <w:rPr>
                <w:rStyle w:val="IndexLink"/>
              </w:rPr>
              <w:t xml:space="default">Интерпретация цветовой кодировки</w:t>
              <w:tab/>
              <w:t xml:space="default">13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38">
            <w:r>
              <w:rPr>
                <w:rStyle w:val="IndexLink"/>
              </w:rPr>
              <w:t xml:space="default">Рекомендуемые действия по результатам анализа</w:t>
              <w:tab/>
              <w:t xml:space="default">14</w:t>
            </w:r>
          </w:hyperlink>
        </w:p>
        <w:p>
          <w:pPr>
            <w:pStyle w:val="TOC2"/>
            <w:tabs>
              <w:tab w:val="clear" w:pos="8786"/>
              <w:tab w:val="right" w:pos="9025" w:leader="dot"/>
            </w:tabs>
          </w:pPr>
          <w:hyperlink w:history="1" w:anchor="toc_section_039">
            <w:r>
              <w:rPr>
                <w:rStyle w:val="IndexLink"/>
              </w:rPr>
              <w:t xml:space="default">Адаптация дашборда под реальные данные</w:t>
              <w:tab/>
              <w:t xml:space="default">14</w:t>
            </w:r>
          </w:hyperlink>
          <w:r>
            <w:fldChar w:fldCharType="end"/>
          </w:r>
        </w:p>
      </w:sdtContent>
    </w:sdt>
    <w:p>
      <w:pPr>
        <w:pStyle w:val="Heading1"/>
      </w:pPr>
      <w:bookmarkStart w:name="toc_section_001" w:id="1"/>
      <w:r>
        <w:rPr>
          <w:rFonts w:ascii="Aptos Display" w:cs="Aptos Display" w:eastAsia="Aptos Display" w:hAnsi="Aptos Display"/>
        </w:rPr>
        <w:t xml:space="preserve">Обзор системы</w:t>
      </w:r>
      <w:bookmarkEnd w:id="1"/>
    </w:p>
    <w:p>
      <w:pPr>
        <w:pStyle w:val="Lead"/>
      </w:pPr>
      <w:r>
        <w:rPr>
          <w:rFonts w:ascii="Aptos" w:cs="Aptos" w:eastAsia="Aptos" w:hAnsi="Aptos"/>
        </w:rPr>
        <w:t xml:space="preserve">Дашборд оценки качества обучения — интерактивная аналитическая система для руководства филиала ВУЗа, реализующая сквозную логику погружения в данные (Drill-down) от общего коэффициента филиала до персональной карты преподавателя.</w:t>
      </w:r>
    </w:p>
    <w:p>
      <w:pPr>
        <w:pStyle w:val="Heading2"/>
      </w:pPr>
      <w:bookmarkStart w:name="toc_section_002" w:id="1"/>
      <w:r>
        <w:rPr>
          <w:rFonts w:ascii="Aptos Display" w:cs="Aptos Display" w:eastAsia="Aptos Display" w:hAnsi="Aptos Display"/>
        </w:rPr>
        <w:t xml:space="preserve">Назначение и целевая аудитория</w:t>
      </w:r>
      <w:bookmarkEnd w:id="1"/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Система предназначена для Директора и Декана филиала и позволяет в режиме реального времени отслеживать качество учебного процесса на основе анонимных анкет студентов. Дашборд визуализирует данные 250 виртуальных студентов по 10 преподавателям, распределённым по 4 кафедрам.</w:t>
      </w:r>
    </w:p>
    <w:p>
      <w:pPr>
        <w:pStyle w:val="Heading2"/>
      </w:pPr>
      <w:bookmarkStart w:name="toc_section_003" w:id="1"/>
      <w:r>
        <w:rPr>
          <w:rFonts w:ascii="Aptos Display" w:cs="Aptos Display" w:eastAsia="Aptos Display" w:hAnsi="Aptos Display"/>
        </w:rPr>
        <w:t xml:space="preserve">Состав системы</w:t>
      </w:r>
      <w:bookmarkEnd w:id="1"/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93"/>
        <w:gridCol w:w="7009"/>
      </w:tblGrid>
      <w:tr>
        <w:trPr>
          <w:cantSplit/>
        </w:trPr>
        <w:tc>
          <w:tcPr>
            <w:tcW w:type="dxa" w:w="2593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Тип реализации</w:t>
            </w:r>
          </w:p>
        </w:tc>
        <w:tc>
          <w:tcPr>
            <w:tcW w:type="dxa" w:w="7009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Одностраничное HTML-приложение (SPA)</w:t>
            </w:r>
          </w:p>
        </w:tc>
      </w:tr>
      <w:tr>
        <w:trPr>
          <w:cantSplit/>
        </w:trPr>
        <w:tc>
          <w:tcPr>
            <w:tcW w:type="dxa" w:w="2593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Файл</w:t>
            </w:r>
          </w:p>
        </w:tc>
        <w:tc>
          <w:tcPr>
            <w:tcW w:type="dxa" w:w="7009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dashboard.html</w:t>
            </w:r>
          </w:p>
        </w:tc>
      </w:tr>
      <w:tr>
        <w:trPr>
          <w:cantSplit/>
        </w:trPr>
        <w:tc>
          <w:tcPr>
            <w:tcW w:type="dxa" w:w="2593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Зависимости</w:t>
            </w:r>
          </w:p>
        </w:tc>
        <w:tc>
          <w:tcPr>
            <w:tcW w:type="dxa" w:w="7009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Tailwind CSS CDN, Chart.js 4.4.0</w:t>
            </w:r>
          </w:p>
        </w:tc>
      </w:tr>
      <w:tr>
        <w:trPr>
          <w:cantSplit/>
        </w:trPr>
        <w:tc>
          <w:tcPr>
            <w:tcW w:type="dxa" w:w="2593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Язык интерфейса</w:t>
            </w:r>
          </w:p>
        </w:tc>
        <w:tc>
          <w:tcPr>
            <w:tcW w:type="dxa" w:w="7009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Русский</w:t>
            </w:r>
          </w:p>
        </w:tc>
      </w:tr>
      <w:tr>
        <w:trPr>
          <w:cantSplit/>
        </w:trPr>
        <w:tc>
          <w:tcPr>
            <w:tcW w:type="dxa" w:w="2593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Учебный год</w:t>
            </w:r>
          </w:p>
        </w:tc>
        <w:tc>
          <w:tcPr>
            <w:tcW w:type="dxa" w:w="7009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2025–2026</w:t>
            </w:r>
          </w:p>
        </w:tc>
      </w:tr>
      <w:tr>
        <w:trPr>
          <w:cantSplit/>
        </w:trPr>
        <w:tc>
          <w:tcPr>
            <w:tcW w:type="dxa" w:w="2593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Студентов в выборке</w:t>
            </w:r>
          </w:p>
        </w:tc>
        <w:tc>
          <w:tcPr>
            <w:tcW w:type="dxa" w:w="7009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250</w:t>
            </w:r>
          </w:p>
        </w:tc>
      </w:tr>
      <w:tr>
        <w:trPr>
          <w:cantSplit/>
        </w:trPr>
        <w:tc>
          <w:tcPr>
            <w:tcW w:type="dxa" w:w="2593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Преподавателей</w:t>
            </w:r>
          </w:p>
        </w:tc>
        <w:tc>
          <w:tcPr>
            <w:tcW w:type="dxa" w:w="7009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2593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Кафедр</w:t>
            </w:r>
          </w:p>
        </w:tc>
        <w:tc>
          <w:tcPr>
            <w:tcW w:type="dxa" w:w="7009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593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Блоков анкеты</w:t>
            </w:r>
          </w:p>
        </w:tc>
        <w:tc>
          <w:tcPr>
            <w:tcW w:type="dxa" w:w="7009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bookmarkStart w:name="toc_section_004" w:id="1"/>
      <w:r>
        <w:rPr>
          <w:rFonts w:ascii="Aptos Display" w:cs="Aptos Display" w:eastAsia="Aptos Display" w:hAnsi="Aptos Display"/>
        </w:rPr>
        <w:t xml:space="preserve">Кафедры и преподаватели</w:t>
      </w:r>
      <w:bookmarkEnd w:id="1"/>
    </w:p>
    <w:p>
      <w:pPr>
        <w:pStyle w:val="Caption"/>
        <w:keepNext/>
      </w:pPr>
      <w:r>
        <w:rPr>
          <w:rFonts w:ascii="Aptos" w:cs="Aptos" w:eastAsia="Aptos" w:hAnsi="Aptos"/>
          <w:b/>
          <w:bCs/>
        </w:rPr>
        <w:t xml:space="preserve">Таблица 1. Распределение преподавателей по кафедрам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3"/>
        <w:gridCol w:w="4789"/>
      </w:tblGrid>
      <w:tr>
        <w:trPr>
          <w:cantSplit/>
          <w:tblHeader/>
        </w:trPr>
        <w:tc>
          <w:tcPr>
            <w:tcW w:type="dxa" w:w="4813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Кафедра</w:t>
            </w:r>
          </w:p>
        </w:tc>
        <w:tc>
          <w:tcPr>
            <w:tcW w:type="dxa" w:w="4789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Преподаватели</w:t>
            </w:r>
          </w:p>
        </w:tc>
      </w:tr>
      <w:tr>
        <w:trPr>
          <w:cantSplit/>
        </w:trPr>
        <w:tc>
          <w:tcPr>
            <w:tcW w:type="dxa" w:w="4813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Кафедра ПО (Программного обеспечения)</w:t>
            </w:r>
          </w:p>
        </w:tc>
        <w:tc>
          <w:tcPr>
            <w:tcW w:type="dxa" w:w="4789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Иванов А.А., Петров П.П., Сидоров С.С.</w:t>
            </w:r>
          </w:p>
        </w:tc>
      </w:tr>
      <w:tr>
        <w:trPr>
          <w:cantSplit/>
        </w:trPr>
        <w:tc>
          <w:tcPr>
            <w:tcW w:type="dxa" w:w="4813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Кафедра ИТ (Информационных технологий)</w:t>
            </w:r>
          </w:p>
        </w:tc>
        <w:tc>
          <w:tcPr>
            <w:tcW w:type="dxa" w:w="4789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Смирнов К.М., Кузнецов Д.В., Попов С.А.</w:t>
            </w:r>
          </w:p>
        </w:tc>
      </w:tr>
      <w:tr>
        <w:trPr>
          <w:cantSplit/>
        </w:trPr>
        <w:tc>
          <w:tcPr>
            <w:tcW w:type="dxa" w:w="4813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Кафедра ВМ (Высшей математики)</w:t>
            </w:r>
          </w:p>
        </w:tc>
        <w:tc>
          <w:tcPr>
            <w:tcW w:type="dxa" w:w="4789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Васильев Н.Н., Иванова И.И.</w:t>
            </w:r>
          </w:p>
        </w:tc>
      </w:tr>
      <w:tr>
        <w:trPr>
          <w:cantSplit/>
        </w:trPr>
        <w:tc>
          <w:tcPr>
            <w:tcW w:type="dxa" w:w="4813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Кафедра Физики</w:t>
            </w:r>
          </w:p>
        </w:tc>
        <w:tc>
          <w:tcPr>
            <w:tcW w:type="dxa" w:w="4789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Новиков П.С., Соколов Е.В.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bookmarkStart w:name="toc_section_005" w:id="1"/>
      <w:r>
        <w:rPr>
          <w:rFonts w:ascii="Aptos Display" w:cs="Aptos Display" w:eastAsia="Aptos Display" w:hAnsi="Aptos Display"/>
        </w:rPr>
        <w:t xml:space="preserve">Ключевые показатели</w:t>
      </w:r>
      <w:bookmarkEnd w:id="1"/>
    </w:p>
    <w:p>
      <w:pPr>
        <w:pStyle w:val="Caption"/>
        <w:keepNext/>
      </w:pPr>
      <w:r>
        <w:rPr>
          <w:rFonts w:ascii="Aptos" w:cs="Aptos" w:eastAsia="Aptos" w:hAnsi="Aptos"/>
          <w:b/>
          <w:bCs/>
        </w:rPr>
        <w:t xml:space="preserve">Таблица 2. Сводные индексы качества по кафедрам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38"/>
        <w:gridCol w:w="2210"/>
        <w:gridCol w:w="2322"/>
        <w:gridCol w:w="2532"/>
      </w:tblGrid>
      <w:tr>
        <w:trPr>
          <w:cantSplit/>
          <w:tblHeader/>
        </w:trPr>
        <w:tc>
          <w:tcPr>
            <w:tcW w:type="dxa" w:w="2538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Кафедра</w:t>
            </w:r>
          </w:p>
        </w:tc>
        <w:tc>
          <w:tcPr>
            <w:tcW w:type="dxa" w:w="2210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Общий индекс</w:t>
            </w:r>
          </w:p>
        </w:tc>
        <w:tc>
          <w:tcPr>
            <w:tcW w:type="dxa" w:w="2322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Индекс Moodle</w:t>
            </w:r>
          </w:p>
        </w:tc>
        <w:tc>
          <w:tcPr>
            <w:tcW w:type="dxa" w:w="2532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dxa" w:w="2538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Кафедра ПО</w:t>
            </w:r>
          </w:p>
        </w:tc>
        <w:tc>
          <w:tcPr>
            <w:tcW w:type="dxa" w:w="2210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0.87</w:t>
            </w:r>
          </w:p>
        </w:tc>
        <w:tc>
          <w:tcPr>
            <w:tcW w:type="dxa" w:w="2322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0.81</w:t>
            </w:r>
          </w:p>
        </w:tc>
        <w:tc>
          <w:tcPr>
            <w:tcW w:type="dxa" w:w="2532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Выше среднего</w:t>
            </w:r>
          </w:p>
        </w:tc>
      </w:tr>
      <w:tr>
        <w:trPr>
          <w:cantSplit/>
        </w:trPr>
        <w:tc>
          <w:tcPr>
            <w:tcW w:type="dxa" w:w="2538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Кафедра ИТ</w:t>
            </w:r>
          </w:p>
        </w:tc>
        <w:tc>
          <w:tcPr>
            <w:tcW w:type="dxa" w:w="2210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0.85</w:t>
            </w:r>
          </w:p>
        </w:tc>
        <w:tc>
          <w:tcPr>
            <w:tcW w:type="dxa" w:w="2322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0.76</w:t>
            </w:r>
          </w:p>
        </w:tc>
        <w:tc>
          <w:tcPr>
            <w:tcW w:type="dxa" w:w="2532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Норма</w:t>
            </w:r>
          </w:p>
        </w:tc>
      </w:tr>
      <w:tr>
        <w:trPr>
          <w:cantSplit/>
        </w:trPr>
        <w:tc>
          <w:tcPr>
            <w:tcW w:type="dxa" w:w="2538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Кафедра Физики</w:t>
            </w:r>
          </w:p>
        </w:tc>
        <w:tc>
          <w:tcPr>
            <w:tcW w:type="dxa" w:w="2210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0.82</w:t>
            </w:r>
          </w:p>
        </w:tc>
        <w:tc>
          <w:tcPr>
            <w:tcW w:type="dxa" w:w="2322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0.69</w:t>
            </w:r>
          </w:p>
        </w:tc>
        <w:tc>
          <w:tcPr>
            <w:tcW w:type="dxa" w:w="2532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Ниже нормы</w:t>
            </w:r>
          </w:p>
        </w:tc>
      </w:tr>
      <w:tr>
        <w:trPr>
          <w:cantSplit/>
        </w:trPr>
        <w:tc>
          <w:tcPr>
            <w:tcW w:type="dxa" w:w="2538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Кафедра ВМ</w:t>
            </w:r>
          </w:p>
        </w:tc>
        <w:tc>
          <w:tcPr>
            <w:tcW w:type="dxa" w:w="2210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0.79</w:t>
            </w:r>
          </w:p>
        </w:tc>
        <w:tc>
          <w:tcPr>
            <w:tcW w:type="dxa" w:w="2322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0.61</w:t>
            </w:r>
          </w:p>
        </w:tc>
        <w:tc>
          <w:tcPr>
            <w:tcW w:type="dxa" w:w="2532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Критично</w:t>
            </w:r>
          </w:p>
        </w:tc>
      </w:tr>
    </w:tbl>
    <w:p>
      <w:pPr>
        <w:spacing w:after="20" w:line="276" w:lineRule="auto"/>
      </w:pP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Общий коэффициент качества обучения по филиалу составляет 0.83 / 1.0.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Абсолютный лидер — Петров П.П. (Кафедра ПО) с индексом 0.95. Зона риска — Иванова И.И. (Кафедра ВМ): индекс Moodle 0.48 при высоком индексе лекций 0.89.</w:t>
      </w:r>
    </w:p>
    <w:p>
      <w:pPr>
        <w:pStyle w:val="Heading1"/>
      </w:pPr>
      <w:bookmarkStart w:name="toc_section_006" w:id="1"/>
      <w:r>
        <w:rPr>
          <w:rFonts w:ascii="Aptos Display" w:cs="Aptos Display" w:eastAsia="Aptos Display" w:hAnsi="Aptos Display"/>
        </w:rPr>
        <w:t xml:space="preserve">Архитектура и технологии</w:t>
      </w:r>
      <w:bookmarkEnd w:id="1"/>
    </w:p>
    <w:p>
      <w:pPr>
        <w:pStyle w:val="Lead"/>
      </w:pPr>
      <w:r>
        <w:rPr>
          <w:rFonts w:ascii="Aptos" w:cs="Aptos" w:eastAsia="Aptos" w:hAnsi="Aptos"/>
        </w:rPr>
        <w:t xml:space="preserve">Дашборд реализован как самодостаточный HTML-файл без серверной части. Все данные, логика и стили упакованы в один файл, не требующий установки или сборки.</w:t>
      </w:r>
    </w:p>
    <w:p>
      <w:pPr>
        <w:pStyle w:val="Heading2"/>
      </w:pPr>
      <w:bookmarkStart w:name="toc_section_007" w:id="1"/>
      <w:r>
        <w:rPr>
          <w:rFonts w:ascii="Aptos Display" w:cs="Aptos Display" w:eastAsia="Aptos Display" w:hAnsi="Aptos Display"/>
        </w:rPr>
        <w:t xml:space="preserve">Технологический стек</w:t>
      </w:r>
      <w:bookmarkEnd w:id="1"/>
    </w:p>
    <w:p>
      <w:pPr>
        <w:pStyle w:val="Caption"/>
        <w:keepNext/>
      </w:pPr>
      <w:r>
        <w:rPr>
          <w:rFonts w:ascii="Aptos" w:cs="Aptos" w:eastAsia="Aptos" w:hAnsi="Aptos"/>
          <w:b/>
          <w:bCs/>
        </w:rPr>
        <w:t xml:space="preserve">Таблица 3. Используемые технологии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7"/>
        <w:gridCol w:w="1385"/>
        <w:gridCol w:w="5210"/>
      </w:tblGrid>
      <w:tr>
        <w:trPr>
          <w:cantSplit/>
          <w:tblHeader/>
        </w:trPr>
        <w:tc>
          <w:tcPr>
            <w:tcW w:type="dxa" w:w="3007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Технология</w:t>
            </w:r>
          </w:p>
        </w:tc>
        <w:tc>
          <w:tcPr>
            <w:tcW w:type="dxa" w:w="1385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Версия</w:t>
            </w:r>
          </w:p>
        </w:tc>
        <w:tc>
          <w:tcPr>
            <w:tcW w:type="dxa" w:w="5210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HTML5</w:t>
            </w:r>
          </w:p>
        </w:tc>
        <w:tc>
          <w:tcPr>
            <w:tcW w:type="dxa" w:w="138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—</w:t>
            </w:r>
          </w:p>
        </w:tc>
        <w:tc>
          <w:tcPr>
            <w:tcW w:type="dxa" w:w="5210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Структура документа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138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CDN</w:t>
            </w:r>
          </w:p>
        </w:tc>
        <w:tc>
          <w:tcPr>
            <w:tcW w:type="dxa" w:w="5210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Утилитарные CSS-классы, адаптивная вёрстка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Chart.js</w:t>
            </w:r>
          </w:p>
        </w:tc>
        <w:tc>
          <w:tcPr>
            <w:tcW w:type="dxa" w:w="138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4.4.0</w:t>
            </w:r>
          </w:p>
        </w:tc>
        <w:tc>
          <w:tcPr>
            <w:tcW w:type="dxa" w:w="5210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Интерактивные графики (гистограмма кафедр)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Vanilla JavaScript</w:t>
            </w:r>
          </w:p>
        </w:tc>
        <w:tc>
          <w:tcPr>
            <w:tcW w:type="dxa" w:w="138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ES2020</w:t>
            </w:r>
          </w:p>
        </w:tc>
        <w:tc>
          <w:tcPr>
            <w:tcW w:type="dxa" w:w="5210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Логика навигации, генерация DOM, анимации</w:t>
            </w:r>
          </w:p>
        </w:tc>
      </w:tr>
      <w:tr>
        <w:trPr>
          <w:cantSplit/>
        </w:trPr>
        <w:tc>
          <w:tcPr>
            <w:tcW w:type="dxa" w:w="3007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Google Fonts (Inter)</w:t>
            </w:r>
          </w:p>
        </w:tc>
        <w:tc>
          <w:tcPr>
            <w:tcW w:type="dxa" w:w="138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—</w:t>
            </w:r>
          </w:p>
        </w:tc>
        <w:tc>
          <w:tcPr>
            <w:tcW w:type="dxa" w:w="5210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Типографика интерфейса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bookmarkStart w:name="toc_section_008" w:id="1"/>
      <w:r>
        <w:rPr>
          <w:rFonts w:ascii="Aptos Display" w:cs="Aptos Display" w:eastAsia="Aptos Display" w:hAnsi="Aptos Display"/>
        </w:rPr>
        <w:t xml:space="preserve">Структура HTML-файла</w:t>
      </w:r>
      <w:bookmarkEnd w:id="1"/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Файл dashboard.html состоит из четырёх логических блоков: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&lt;head&gt; — подключение зависимостей (Tailwind CSS, Chart.js, Google Fonts) и блок кастомных CSS-стилей с анимациями.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&lt;header&gt; — фиксированная шапка с логотипом, хлебными крошками (breadcrumb) и индикатором Live.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&lt;main&gt; — пять скрытых &lt;div id="screenN"&gt;, из которых в каждый момент активен ровно один.</w:t>
      </w:r>
    </w:p>
    <w:p>
      <w:pPr>
        <w:pStyle w:val="ListParagraph"/>
        <w:numPr>
          <w:ilvl w:val="0"/>
          <w:numId w:val="2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&lt;script&gt; — блок JavaScript: массивы данных, функции навигации, рендеринг плиток, графиков и персональных карт.</w:t>
      </w:r>
    </w:p>
    <w:p>
      <w:pPr>
        <w:pStyle w:val="Heading2"/>
      </w:pPr>
      <w:bookmarkStart w:name="toc_section_009" w:id="1"/>
      <w:r>
        <w:rPr>
          <w:rFonts w:ascii="Aptos Display" w:cs="Aptos Display" w:eastAsia="Aptos Display" w:hAnsi="Aptos Display"/>
        </w:rPr>
        <w:t xml:space="preserve">CSS-анимации и визуальные эффекты</w:t>
      </w:r>
      <w:bookmarkEnd w:id="1"/>
    </w:p>
    <w:p>
      <w:pPr>
        <w:pStyle w:val="Caption"/>
        <w:keepNext/>
      </w:pPr>
      <w:r>
        <w:rPr>
          <w:rFonts w:ascii="Aptos" w:cs="Aptos" w:eastAsia="Aptos" w:hAnsi="Aptos"/>
          <w:b/>
          <w:bCs/>
        </w:rPr>
        <w:t xml:space="preserve">Таблица 4. Ключевые CSS-классы и их назначение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26"/>
        <w:gridCol w:w="6976"/>
      </w:tblGrid>
      <w:tr>
        <w:trPr>
          <w:cantSplit/>
          <w:tblHeader/>
        </w:trPr>
        <w:tc>
          <w:tcPr>
            <w:tcW w:type="dxa" w:w="2626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CSS-класс</w:t>
            </w:r>
          </w:p>
        </w:tc>
        <w:tc>
          <w:tcPr>
            <w:tcW w:type="dxa" w:w="6976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Эффект</w:t>
            </w:r>
          </w:p>
        </w:tc>
      </w:tr>
      <w:tr>
        <w:trPr>
          <w:cantSplit/>
        </w:trPr>
        <w:tc>
          <w:tcPr>
            <w:tcW w:type="dxa" w:w="262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.pulse-green</w:t>
            </w:r>
          </w:p>
        </w:tc>
        <w:tc>
          <w:tcPr>
            <w:tcW w:type="dxa" w:w="697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Пульсирующее зелёное свечение главной карточки</w:t>
            </w:r>
          </w:p>
        </w:tc>
      </w:tr>
      <w:tr>
        <w:trPr>
          <w:cantSplit/>
        </w:trPr>
        <w:tc>
          <w:tcPr>
            <w:tcW w:type="dxa" w:w="262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.card-hover</w:t>
            </w:r>
          </w:p>
        </w:tc>
        <w:tc>
          <w:tcPr>
            <w:tcW w:type="dxa" w:w="697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Подъём карточки при наведении (translateY −4px)</w:t>
            </w:r>
          </w:p>
        </w:tc>
      </w:tr>
      <w:tr>
        <w:trPr>
          <w:cantSplit/>
        </w:trPr>
        <w:tc>
          <w:tcPr>
            <w:tcW w:type="dxa" w:w="262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.fade-in</w:t>
            </w:r>
          </w:p>
        </w:tc>
        <w:tc>
          <w:tcPr>
            <w:tcW w:type="dxa" w:w="697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Плавное появление экрана (opacity 0→1, 0.4s)</w:t>
            </w:r>
          </w:p>
        </w:tc>
      </w:tr>
      <w:tr>
        <w:trPr>
          <w:cantSplit/>
        </w:trPr>
        <w:tc>
          <w:tcPr>
            <w:tcW w:type="dxa" w:w="262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.slide-in</w:t>
            </w:r>
          </w:p>
        </w:tc>
        <w:tc>
          <w:tcPr>
            <w:tcW w:type="dxa" w:w="697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Появление экрана со сдвигом вправо (translateX 30px→0)</w:t>
            </w:r>
          </w:p>
        </w:tc>
      </w:tr>
      <w:tr>
        <w:trPr>
          <w:cantSplit/>
        </w:trPr>
        <w:tc>
          <w:tcPr>
            <w:tcW w:type="dxa" w:w="262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.glow-red</w:t>
            </w:r>
          </w:p>
        </w:tc>
        <w:tc>
          <w:tcPr>
            <w:tcW w:type="dxa" w:w="697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Красное свечение проблемных элементов</w:t>
            </w:r>
          </w:p>
        </w:tc>
      </w:tr>
      <w:tr>
        <w:trPr>
          <w:cantSplit/>
        </w:trPr>
        <w:tc>
          <w:tcPr>
            <w:tcW w:type="dxa" w:w="262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.defect-bar-fill</w:t>
            </w:r>
          </w:p>
        </w:tc>
        <w:tc>
          <w:tcPr>
            <w:tcW w:type="dxa" w:w="697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Анимированный горизонтальный бар дефектов (1.2s)</w:t>
            </w:r>
          </w:p>
        </w:tc>
      </w:tr>
      <w:tr>
        <w:trPr>
          <w:cantSplit/>
        </w:trPr>
        <w:tc>
          <w:tcPr>
            <w:tcW w:type="dxa" w:w="262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.rank-row</w:t>
            </w:r>
          </w:p>
        </w:tc>
        <w:tc>
          <w:tcPr>
            <w:tcW w:type="dxa" w:w="697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Сдвиг строки рейтинга при наведении (translateX 4px)</w:t>
            </w:r>
          </w:p>
        </w:tc>
      </w:tr>
    </w:tbl>
    <w:p>
      <w:pPr>
        <w:spacing w:after="20" w:line="276" w:lineRule="auto"/>
      </w:pPr>
    </w:p>
    <w:p>
      <w:pPr>
        <w:pStyle w:val="Heading1"/>
      </w:pPr>
      <w:bookmarkStart w:name="toc_section_010" w:id="1"/>
      <w:r>
        <w:rPr>
          <w:rFonts w:ascii="Aptos Display" w:cs="Aptos Display" w:eastAsia="Aptos Display" w:hAnsi="Aptos Display"/>
        </w:rPr>
        <w:t xml:space="preserve">Структура данных и логика расчётов</w:t>
      </w:r>
      <w:bookmarkEnd w:id="1"/>
    </w:p>
    <w:p>
      <w:pPr>
        <w:pStyle w:val="Lead"/>
      </w:pPr>
      <w:r>
        <w:rPr>
          <w:rFonts w:ascii="Aptos" w:cs="Aptos" w:eastAsia="Aptos" w:hAnsi="Aptos"/>
        </w:rPr>
        <w:t xml:space="preserve">Все данные дашборда хранятся в JavaScript-константах внутри тега script. Синтетическая база данных смоделирована на основе ответов 250 виртуальных студентов с заданными условиями симуляции.</w:t>
      </w:r>
    </w:p>
    <w:p>
      <w:pPr>
        <w:pStyle w:val="Heading2"/>
      </w:pPr>
      <w:bookmarkStart w:name="toc_section_011" w:id="1"/>
      <w:r>
        <w:rPr>
          <w:rFonts w:ascii="Aptos Display" w:cs="Aptos Display" w:eastAsia="Aptos Display" w:hAnsi="Aptos Display"/>
        </w:rPr>
        <w:t xml:space="preserve">Массивы данных</w:t>
      </w:r>
      <w:bookmarkEnd w:id="1"/>
    </w:p>
    <w:p>
      <w:pPr>
        <w:pStyle w:val="Heading3"/>
      </w:pPr>
      <w:r>
        <w:rPr>
          <w:rFonts w:ascii="Aptos Display" w:cs="Aptos Display" w:eastAsia="Aptos Display" w:hAnsi="Aptos Display"/>
        </w:rPr>
        <w:t xml:space="preserve">Блоки анкеты (BLOCKS)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Массив BLOCKS содержит 5 объектов — по одному на каждый блок анкеты. Каждый объект имеет поля: id, name, icon, index, color, desc, clickable.</w:t>
      </w:r>
    </w:p>
    <w:p>
      <w:pPr>
        <w:pStyle w:val="Caption"/>
        <w:keepNext/>
      </w:pPr>
      <w:r>
        <w:rPr>
          <w:rFonts w:ascii="Aptos" w:cs="Aptos" w:eastAsia="Aptos" w:hAnsi="Aptos"/>
          <w:b/>
          <w:bCs/>
        </w:rPr>
        <w:t xml:space="preserve">Таблица 5. Блоки анкеты и их индексы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1"/>
        <w:gridCol w:w="4991"/>
        <w:gridCol w:w="1592"/>
        <w:gridCol w:w="1818"/>
      </w:tblGrid>
      <w:tr>
        <w:trPr>
          <w:cantSplit/>
          <w:tblHeader/>
        </w:trPr>
        <w:tc>
          <w:tcPr>
            <w:tcW w:type="dxa" w:w="1201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ID</w:t>
            </w:r>
          </w:p>
        </w:tc>
        <w:tc>
          <w:tcPr>
            <w:tcW w:type="dxa" w:w="4991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Название блока</w:t>
            </w:r>
          </w:p>
        </w:tc>
        <w:tc>
          <w:tcPr>
            <w:tcW w:type="dxa" w:w="1592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Индекс</w:t>
            </w:r>
          </w:p>
        </w:tc>
        <w:tc>
          <w:tcPr>
            <w:tcW w:type="dxa" w:w="1818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Цвет</w:t>
            </w:r>
          </w:p>
        </w:tc>
      </w:tr>
      <w:tr>
        <w:trPr>
          <w:cantSplit/>
        </w:trPr>
        <w:tc>
          <w:tcPr>
            <w:tcW w:type="dxa" w:w="120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1</w:t>
            </w:r>
          </w:p>
        </w:tc>
        <w:tc>
          <w:tcPr>
            <w:tcW w:type="dxa" w:w="499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Организация учебного процесса</w:t>
            </w:r>
          </w:p>
        </w:tc>
        <w:tc>
          <w:tcPr>
            <w:tcW w:type="dxa" w:w="1592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0.88</w:t>
            </w:r>
          </w:p>
        </w:tc>
        <w:tc>
          <w:tcPr>
            <w:tcW w:type="dxa" w:w="1818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Зелёный</w:t>
            </w:r>
          </w:p>
        </w:tc>
      </w:tr>
      <w:tr>
        <w:trPr>
          <w:cantSplit/>
        </w:trPr>
        <w:tc>
          <w:tcPr>
            <w:tcW w:type="dxa" w:w="120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2</w:t>
            </w:r>
          </w:p>
        </w:tc>
        <w:tc>
          <w:tcPr>
            <w:tcW w:type="dxa" w:w="499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Качество лекций и практик</w:t>
            </w:r>
          </w:p>
        </w:tc>
        <w:tc>
          <w:tcPr>
            <w:tcW w:type="dxa" w:w="1592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0.91</w:t>
            </w:r>
          </w:p>
        </w:tc>
        <w:tc>
          <w:tcPr>
            <w:tcW w:type="dxa" w:w="1818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Зелёный</w:t>
            </w:r>
          </w:p>
        </w:tc>
      </w:tr>
      <w:tr>
        <w:trPr>
          <w:cantSplit/>
        </w:trPr>
        <w:tc>
          <w:tcPr>
            <w:tcW w:type="dxa" w:w="120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3</w:t>
            </w:r>
          </w:p>
        </w:tc>
        <w:tc>
          <w:tcPr>
            <w:tcW w:type="dxa" w:w="499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Методические материалы</w:t>
            </w:r>
          </w:p>
        </w:tc>
        <w:tc>
          <w:tcPr>
            <w:tcW w:type="dxa" w:w="1592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0.84</w:t>
            </w:r>
          </w:p>
        </w:tc>
        <w:tc>
          <w:tcPr>
            <w:tcW w:type="dxa" w:w="1818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Зелёный</w:t>
            </w:r>
          </w:p>
        </w:tc>
      </w:tr>
      <w:tr>
        <w:trPr>
          <w:cantSplit/>
        </w:trPr>
        <w:tc>
          <w:tcPr>
            <w:tcW w:type="dxa" w:w="120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4</w:t>
            </w:r>
          </w:p>
        </w:tc>
        <w:tc>
          <w:tcPr>
            <w:tcW w:type="dxa" w:w="499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Система оценивания</w:t>
            </w:r>
          </w:p>
        </w:tc>
        <w:tc>
          <w:tcPr>
            <w:tcW w:type="dxa" w:w="1592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0.79</w:t>
            </w:r>
          </w:p>
        </w:tc>
        <w:tc>
          <w:tcPr>
            <w:tcW w:type="dxa" w:w="1818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Жёлтый</w:t>
            </w:r>
          </w:p>
        </w:tc>
      </w:tr>
      <w:tr>
        <w:trPr>
          <w:cantSplit/>
        </w:trPr>
        <w:tc>
          <w:tcPr>
            <w:tcW w:type="dxa" w:w="120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5</w:t>
            </w:r>
          </w:p>
        </w:tc>
        <w:tc>
          <w:tcPr>
            <w:tcW w:type="dxa" w:w="499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Электронная среда Moodle</w:t>
            </w:r>
          </w:p>
        </w:tc>
        <w:tc>
          <w:tcPr>
            <w:tcW w:type="dxa" w:w="1592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0.72</w:t>
            </w:r>
          </w:p>
        </w:tc>
        <w:tc>
          <w:tcPr>
            <w:tcW w:type="dxa" w:w="1818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Красный</w:t>
            </w:r>
          </w:p>
        </w:tc>
      </w:tr>
    </w:tbl>
    <w:p>
      <w:pPr>
        <w:spacing w:after="20" w:line="276" w:lineRule="auto"/>
      </w:pPr>
    </w:p>
    <w:p>
      <w:pPr>
        <w:pStyle w:val="Heading3"/>
      </w:pPr>
      <w:r>
        <w:rPr>
          <w:rFonts w:ascii="Aptos Display" w:cs="Aptos Display" w:eastAsia="Aptos Display" w:hAnsi="Aptos Display"/>
        </w:rPr>
        <w:t xml:space="preserve">Данные кафедр (DEPT_DATA)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Объект DEPT_DATA содержит массивы меток, значений и цветов для гистограммы Блока 5. Метки: Кафедра ПО, Кафедра ИТ, Кафедра Физики, Кафедра ВМ. Значения индексов Moodle: 0.81, 0.76, 0.69, 0.61. Цвета столбцов: синий, фиолетовый, оранжевый, красный.</w:t>
      </w:r>
    </w:p>
    <w:p>
      <w:pPr>
        <w:pStyle w:val="Heading3"/>
      </w:pPr>
      <w:r>
        <w:rPr>
          <w:rFonts w:ascii="Aptos Display" w:cs="Aptos Display" w:eastAsia="Aptos Display" w:hAnsi="Aptos Display"/>
        </w:rPr>
        <w:t xml:space="preserve">Дефекты Moodle (DEFECTS_MATH / DEFECTS_ALGEBRA)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Два массива объектов с полями label (название дефекта), pct (процент студентов) и critical (критичность) для дисциплин Ивановой И.И.:</w:t>
      </w:r>
    </w:p>
    <w:p>
      <w:pPr>
        <w:pStyle w:val="Caption"/>
        <w:keepNext/>
      </w:pPr>
      <w:r>
        <w:rPr>
          <w:rFonts w:ascii="Aptos" w:cs="Aptos" w:eastAsia="Aptos" w:hAnsi="Aptos"/>
          <w:b/>
          <w:bCs/>
        </w:rPr>
        <w:t xml:space="preserve">Таблица 6. Дефекты Moodle — Высшая математика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35"/>
        <w:gridCol w:w="2378"/>
        <w:gridCol w:w="2589"/>
      </w:tblGrid>
      <w:tr>
        <w:trPr>
          <w:cantSplit/>
          <w:tblHeader/>
        </w:trPr>
        <w:tc>
          <w:tcPr>
            <w:tcW w:type="dxa" w:w="4635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Дефект</w:t>
            </w:r>
          </w:p>
        </w:tc>
        <w:tc>
          <w:tcPr>
            <w:tcW w:type="dxa" w:w="2378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% студентов</w:t>
            </w:r>
          </w:p>
        </w:tc>
        <w:tc>
          <w:tcPr>
            <w:tcW w:type="dxa" w:w="2589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Критичность</w:t>
            </w:r>
          </w:p>
        </w:tc>
      </w:tr>
      <w:tr>
        <w:trPr>
          <w:cantSplit/>
        </w:trPr>
        <w:tc>
          <w:tcPr>
            <w:tcW w:type="dxa" w:w="463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Материалы устарели</w:t>
            </w:r>
          </w:p>
        </w:tc>
        <w:tc>
          <w:tcPr>
            <w:tcW w:type="dxa" w:w="2378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83%</w:t>
            </w:r>
          </w:p>
        </w:tc>
        <w:tc>
          <w:tcPr>
            <w:tcW w:type="dxa" w:w="2589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Критично</w:t>
            </w:r>
          </w:p>
        </w:tc>
      </w:tr>
      <w:tr>
        <w:trPr>
          <w:cantSplit/>
        </w:trPr>
        <w:tc>
          <w:tcPr>
            <w:tcW w:type="dxa" w:w="463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Не работает обратная связь</w:t>
            </w:r>
          </w:p>
        </w:tc>
        <w:tc>
          <w:tcPr>
            <w:tcW w:type="dxa" w:w="2378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71%</w:t>
            </w:r>
          </w:p>
        </w:tc>
        <w:tc>
          <w:tcPr>
            <w:tcW w:type="dxa" w:w="2589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Критично</w:t>
            </w:r>
          </w:p>
        </w:tc>
      </w:tr>
      <w:tr>
        <w:trPr>
          <w:cantSplit/>
        </w:trPr>
        <w:tc>
          <w:tcPr>
            <w:tcW w:type="dxa" w:w="463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Тесты не обновляются</w:t>
            </w:r>
          </w:p>
        </w:tc>
        <w:tc>
          <w:tcPr>
            <w:tcW w:type="dxa" w:w="2378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64%</w:t>
            </w:r>
          </w:p>
        </w:tc>
        <w:tc>
          <w:tcPr>
            <w:tcW w:type="dxa" w:w="2589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Критично</w:t>
            </w:r>
          </w:p>
        </w:tc>
      </w:tr>
      <w:tr>
        <w:trPr>
          <w:cantSplit/>
        </w:trPr>
        <w:tc>
          <w:tcPr>
            <w:tcW w:type="dxa" w:w="463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Нет проверки онлайн-работ</w:t>
            </w:r>
          </w:p>
        </w:tc>
        <w:tc>
          <w:tcPr>
            <w:tcW w:type="dxa" w:w="2378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58%</w:t>
            </w:r>
          </w:p>
        </w:tc>
        <w:tc>
          <w:tcPr>
            <w:tcW w:type="dxa" w:w="2589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Критично</w:t>
            </w:r>
          </w:p>
        </w:tc>
      </w:tr>
      <w:tr>
        <w:trPr>
          <w:cantSplit/>
        </w:trPr>
        <w:tc>
          <w:tcPr>
            <w:tcW w:type="dxa" w:w="463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Сложная навигация</w:t>
            </w:r>
          </w:p>
        </w:tc>
        <w:tc>
          <w:tcPr>
            <w:tcW w:type="dxa" w:w="2378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42%</w:t>
            </w:r>
          </w:p>
        </w:tc>
        <w:tc>
          <w:tcPr>
            <w:tcW w:type="dxa" w:w="2589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Некритично</w:t>
            </w:r>
          </w:p>
        </w:tc>
      </w:tr>
      <w:tr>
        <w:trPr>
          <w:cantSplit/>
        </w:trPr>
        <w:tc>
          <w:tcPr>
            <w:tcW w:type="dxa" w:w="463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Нет видеоматериалов</w:t>
            </w:r>
          </w:p>
        </w:tc>
        <w:tc>
          <w:tcPr>
            <w:tcW w:type="dxa" w:w="2378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35%</w:t>
            </w:r>
          </w:p>
        </w:tc>
        <w:tc>
          <w:tcPr>
            <w:tcW w:type="dxa" w:w="2589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Некритично</w:t>
            </w:r>
          </w:p>
        </w:tc>
      </w:tr>
    </w:tbl>
    <w:p>
      <w:pPr>
        <w:spacing w:after="20" w:line="276" w:lineRule="auto"/>
      </w:pPr>
    </w:p>
    <w:p>
      <w:pPr>
        <w:pStyle w:val="Caption"/>
        <w:keepNext/>
      </w:pPr>
      <w:r>
        <w:rPr>
          <w:rFonts w:ascii="Aptos" w:cs="Aptos" w:eastAsia="Aptos" w:hAnsi="Aptos"/>
          <w:b/>
          <w:bCs/>
        </w:rPr>
        <w:t xml:space="preserve">Таблица 7. Дефекты Moodle — Линейная алгебра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85"/>
        <w:gridCol w:w="2404"/>
        <w:gridCol w:w="2613"/>
      </w:tblGrid>
      <w:tr>
        <w:trPr>
          <w:cantSplit/>
          <w:tblHeader/>
        </w:trPr>
        <w:tc>
          <w:tcPr>
            <w:tcW w:type="dxa" w:w="4585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Дефект</w:t>
            </w:r>
          </w:p>
        </w:tc>
        <w:tc>
          <w:tcPr>
            <w:tcW w:type="dxa" w:w="2404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% студентов</w:t>
            </w:r>
          </w:p>
        </w:tc>
        <w:tc>
          <w:tcPr>
            <w:tcW w:type="dxa" w:w="2613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Критичность</w:t>
            </w:r>
          </w:p>
        </w:tc>
      </w:tr>
      <w:tr>
        <w:trPr>
          <w:cantSplit/>
        </w:trPr>
        <w:tc>
          <w:tcPr>
            <w:tcW w:type="dxa" w:w="458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Мало практических заданий</w:t>
            </w:r>
          </w:p>
        </w:tc>
        <w:tc>
          <w:tcPr>
            <w:tcW w:type="dxa" w:w="2404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47%</w:t>
            </w:r>
          </w:p>
        </w:tc>
        <w:tc>
          <w:tcPr>
            <w:tcW w:type="dxa" w:w="2613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Некритично</w:t>
            </w:r>
          </w:p>
        </w:tc>
      </w:tr>
      <w:tr>
        <w:trPr>
          <w:cantSplit/>
        </w:trPr>
        <w:tc>
          <w:tcPr>
            <w:tcW w:type="dxa" w:w="458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Нет видеоматериалов</w:t>
            </w:r>
          </w:p>
        </w:tc>
        <w:tc>
          <w:tcPr>
            <w:tcW w:type="dxa" w:w="2404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39%</w:t>
            </w:r>
          </w:p>
        </w:tc>
        <w:tc>
          <w:tcPr>
            <w:tcW w:type="dxa" w:w="2613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Некритично</w:t>
            </w:r>
          </w:p>
        </w:tc>
      </w:tr>
      <w:tr>
        <w:trPr>
          <w:cantSplit/>
        </w:trPr>
        <w:tc>
          <w:tcPr>
            <w:tcW w:type="dxa" w:w="458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Сложная навигация</w:t>
            </w:r>
          </w:p>
        </w:tc>
        <w:tc>
          <w:tcPr>
            <w:tcW w:type="dxa" w:w="2404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31%</w:t>
            </w:r>
          </w:p>
        </w:tc>
        <w:tc>
          <w:tcPr>
            <w:tcW w:type="dxa" w:w="2613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Некритично</w:t>
            </w:r>
          </w:p>
        </w:tc>
      </w:tr>
      <w:tr>
        <w:trPr>
          <w:cantSplit/>
        </w:trPr>
        <w:tc>
          <w:tcPr>
            <w:tcW w:type="dxa" w:w="458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Редкие обновления</w:t>
            </w:r>
          </w:p>
        </w:tc>
        <w:tc>
          <w:tcPr>
            <w:tcW w:type="dxa" w:w="2404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28%</w:t>
            </w:r>
          </w:p>
        </w:tc>
        <w:tc>
          <w:tcPr>
            <w:tcW w:type="dxa" w:w="2613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Некритично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bookmarkStart w:name="toc_section_015" w:id="1"/>
      <w:r>
        <w:rPr>
          <w:rFonts w:ascii="Aptos Display" w:cs="Aptos Display" w:eastAsia="Aptos Display" w:hAnsi="Aptos Display"/>
        </w:rPr>
        <w:t xml:space="preserve">Логика расчёта баллов</w:t>
      </w:r>
      <w:bookmarkEnd w:id="1"/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Формула расчёта индекса качества:</w:t>
      </w:r>
    </w:p>
    <w:p>
      <w:pPr>
        <w:pBdr>
          <w:left w:val="single" w:color="123B36" w:sz="20" w:space="8"/>
        </w:pBdr>
        <w:shd w:fill="EAF2EF" w:color="auto" w:val="clear"/>
        <w:spacing w:after="160" w:before="80" w:line="276" w:lineRule="auto"/>
        <w:ind w:left="259" w:right="173"/>
      </w:pPr>
      <w:r>
        <w:rPr>
          <w:rFonts w:ascii="Aptos" w:cs="Aptos" w:eastAsia="Aptos" w:hAnsi="Aptos"/>
          <w:b/>
          <w:bCs/>
          <w:color w:val="123B36"/>
          <w:sz w:val="20"/>
          <w:szCs w:val="20"/>
        </w:rPr>
        <w:t xml:space="preserve">Индекс блока  </w:t>
      </w:r>
      <w:r>
        <w:rPr>
          <w:rFonts w:ascii="Courier New" w:cs="Courier New" w:eastAsia="Courier New" w:hAnsi="Courier New"/>
          <w:color w:val="263238"/>
          <w:sz w:val="20"/>
          <w:szCs w:val="20"/>
        </w:rPr>
        <w:t xml:space="preserve">Индекс = 1.0 − (Количество выбранных дефектов / Общее число пунктов блока)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93"/>
        <w:gridCol w:w="7009"/>
      </w:tblGrid>
      <w:tr>
        <w:trPr>
          <w:cantSplit/>
        </w:trPr>
        <w:tc>
          <w:tcPr>
            <w:tcW w:type="dxa" w:w="2593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Полностью соответствует</w:t>
            </w:r>
          </w:p>
        </w:tc>
        <w:tc>
          <w:tcPr>
            <w:tcW w:type="dxa" w:w="7009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593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Частично</w:t>
            </w:r>
          </w:p>
        </w:tc>
        <w:tc>
          <w:tcPr>
            <w:tcW w:type="dxa" w:w="7009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1.0 − штраф</w:t>
            </w:r>
          </w:p>
        </w:tc>
      </w:tr>
      <w:tr>
        <w:trPr>
          <w:cantSplit/>
        </w:trPr>
        <w:tc>
          <w:tcPr>
            <w:tcW w:type="dxa" w:w="2593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Не соответствует вообще</w:t>
            </w:r>
          </w:p>
        </w:tc>
        <w:tc>
          <w:tcPr>
            <w:tcW w:type="dxa" w:w="7009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0.0</w:t>
            </w:r>
          </w:p>
        </w:tc>
      </w:tr>
    </w:tbl>
    <w:p>
      <w:pPr>
        <w:spacing w:after="20" w:line="276" w:lineRule="auto"/>
      </w:pP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Штраф при ответе «Частично» равен доле выбранных дефектных пунктов от общего числа пунктов в выпадающем списке блока.</w:t>
      </w:r>
    </w:p>
    <w:p>
      <w:pPr>
        <w:pStyle w:val="Heading2"/>
      </w:pPr>
      <w:bookmarkStart w:name="toc_section_016" w:id="1"/>
      <w:r>
        <w:rPr>
          <w:rFonts w:ascii="Aptos Display" w:cs="Aptos Display" w:eastAsia="Aptos Display" w:hAnsi="Aptos Display"/>
        </w:rPr>
        <w:t xml:space="preserve">Функции JavaScript</w:t>
      </w:r>
      <w:bookmarkEnd w:id="1"/>
    </w:p>
    <w:p>
      <w:pPr>
        <w:pStyle w:val="Caption"/>
        <w:keepNext/>
      </w:pPr>
      <w:r>
        <w:rPr>
          <w:rFonts w:ascii="Aptos" w:cs="Aptos" w:eastAsia="Aptos" w:hAnsi="Aptos"/>
          <w:b/>
          <w:bCs/>
        </w:rPr>
        <w:t xml:space="preserve">Таблица 8. Ключевые функции модуля навигации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51"/>
        <w:gridCol w:w="5551"/>
      </w:tblGrid>
      <w:tr>
        <w:trPr>
          <w:cantSplit/>
          <w:tblHeader/>
        </w:trPr>
        <w:tc>
          <w:tcPr>
            <w:tcW w:type="dxa" w:w="4051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Функция</w:t>
            </w:r>
          </w:p>
        </w:tc>
        <w:tc>
          <w:tcPr>
            <w:tcW w:type="dxa" w:w="5551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40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goToScreen(n)</w:t>
            </w:r>
          </w:p>
        </w:tc>
        <w:tc>
          <w:tcPr>
            <w:tcW w:type="dxa" w:w="55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Скрывает все экраны, показывает экран N, обновляет breadcrumb, инициализирует контент</w:t>
            </w:r>
          </w:p>
        </w:tc>
      </w:tr>
      <w:tr>
        <w:trPr>
          <w:cantSplit/>
        </w:trPr>
        <w:tc>
          <w:tcPr>
            <w:tcW w:type="dxa" w:w="40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updateBreadcrumb(n)</w:t>
            </w:r>
          </w:p>
        </w:tc>
        <w:tc>
          <w:tcPr>
            <w:tcW w:type="dxa" w:w="55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Перестраивает навигационную цепочку в шапке</w:t>
            </w:r>
          </w:p>
        </w:tc>
      </w:tr>
      <w:tr>
        <w:trPr>
          <w:cantSplit/>
        </w:trPr>
        <w:tc>
          <w:tcPr>
            <w:tcW w:type="dxa" w:w="40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getIndexColor(idx)</w:t>
            </w:r>
          </w:p>
        </w:tc>
        <w:tc>
          <w:tcPr>
            <w:tcW w:type="dxa" w:w="55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Возвращает объект CSS-классов в зависимости от значения индекса</w:t>
            </w:r>
          </w:p>
        </w:tc>
      </w:tr>
      <w:tr>
        <w:trPr>
          <w:cantSplit/>
        </w:trPr>
        <w:tc>
          <w:tcPr>
            <w:tcW w:type="dxa" w:w="40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renderBlockTiles()</w:t>
            </w:r>
          </w:p>
        </w:tc>
        <w:tc>
          <w:tcPr>
            <w:tcW w:type="dxa" w:w="55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Генерирует DOM-плитки блоков анкеты с анимированными барами</w:t>
            </w:r>
          </w:p>
        </w:tc>
      </w:tr>
      <w:tr>
        <w:trPr>
          <w:cantSplit/>
        </w:trPr>
        <w:tc>
          <w:tcPr>
            <w:tcW w:type="dxa" w:w="40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renderDeptChart()</w:t>
            </w:r>
          </w:p>
        </w:tc>
        <w:tc>
          <w:tcPr>
            <w:tcW w:type="dxa" w:w="55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Создаёт/пересоздаёт Chart.js гистограмму кафедр</w:t>
            </w:r>
          </w:p>
        </w:tc>
      </w:tr>
      <w:tr>
        <w:trPr>
          <w:cantSplit/>
        </w:trPr>
        <w:tc>
          <w:tcPr>
            <w:tcW w:type="dxa" w:w="40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switchDiscipline(disc)</w:t>
            </w:r>
          </w:p>
        </w:tc>
        <w:tc>
          <w:tcPr>
            <w:tcW w:type="dxa" w:w="55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Переключает вкладки дисциплин на Экране 5</w:t>
            </w:r>
          </w:p>
        </w:tc>
      </w:tr>
      <w:tr>
        <w:trPr>
          <w:cantSplit/>
        </w:trPr>
        <w:tc>
          <w:tcPr>
            <w:tcW w:type="dxa" w:w="40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renderPersonalCard(disc)</w:t>
            </w:r>
          </w:p>
        </w:tc>
        <w:tc>
          <w:tcPr>
            <w:tcW w:type="dxa" w:w="55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Генерирует полное досье Ивановой И.И. для выбранной дисциплины</w:t>
            </w:r>
          </w:p>
        </w:tc>
      </w:tr>
    </w:tbl>
    <w:p>
      <w:pPr>
        <w:spacing w:after="20" w:line="276" w:lineRule="auto"/>
      </w:pPr>
    </w:p>
    <w:p>
      <w:pPr>
        <w:pStyle w:val="Heading1"/>
      </w:pPr>
      <w:bookmarkStart w:name="toc_section_017" w:id="1"/>
      <w:r>
        <w:rPr>
          <w:rFonts w:ascii="Aptos Display" w:cs="Aptos Display" w:eastAsia="Aptos Display" w:hAnsi="Aptos Display"/>
        </w:rPr>
        <w:t xml:space="preserve">Навигация и экраны дашборда</w:t>
      </w:r>
      <w:bookmarkEnd w:id="1"/>
    </w:p>
    <w:p>
      <w:pPr>
        <w:pStyle w:val="Lead"/>
      </w:pPr>
      <w:r>
        <w:rPr>
          <w:rFonts w:ascii="Aptos" w:cs="Aptos" w:eastAsia="Aptos" w:hAnsi="Aptos"/>
        </w:rPr>
        <w:t xml:space="preserve">Дашборд реализует пятиуровневую Drill-down навигацию. Каждый экран активируется кликом по интерактивному элементу предыдущего уровня. Хлебные крошки в шапке позволяют вернуться на любой уровень.</w:t>
      </w:r>
    </w:p>
    <w:p>
      <w:pPr>
        <w:pStyle w:val="Heading2"/>
      </w:pPr>
      <w:bookmarkStart w:name="toc_section_018" w:id="1"/>
      <w:r>
        <w:rPr>
          <w:rFonts w:ascii="Aptos Display" w:cs="Aptos Display" w:eastAsia="Aptos Display" w:hAnsi="Aptos Display"/>
        </w:rPr>
        <w:t xml:space="preserve">Экран 1 — Главный индекс филиала</w:t>
      </w:r>
      <w:bookmarkEnd w:id="1"/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Триггер: начальный экран при открытии файла.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Содержимое: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Крупная карточка-кнопка с коэффициентом 0.83 / 1.0 (зелёная подсветка, пульсация).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Счётчики: 250 студентов, 10 преподавателей, 4 кафедры.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Мини-статистика: лидер (Петров П.П., 0.95), зона риска (Иванова И.И., Moodle 0.48).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Сводная таблица кафедр с общими индексами.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Переход: клик по главной карточке — Экран 2.</w:t>
      </w:r>
    </w:p>
    <w:p>
      <w:pPr>
        <w:pStyle w:val="Heading2"/>
      </w:pPr>
      <w:bookmarkStart w:name="toc_section_019" w:id="1"/>
      <w:r>
        <w:rPr>
          <w:rFonts w:ascii="Aptos Display" w:cs="Aptos Display" w:eastAsia="Aptos Display" w:hAnsi="Aptos Display"/>
        </w:rPr>
        <w:t xml:space="preserve">Экран 2 — Блоки анкеты</w:t>
      </w:r>
      <w:bookmarkEnd w:id="1"/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Триггер: клик по главной карточке на Экране 1.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Содержимое: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5 плиток блоков анкеты с индексами и анимированными прогресс-барами.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Блок 5 (Moodle) выделен красным цветом и пульсирующей меткой «Нажмите для анализа».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Предупреждающий баннер о проблемной зоне.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Переход: клик по плитке Блока 5 — Экран 3.</w:t>
      </w:r>
    </w:p>
    <w:p>
      <w:pPr>
        <w:pStyle w:val="Heading2"/>
      </w:pPr>
      <w:bookmarkStart w:name="toc_section_020" w:id="1"/>
      <w:r>
        <w:rPr>
          <w:rFonts w:ascii="Aptos Display" w:cs="Aptos Display" w:eastAsia="Aptos Display" w:hAnsi="Aptos Display"/>
        </w:rPr>
        <w:t xml:space="preserve">Экран 3 — Срез по кафедрам (Блок 5)</w:t>
      </w:r>
      <w:bookmarkEnd w:id="1"/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Триггер: клик по плитке Блока 5 на Экране 2.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Содержимое: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Вертикальная гистограмма Chart.js: сравнение 4 кафедр по индексу Moodle.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Карточки кафедр справа с ранжированием (1–4 место).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Кафедра ВМ (0.61) выделена красной рамкой и свечением.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Переход: клик по столбцу Кафедры ВМ на графике или по красной карточке — Экран 4.</w:t>
      </w:r>
    </w:p>
    <w:p>
      <w:pPr>
        <w:pStyle w:val="Heading2"/>
      </w:pPr>
      <w:bookmarkStart w:name="toc_section_021" w:id="1"/>
      <w:r>
        <w:rPr>
          <w:rFonts w:ascii="Aptos Display" w:cs="Aptos Display" w:eastAsia="Aptos Display" w:hAnsi="Aptos Display"/>
        </w:rPr>
        <w:t xml:space="preserve">Экран 4 — Рейтинг преподавателей Кафедры ВМ</w:t>
      </w:r>
      <w:bookmarkEnd w:id="1"/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Триггер: клик по Кафедре ВМ на Экране 3.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Содержимое: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Рейтинговые строки двух преподавателей кафедры ВМ.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1 место: Васильев Н.Н. (0.74) — зелёный прогресс-бар.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2 место: Иванова И.И. (0.48) — красная рамка, метка «Критично».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Боковая панель со статистикой кафедры и блоком рекомендаций.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Переход: клик по строке Ивановой И.И. — Экран 5.</w:t>
      </w:r>
    </w:p>
    <w:p>
      <w:pPr>
        <w:pStyle w:val="Heading2"/>
      </w:pPr>
      <w:bookmarkStart w:name="toc_section_022" w:id="1"/>
      <w:r>
        <w:rPr>
          <w:rFonts w:ascii="Aptos Display" w:cs="Aptos Display" w:eastAsia="Aptos Display" w:hAnsi="Aptos Display"/>
        </w:rPr>
        <w:t xml:space="preserve">Экран 5 — Персональная карта Ивановой И.И.</w:t>
      </w:r>
      <w:bookmarkEnd w:id="1"/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Триггер: клик по строке Ивановой И.И. на Экране 4.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Содержимое: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Шапка профиля: аватар с инициалами, должность, три ключевых индекса (Moodle 0.48, Лекции 0.89, Общий 0.76).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Переключатель дисциплин: кнопки-вкладки «Высшая математика» и «Линейная алгебра».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График дефектов: горизонтальные анимированные бары с процентами (критичные — багровые).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Сравнение компонентов: четыре прогресс-бара (Лекции / Методматериалы / Оценивание / Moodle).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Диагноз: блок с описанием разрыва между лекциями (0.89) и Moodle (0.48) — разрыв 0.41 пункта.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Стена жалоб: 5 анонимных цитат студентов с контрастом «шикарные лекции — хаос в Moodle».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Рекомендации: три колонки мер (срочно / краткосрочно / долгосрочно).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Переход: нет (конечный уровень Drill-down).</w:t>
      </w:r>
    </w:p>
    <w:p>
      <w:pPr>
        <w:pStyle w:val="Heading1"/>
      </w:pPr>
      <w:bookmarkStart w:name="toc_section_023" w:id="1"/>
      <w:r>
        <w:rPr>
          <w:rFonts w:ascii="Aptos Display" w:cs="Aptos Display" w:eastAsia="Aptos Display" w:hAnsi="Aptos Display"/>
        </w:rPr>
        <w:t xml:space="preserve">Полный исходный HTML-код</w:t>
      </w:r>
      <w:bookmarkEnd w:id="1"/>
    </w:p>
    <w:p>
      <w:pPr>
        <w:pStyle w:val="Lead"/>
      </w:pPr>
      <w:r>
        <w:rPr>
          <w:rFonts w:ascii="Aptos" w:cs="Aptos" w:eastAsia="Aptos" w:hAnsi="Aptos"/>
        </w:rPr>
        <w:t xml:space="preserve">Файл dashboard.html состоит из четырёх логических секций: HEAD (зависимости и стили), HEADER (шапка), MAIN (пять экранов) и SCRIPT (данные и логика). Ниже каждая секция описана с указанием ключевых атрибутов и значений.</w:t>
      </w:r>
    </w:p>
    <w:p>
      <w:pPr>
        <w:pStyle w:val="Heading2"/>
      </w:pPr>
      <w:bookmarkStart w:name="toc_section_024" w:id="1"/>
      <w:r>
        <w:rPr>
          <w:rFonts w:ascii="Aptos Display" w:cs="Aptos Display" w:eastAsia="Aptos Display" w:hAnsi="Aptos Display"/>
        </w:rPr>
        <w:t xml:space="preserve">Секция HEAD — зависимости и стили</w:t>
      </w:r>
      <w:bookmarkEnd w:id="1"/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Тег DOCTYPE и корневой элемент: DOCTYPE html, html lang="ru".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Мета-теги: charset UTF-8, viewport width=device-width initial-scale=1.0.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Заголовок страницы: «Дашборд качества обучения — Филиал ВУЗа».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Внешние скрипты, подключаемые через CDN: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Tailwind CSS: https://cdn.tailwindcss.com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Chart.js 4.4.0: https://cdn.jsdelivr.net/npm/chart.js@4.4.0/dist/chart.umd.min.js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Шрифт Inter подключается через Google Fonts с весами 300, 400, 500, 600, 700, 800.</w:t>
      </w:r>
    </w:p>
    <w:p>
      <w:pPr>
        <w:pStyle w:val="Caption"/>
        <w:keepNext/>
      </w:pPr>
      <w:r>
        <w:rPr>
          <w:rFonts w:ascii="Aptos" w:cs="Aptos" w:eastAsia="Aptos" w:hAnsi="Aptos"/>
          <w:b/>
          <w:bCs/>
        </w:rPr>
        <w:t xml:space="preserve">Таблица 5. CSS-классы и их назначение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6"/>
        <w:gridCol w:w="3951"/>
        <w:gridCol w:w="3335"/>
      </w:tblGrid>
      <w:tr>
        <w:trPr>
          <w:cantSplit/>
          <w:tblHeader/>
        </w:trPr>
        <w:tc>
          <w:tcPr>
            <w:tcW w:type="dxa" w:w="2316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CSS-класс</w:t>
            </w:r>
          </w:p>
        </w:tc>
        <w:tc>
          <w:tcPr>
            <w:tcW w:type="dxa" w:w="3951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Свойство / значение</w:t>
            </w:r>
          </w:p>
        </w:tc>
        <w:tc>
          <w:tcPr>
            <w:tcW w:type="dxa" w:w="3335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31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body</w:t>
            </w:r>
          </w:p>
        </w:tc>
        <w:tc>
          <w:tcPr>
            <w:tcW w:type="dxa" w:w="39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background: #0f172a; color: #e2e8f0</w:t>
            </w:r>
          </w:p>
        </w:tc>
        <w:tc>
          <w:tcPr>
            <w:tcW w:type="dxa" w:w="333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Тёмный фон, светлый текст</w:t>
            </w:r>
          </w:p>
        </w:tc>
      </w:tr>
      <w:tr>
        <w:trPr>
          <w:cantSplit/>
        </w:trPr>
        <w:tc>
          <w:tcPr>
            <w:tcW w:type="dxa" w:w="231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.screen</w:t>
            </w:r>
          </w:p>
        </w:tc>
        <w:tc>
          <w:tcPr>
            <w:tcW w:type="dxa" w:w="39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display: none</w:t>
            </w:r>
          </w:p>
        </w:tc>
        <w:tc>
          <w:tcPr>
            <w:tcW w:type="dxa" w:w="333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Скрытый экран</w:t>
            </w:r>
          </w:p>
        </w:tc>
      </w:tr>
      <w:tr>
        <w:trPr>
          <w:cantSplit/>
        </w:trPr>
        <w:tc>
          <w:tcPr>
            <w:tcW w:type="dxa" w:w="231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.screen.active</w:t>
            </w:r>
          </w:p>
        </w:tc>
        <w:tc>
          <w:tcPr>
            <w:tcW w:type="dxa" w:w="39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display: block</w:t>
            </w:r>
          </w:p>
        </w:tc>
        <w:tc>
          <w:tcPr>
            <w:tcW w:type="dxa" w:w="333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Активный экран</w:t>
            </w:r>
          </w:p>
        </w:tc>
      </w:tr>
      <w:tr>
        <w:trPr>
          <w:cantSplit/>
        </w:trPr>
        <w:tc>
          <w:tcPr>
            <w:tcW w:type="dxa" w:w="231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.card-hover</w:t>
            </w:r>
          </w:p>
        </w:tc>
        <w:tc>
          <w:tcPr>
            <w:tcW w:type="dxa" w:w="39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transition: all 0.3s; cursor: pointer</w:t>
            </w:r>
          </w:p>
        </w:tc>
        <w:tc>
          <w:tcPr>
            <w:tcW w:type="dxa" w:w="333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Интерактивная карточка</w:t>
            </w:r>
          </w:p>
        </w:tc>
      </w:tr>
      <w:tr>
        <w:trPr>
          <w:cantSplit/>
        </w:trPr>
        <w:tc>
          <w:tcPr>
            <w:tcW w:type="dxa" w:w="231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.card-hover:hover</w:t>
            </w:r>
          </w:p>
        </w:tc>
        <w:tc>
          <w:tcPr>
            <w:tcW w:type="dxa" w:w="39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transform: translateY(-4px)</w:t>
            </w:r>
          </w:p>
        </w:tc>
        <w:tc>
          <w:tcPr>
            <w:tcW w:type="dxa" w:w="333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Подъём при наведении</w:t>
            </w:r>
          </w:p>
        </w:tc>
      </w:tr>
      <w:tr>
        <w:trPr>
          <w:cantSplit/>
        </w:trPr>
        <w:tc>
          <w:tcPr>
            <w:tcW w:type="dxa" w:w="231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.pulse-green</w:t>
            </w:r>
          </w:p>
        </w:tc>
        <w:tc>
          <w:tcPr>
            <w:tcW w:type="dxa" w:w="39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animation: pulseGreen 2s infinite</w:t>
            </w:r>
          </w:p>
        </w:tc>
        <w:tc>
          <w:tcPr>
            <w:tcW w:type="dxa" w:w="333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Пульсация главной карточки</w:t>
            </w:r>
          </w:p>
        </w:tc>
      </w:tr>
      <w:tr>
        <w:trPr>
          <w:cantSplit/>
        </w:trPr>
        <w:tc>
          <w:tcPr>
            <w:tcW w:type="dxa" w:w="231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.fade-in</w:t>
            </w:r>
          </w:p>
        </w:tc>
        <w:tc>
          <w:tcPr>
            <w:tcW w:type="dxa" w:w="39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animation: fadeIn 0.4s ease</w:t>
            </w:r>
          </w:p>
        </w:tc>
        <w:tc>
          <w:tcPr>
            <w:tcW w:type="dxa" w:w="333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Появление Экрана 1</w:t>
            </w:r>
          </w:p>
        </w:tc>
      </w:tr>
      <w:tr>
        <w:trPr>
          <w:cantSplit/>
        </w:trPr>
        <w:tc>
          <w:tcPr>
            <w:tcW w:type="dxa" w:w="231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.slide-in</w:t>
            </w:r>
          </w:p>
        </w:tc>
        <w:tc>
          <w:tcPr>
            <w:tcW w:type="dxa" w:w="39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animation: slideIn 0.4s ease</w:t>
            </w:r>
          </w:p>
        </w:tc>
        <w:tc>
          <w:tcPr>
            <w:tcW w:type="dxa" w:w="333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Появление Экранов 2–5</w:t>
            </w:r>
          </w:p>
        </w:tc>
      </w:tr>
      <w:tr>
        <w:trPr>
          <w:cantSplit/>
        </w:trPr>
        <w:tc>
          <w:tcPr>
            <w:tcW w:type="dxa" w:w="231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.glow-red</w:t>
            </w:r>
          </w:p>
        </w:tc>
        <w:tc>
          <w:tcPr>
            <w:tcW w:type="dxa" w:w="39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box-shadow: 0 0 20px rgba(239,68,68,0.3)</w:t>
            </w:r>
          </w:p>
        </w:tc>
        <w:tc>
          <w:tcPr>
            <w:tcW w:type="dxa" w:w="333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Красное свечение</w:t>
            </w:r>
          </w:p>
        </w:tc>
      </w:tr>
      <w:tr>
        <w:trPr>
          <w:cantSplit/>
        </w:trPr>
        <w:tc>
          <w:tcPr>
            <w:tcW w:type="dxa" w:w="231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.glow-green</w:t>
            </w:r>
          </w:p>
        </w:tc>
        <w:tc>
          <w:tcPr>
            <w:tcW w:type="dxa" w:w="39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box-shadow: 0 0 20px rgba(34,197,94,0.3)</w:t>
            </w:r>
          </w:p>
        </w:tc>
        <w:tc>
          <w:tcPr>
            <w:tcW w:type="dxa" w:w="333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Зелёное свечение</w:t>
            </w:r>
          </w:p>
        </w:tc>
      </w:tr>
      <w:tr>
        <w:trPr>
          <w:cantSplit/>
        </w:trPr>
        <w:tc>
          <w:tcPr>
            <w:tcW w:type="dxa" w:w="231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.metric-number</w:t>
            </w:r>
          </w:p>
        </w:tc>
        <w:tc>
          <w:tcPr>
            <w:tcW w:type="dxa" w:w="39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font-size: 3.5rem; font-weight: 800</w:t>
            </w:r>
          </w:p>
        </w:tc>
        <w:tc>
          <w:tcPr>
            <w:tcW w:type="dxa" w:w="333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Крупный индекс</w:t>
            </w:r>
          </w:p>
        </w:tc>
      </w:tr>
      <w:tr>
        <w:trPr>
          <w:cantSplit/>
        </w:trPr>
        <w:tc>
          <w:tcPr>
            <w:tcW w:type="dxa" w:w="231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.rank-row:hover</w:t>
            </w:r>
          </w:p>
        </w:tc>
        <w:tc>
          <w:tcPr>
            <w:tcW w:type="dxa" w:w="39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transform: translateX(4px)</w:t>
            </w:r>
          </w:p>
        </w:tc>
        <w:tc>
          <w:tcPr>
            <w:tcW w:type="dxa" w:w="333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Сдвиг строки рейтинга</w:t>
            </w:r>
          </w:p>
        </w:tc>
      </w:tr>
      <w:tr>
        <w:trPr>
          <w:cantSplit/>
        </w:trPr>
        <w:tc>
          <w:tcPr>
            <w:tcW w:type="dxa" w:w="231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.complaint-card</w:t>
            </w:r>
          </w:p>
        </w:tc>
        <w:tc>
          <w:tcPr>
            <w:tcW w:type="dxa" w:w="39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border-left: 3px solid #ef4444</w:t>
            </w:r>
          </w:p>
        </w:tc>
        <w:tc>
          <w:tcPr>
            <w:tcW w:type="dxa" w:w="333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Карточка жалобы</w:t>
            </w:r>
          </w:p>
        </w:tc>
      </w:tr>
      <w:tr>
        <w:trPr>
          <w:cantSplit/>
        </w:trPr>
        <w:tc>
          <w:tcPr>
            <w:tcW w:type="dxa" w:w="231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.tab-btn.active</w:t>
            </w:r>
          </w:p>
        </w:tc>
        <w:tc>
          <w:tcPr>
            <w:tcW w:type="dxa" w:w="39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background: #3b82f6; color: white</w:t>
            </w:r>
          </w:p>
        </w:tc>
        <w:tc>
          <w:tcPr>
            <w:tcW w:type="dxa" w:w="333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Активная вкладка</w:t>
            </w:r>
          </w:p>
        </w:tc>
      </w:tr>
      <w:tr>
        <w:trPr>
          <w:cantSplit/>
        </w:trPr>
        <w:tc>
          <w:tcPr>
            <w:tcW w:type="dxa" w:w="231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.defect-bar-fill</w:t>
            </w:r>
          </w:p>
        </w:tc>
        <w:tc>
          <w:tcPr>
            <w:tcW w:type="dxa" w:w="395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transition: width 1.2s</w:t>
            </w:r>
          </w:p>
        </w:tc>
        <w:tc>
          <w:tcPr>
            <w:tcW w:type="dxa" w:w="333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Анимация бара дефекта</w:t>
            </w:r>
          </w:p>
        </w:tc>
      </w:tr>
    </w:tbl>
    <w:p>
      <w:pPr>
        <w:spacing w:after="20" w:line="276" w:lineRule="auto"/>
      </w:pP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Ключевые CSS-анимации: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pulseGreen: 0% и 100% — box-shadow 0 0 0 0 rgba(34,197,94,0.4); 50% — box-shadow 0 0 0 20px rgba(34,197,94,0).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fadeIn: from opacity 0; to opacity 1.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slideIn: from opacity 0 translateX(30px); to opacity 1 translateX(0).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fadeInUp: from opacity 0 translateY(10px); to opacity 1 translateY(0).</w:t>
      </w:r>
    </w:p>
    <w:p>
      <w:pPr>
        <w:pStyle w:val="Heading2"/>
      </w:pPr>
      <w:bookmarkStart w:name="toc_section_025" w:id="1"/>
      <w:r>
        <w:rPr>
          <w:rFonts w:ascii="Aptos Display" w:cs="Aptos Display" w:eastAsia="Aptos Display" w:hAnsi="Aptos Display"/>
        </w:rPr>
        <w:t xml:space="preserve">Секция HEADER — шапка с навигацией</w:t>
      </w:r>
      <w:bookmarkEnd w:id="1"/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Тег header с классами: bg-slate-900 border-b border-slate-700 px-6 py-4 sticky top-0 z-50.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Внутренний контейнер: max-w-7xl mx-auto flex items-center justify-between.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Три блока внутри шапки: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Логотип: div с иконкой SVG (график), текст «АналитикаВУЗ» и подпись «Система оценки качества обучения».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Хлебные крошки: nav id="breadcrumb" — обновляется функцией updateBreadcrumb(n) при каждом переходе.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Индикатор: текст «Учебный год 2025–2026», зелёная точка с классом animate-pulse, текст «Live».</w:t>
      </w:r>
    </w:p>
    <w:p>
      <w:pPr>
        <w:pStyle w:val="Heading2"/>
      </w:pPr>
      <w:bookmarkStart w:name="toc_section_026" w:id="1"/>
      <w:r>
        <w:rPr>
          <w:rFonts w:ascii="Aptos Display" w:cs="Aptos Display" w:eastAsia="Aptos Display" w:hAnsi="Aptos Display"/>
        </w:rPr>
        <w:t xml:space="preserve">Экран 1 — разметка главного индекса</w:t>
      </w:r>
      <w:bookmarkEnd w:id="1"/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Контейнер: div id="screen1" class="screen active fade-in".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Заголовочный блок: h1 «Дашборд качества обучения», p «Нажмите на карточку для детального анализа».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Главная карточка-кнопка: onclick="goToScreen(2)", классы card-hover pulse-green glow-green, градиент from-green-900/60 to-emerald-800/40, border-2 border-green-500/60 rounded-3xl p-12.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Содержимое карточки: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Надпись «Коэффициент качества обучения в филиале» (uppercase tracking-widest).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Число 0.83 с классом metric-number (градиентный текст зелёного цвета).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Подпись «из 1.0».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Прогресс-бар: div bg-slate-800/60 rounded-full h-4, внутри div bg-gradient-to-r from-green-500 to-emerald-400 style="width: 83%".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Три счётчика: 250 студентов, 10 преподавателей, 4 кафедры.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Кнопка «Нажмите для детального анализа» (bg-green-500/20 border-green-500/40 rounded-full).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Мини-статистика: grid grid-cols-4 gap-4 — четыре карточки (Лидер, Риск, Блоков, Фокус).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Сводная таблица кафедр: grid grid-cols-4 gap-3 с индексами 0.87, 0.85, 0.79, 0.82.</w:t>
      </w:r>
    </w:p>
    <w:p>
      <w:pPr>
        <w:pStyle w:val="Heading2"/>
      </w:pPr>
      <w:bookmarkStart w:name="toc_section_027" w:id="1"/>
      <w:r>
        <w:rPr>
          <w:rFonts w:ascii="Aptos Display" w:cs="Aptos Display" w:eastAsia="Aptos Display" w:hAnsi="Aptos Display"/>
        </w:rPr>
        <w:t xml:space="preserve">Экран 2 — разметка плиток блоков</w:t>
      </w:r>
      <w:bookmarkEnd w:id="1"/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Контейнер: div id="screen2" class="screen slide-in".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Плитки генерируются функцией renderBlockTiles() в div id="blockTiles".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Каждая плитка: div class="block-tile bg-gradient-to-r [цвет] border [цвет] rounded-2xl p-5".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Структура плитки: иконка (text-3xl), название блока, описание, прогресс-бар (bar-fill с data-width), числовой индекс.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Блок 5 (Moodle): дополнительно onclick="goToScreen(3)", красный градиент, пульсирующая метка «Нажмите для анализа».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Предупреждающий баннер: bg-yellow-900/20 border-yellow-600/30 rounded-xl — текст о проблемной зоне.</w:t>
      </w:r>
    </w:p>
    <w:p>
      <w:pPr>
        <w:pStyle w:val="Heading2"/>
      </w:pPr>
      <w:bookmarkStart w:name="toc_section_028" w:id="1"/>
      <w:r>
        <w:rPr>
          <w:rFonts w:ascii="Aptos Display" w:cs="Aptos Display" w:eastAsia="Aptos Display" w:hAnsi="Aptos Display"/>
        </w:rPr>
        <w:t xml:space="preserve">Экран 3 — разметка гистограммы кафедр</w:t>
      </w:r>
      <w:bookmarkEnd w:id="1"/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Контейнер: div id="screen3" class="screen slide-in".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Сетка: grid grid-cols-3 gap-6.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Левая часть (col-span-2): canvas id="deptChart" — гистограмма Chart.js, высота 320px.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Правая часть: четыре карточки кафедр с индексами. Карточка Кафедры ВМ: onclick="goToScreen(4)", классы glow-red bg-red-900/30 border-red-500/60.</w:t>
      </w:r>
    </w:p>
    <w:p>
      <w:pPr>
        <w:pStyle w:val="Heading2"/>
      </w:pPr>
      <w:bookmarkStart w:name="toc_section_029" w:id="1"/>
      <w:r>
        <w:rPr>
          <w:rFonts w:ascii="Aptos Display" w:cs="Aptos Display" w:eastAsia="Aptos Display" w:hAnsi="Aptos Display"/>
        </w:rPr>
        <w:t xml:space="preserve">Экран 4 — разметка рейтинга преподавателей</w:t>
      </w:r>
      <w:bookmarkEnd w:id="1"/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Контейнер: div id="screen4" class="screen slide-in".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Сетка: grid grid-cols-3 gap-6.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Левая часть (col-span-2): две строки рейтинга.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Строка 1 (Васильев Н.Н.): медаль «1», прогресс-бар зелёный 74%, индекс 0.74.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Строка 2 (Иванова И.И.): onclick="goToScreen(5)", класс rank-row glow-red, медаль «2» красная, прогресс-бар красный 48%, индекс 0.48, метка «Критично».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Правая часть: статистика кафедры ВМ и блок рекомендаций bg-red-900/20.</w:t>
      </w:r>
    </w:p>
    <w:p>
      <w:pPr>
        <w:pStyle w:val="Heading2"/>
      </w:pPr>
      <w:bookmarkStart w:name="toc_section_030" w:id="1"/>
      <w:r>
        <w:rPr>
          <w:rFonts w:ascii="Aptos Display" w:cs="Aptos Display" w:eastAsia="Aptos Display" w:hAnsi="Aptos Display"/>
        </w:rPr>
        <w:t xml:space="preserve">Экран 5 — разметка персональной карты</w:t>
      </w:r>
      <w:bookmarkEnd w:id="1"/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Контейнер: div id="screen5" class="screen slide-in".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Шапка профиля: bg-gradient-to-r from-slate-800/80 to-red-900/20, аватар «ИИ» (bg-gradient-to-br from-red-500 to-rose-700), имя, должность, три индекса.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Переключатель дисциплин: две кнопки tab-btn с id="tab-math" и id="tab-algebra", onclick="switchDiscipline('math')" и onclick="switchDiscipline('algebra')".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Контент дисциплины: div id="discipline-content" — генерируется функцией renderPersonalCard(disc).</w:t>
      </w:r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Структура контента дисциплины (генерируется динамически):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Четыре метрики: дисциплина, индекс лекций, индекс Moodle, число опрошенных студентов.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График дефектов: defect-bar-container с defect-bar-fill, data-width и data-delay для анимации.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Сравнение компонентов: четыре прогресс-бара (Лекции, Методматериалы, Оценивание, Moodle).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Диагноз: блок bg-red-900/20 с описанием разрыва.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Стена жалоб: complaint-card с цитатами студентов.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Рекомендации (только для Высшей математики): три колонки — срочно, краткосрочно, долгосрочно.</w:t>
      </w:r>
    </w:p>
    <w:p>
      <w:pPr>
        <w:pStyle w:val="Heading2"/>
      </w:pPr>
      <w:bookmarkStart w:name="toc_section_031" w:id="1"/>
      <w:r>
        <w:rPr>
          <w:rFonts w:ascii="Aptos Display" w:cs="Aptos Display" w:eastAsia="Aptos Display" w:hAnsi="Aptos Display"/>
        </w:rPr>
        <w:t xml:space="preserve">JavaScript — полная структура блока script</w:t>
      </w:r>
      <w:bookmarkEnd w:id="1"/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Блок script содержит следующие разделы в порядке объявления:</w:t>
      </w:r>
    </w:p>
    <w:p>
      <w:pPr>
        <w:pStyle w:val="ListParagraph"/>
        <w:numPr>
          <w:ilvl w:val="0"/>
          <w:numId w:val="4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Константы данных: BLOCKS (5 объектов), DEPT_DATA (объект с labels/values/colors), DEFECTS_MATH (6 объектов), DEFECTS_ALGEBRA (4 объекта), COMPLAINTS_MATH (5 объектов), COMPLAINTS_ALGEBRA (2 объекта).</w:t>
      </w:r>
    </w:p>
    <w:p>
      <w:pPr>
        <w:pStyle w:val="ListParagraph"/>
        <w:numPr>
          <w:ilvl w:val="0"/>
          <w:numId w:val="4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Переменные состояния: currentScreen = 1, deptChart = null, объект breadcrumbPaths (пути для экранов 1–5).</w:t>
      </w:r>
    </w:p>
    <w:p>
      <w:pPr>
        <w:pStyle w:val="ListParagraph"/>
        <w:numPr>
          <w:ilvl w:val="0"/>
          <w:numId w:val="4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Функции навигации: goToScreen(n), updateBreadcrumb(n).</w:t>
      </w:r>
    </w:p>
    <w:p>
      <w:pPr>
        <w:pStyle w:val="ListParagraph"/>
        <w:numPr>
          <w:ilvl w:val="0"/>
          <w:numId w:val="4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Функции рендеринга: getIndexColor(idx), renderBlockTiles(), renderDeptChart(), switchDiscipline(disc), renderPersonalCard(disc).</w:t>
      </w:r>
    </w:p>
    <w:p>
      <w:pPr>
        <w:pStyle w:val="ListParagraph"/>
        <w:numPr>
          <w:ilvl w:val="0"/>
          <w:numId w:val="4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Инициализация: document.addEventListener('DOMContentLoaded', () =&gt; goToScreen(1)).</w:t>
      </w:r>
    </w:p>
    <w:p>
      <w:pPr>
        <w:pStyle w:val="Caption"/>
        <w:keepNext/>
      </w:pPr>
      <w:r>
        <w:rPr>
          <w:rFonts w:ascii="Aptos" w:cs="Aptos" w:eastAsia="Aptos" w:hAnsi="Aptos"/>
          <w:b/>
          <w:bCs/>
        </w:rPr>
        <w:t xml:space="preserve">Таблица 6. Параметры функции renderDeptChart (Chart.js)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01"/>
        <w:gridCol w:w="5901"/>
      </w:tblGrid>
      <w:tr>
        <w:trPr>
          <w:cantSplit/>
          <w:tblHeader/>
        </w:trPr>
        <w:tc>
          <w:tcPr>
            <w:tcW w:type="dxa" w:w="3701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5901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370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type</w:t>
            </w:r>
          </w:p>
        </w:tc>
        <w:tc>
          <w:tcPr>
            <w:tcW w:type="dxa" w:w="590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bar</w:t>
            </w:r>
          </w:p>
        </w:tc>
      </w:tr>
      <w:tr>
        <w:trPr>
          <w:cantSplit/>
        </w:trPr>
        <w:tc>
          <w:tcPr>
            <w:tcW w:type="dxa" w:w="370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borderRadius</w:t>
            </w:r>
          </w:p>
        </w:tc>
        <w:tc>
          <w:tcPr>
            <w:tcW w:type="dxa" w:w="590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370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animation.duration</w:t>
            </w:r>
          </w:p>
        </w:tc>
        <w:tc>
          <w:tcPr>
            <w:tcW w:type="dxa" w:w="590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800 мс</w:t>
            </w:r>
          </w:p>
        </w:tc>
      </w:tr>
      <w:tr>
        <w:trPr>
          <w:cantSplit/>
        </w:trPr>
        <w:tc>
          <w:tcPr>
            <w:tcW w:type="dxa" w:w="370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animation.easing</w:t>
            </w:r>
          </w:p>
        </w:tc>
        <w:tc>
          <w:tcPr>
            <w:tcW w:type="dxa" w:w="590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easeOutQuart</w:t>
            </w:r>
          </w:p>
        </w:tc>
      </w:tr>
      <w:tr>
        <w:trPr>
          <w:cantSplit/>
        </w:trPr>
        <w:tc>
          <w:tcPr>
            <w:tcW w:type="dxa" w:w="370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scales.y.min</w:t>
            </w:r>
          </w:p>
        </w:tc>
        <w:tc>
          <w:tcPr>
            <w:tcW w:type="dxa" w:w="590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370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scales.y.max</w:t>
            </w:r>
          </w:p>
        </w:tc>
        <w:tc>
          <w:tcPr>
            <w:tcW w:type="dxa" w:w="590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70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onClick (index 3)</w:t>
            </w:r>
          </w:p>
        </w:tc>
        <w:tc>
          <w:tcPr>
            <w:tcW w:type="dxa" w:w="5901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goToScreen(4) — переход к Кафедре ВМ</w:t>
            </w:r>
          </w:p>
        </w:tc>
      </w:tr>
    </w:tbl>
    <w:p>
      <w:pPr>
        <w:spacing w:after="20" w:line="276" w:lineRule="auto"/>
      </w:pPr>
    </w:p>
    <w:p>
      <w:pPr>
        <w:pStyle w:val="Heading1"/>
      </w:pPr>
      <w:bookmarkStart w:name="toc_section_032" w:id="1"/>
      <w:r>
        <w:rPr>
          <w:rFonts w:ascii="Aptos Display" w:cs="Aptos Display" w:eastAsia="Aptos Display" w:hAnsi="Aptos Display"/>
        </w:rPr>
        <w:t xml:space="preserve">Инструкция по запуску и использованию</w:t>
      </w:r>
      <w:bookmarkEnd w:id="1"/>
    </w:p>
    <w:p>
      <w:pPr>
        <w:pStyle w:val="Lead"/>
      </w:pPr>
      <w:r>
        <w:rPr>
          <w:rFonts w:ascii="Aptos" w:cs="Aptos" w:eastAsia="Aptos" w:hAnsi="Aptos"/>
        </w:rPr>
        <w:t xml:space="preserve">Дашборд не требует установки, сервера или сборки. Достаточно открыть файл dashboard.html в современном браузере и следовать сценарию Drill-down навигации.</w:t>
      </w:r>
    </w:p>
    <w:p>
      <w:pPr>
        <w:pStyle w:val="Heading2"/>
      </w:pPr>
      <w:bookmarkStart w:name="toc_section_033" w:id="1"/>
      <w:r>
        <w:rPr>
          <w:rFonts w:ascii="Aptos Display" w:cs="Aptos Display" w:eastAsia="Aptos Display" w:hAnsi="Aptos Display"/>
        </w:rPr>
        <w:t xml:space="preserve">Системные требования</w:t>
      </w:r>
      <w:bookmarkEnd w:id="1"/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93"/>
        <w:gridCol w:w="7009"/>
      </w:tblGrid>
      <w:tr>
        <w:trPr>
          <w:cantSplit/>
        </w:trPr>
        <w:tc>
          <w:tcPr>
            <w:tcW w:type="dxa" w:w="2593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Браузер</w:t>
            </w:r>
          </w:p>
        </w:tc>
        <w:tc>
          <w:tcPr>
            <w:tcW w:type="dxa" w:w="7009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Chrome 90+, Firefox 88+, Edge 90+, Safari 14+</w:t>
            </w:r>
          </w:p>
        </w:tc>
      </w:tr>
      <w:tr>
        <w:trPr>
          <w:cantSplit/>
        </w:trPr>
        <w:tc>
          <w:tcPr>
            <w:tcW w:type="dxa" w:w="2593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Интернет</w:t>
            </w:r>
          </w:p>
        </w:tc>
        <w:tc>
          <w:tcPr>
            <w:tcW w:type="dxa" w:w="7009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Требуется при первом открытии (загрузка CDN)</w:t>
            </w:r>
          </w:p>
        </w:tc>
      </w:tr>
      <w:tr>
        <w:trPr>
          <w:cantSplit/>
        </w:trPr>
        <w:tc>
          <w:tcPr>
            <w:tcW w:type="dxa" w:w="2593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Разрешение экрана</w:t>
            </w:r>
          </w:p>
        </w:tc>
        <w:tc>
          <w:tcPr>
            <w:tcW w:type="dxa" w:w="7009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От 1280×720 пикселей</w:t>
            </w:r>
          </w:p>
        </w:tc>
      </w:tr>
      <w:tr>
        <w:trPr>
          <w:cantSplit/>
        </w:trPr>
        <w:tc>
          <w:tcPr>
            <w:tcW w:type="dxa" w:w="2593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JavaScript</w:t>
            </w:r>
          </w:p>
        </w:tc>
        <w:tc>
          <w:tcPr>
            <w:tcW w:type="dxa" w:w="7009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Должен быть включён</w:t>
            </w:r>
          </w:p>
        </w:tc>
      </w:tr>
      <w:tr>
        <w:trPr>
          <w:cantSplit/>
        </w:trPr>
        <w:tc>
          <w:tcPr>
            <w:tcW w:type="dxa" w:w="2593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Установка</w:t>
            </w:r>
          </w:p>
        </w:tc>
        <w:tc>
          <w:tcPr>
            <w:tcW w:type="dxa" w:w="7009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Не требуется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bookmarkStart w:name="toc_section_034" w:id="1"/>
      <w:r>
        <w:rPr>
          <w:rFonts w:ascii="Aptos Display" w:cs="Aptos Display" w:eastAsia="Aptos Display" w:hAnsi="Aptos Display"/>
        </w:rPr>
        <w:t xml:space="preserve">Запуск дашборда</w:t>
      </w:r>
      <w:bookmarkEnd w:id="1"/>
    </w:p>
    <w:p>
      <w:pPr>
        <w:pStyle w:val="ListParagraph"/>
        <w:numPr>
          <w:ilvl w:val="0"/>
          <w:numId w:val="5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Скопируйте файл dashboard.html на локальный компьютер.</w:t>
      </w:r>
    </w:p>
    <w:p>
      <w:pPr>
        <w:pStyle w:val="ListParagraph"/>
        <w:numPr>
          <w:ilvl w:val="0"/>
          <w:numId w:val="5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Откройте файл двойным кликом — он откроется в браузере по умолчанию.</w:t>
      </w:r>
    </w:p>
    <w:p>
      <w:pPr>
        <w:pStyle w:val="ListParagraph"/>
        <w:numPr>
          <w:ilvl w:val="0"/>
          <w:numId w:val="5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При первом открытии браузер загрузит Tailwind CSS и Chart.js с CDN (требуется интернет-соединение).</w:t>
      </w:r>
    </w:p>
    <w:p>
      <w:pPr>
        <w:pStyle w:val="ListParagraph"/>
        <w:numPr>
          <w:ilvl w:val="0"/>
          <w:numId w:val="5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Дашборд готов к работе — отображается Экран 1 с главным коэффициентом.</w:t>
      </w:r>
    </w:p>
    <w:p>
      <w:pPr>
        <w:pBdr>
          <w:left w:val="single" w:color="A33A32" w:sz="20" w:space="8"/>
        </w:pBdr>
        <w:shd w:fill="F9EBE9" w:color="auto" w:val="clear"/>
        <w:spacing w:after="160" w:before="80" w:line="276" w:lineRule="auto"/>
        <w:ind w:left="173" w:right="115"/>
      </w:pPr>
      <w:r>
        <w:rPr>
          <w:rFonts w:ascii="Aptos" w:cs="Aptos" w:eastAsia="Aptos" w:hAnsi="Aptos"/>
          <w:b/>
          <w:bCs/>
          <w:color w:val="A33A32"/>
          <w:sz w:val="19"/>
          <w:szCs w:val="19"/>
        </w:rPr>
        <w:t xml:space="preserve">ВАЖНО  </w:t>
      </w:r>
      <w:r>
        <w:rPr>
          <w:rFonts w:ascii="Aptos" w:cs="Aptos" w:eastAsia="Aptos" w:hAnsi="Aptos"/>
          <w:color w:val="263238"/>
          <w:sz w:val="22"/>
          <w:szCs w:val="22"/>
        </w:rPr>
        <w:t xml:space="preserve">При работе без интернета стили и графики не загрузятся. Для автономной работы замените CDN-ссылки на локальные копии библиотек.</w:t>
      </w:r>
    </w:p>
    <w:p>
      <w:pPr>
        <w:pStyle w:val="Heading2"/>
      </w:pPr>
      <w:bookmarkStart w:name="toc_section_035" w:id="1"/>
      <w:r>
        <w:rPr>
          <w:rFonts w:ascii="Aptos Display" w:cs="Aptos Display" w:eastAsia="Aptos Display" w:hAnsi="Aptos Display"/>
        </w:rPr>
        <w:t xml:space="preserve">Сценарий навигации (Drill-down)</w:t>
      </w:r>
      <w:bookmarkEnd w:id="1"/>
    </w:p>
    <w:p>
      <w:pPr>
        <w:pStyle w:val="Caption"/>
        <w:keepNext/>
      </w:pPr>
      <w:r>
        <w:rPr>
          <w:rFonts w:ascii="Aptos" w:cs="Aptos" w:eastAsia="Aptos" w:hAnsi="Aptos"/>
          <w:b/>
          <w:bCs/>
        </w:rPr>
        <w:t xml:space="preserve">Таблица 9. Пошаговый сценарий работы с дашбордом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396"/>
        <w:gridCol w:w="3603"/>
        <w:gridCol w:w="3603"/>
      </w:tblGrid>
      <w:tr>
        <w:trPr>
          <w:cantSplit/>
          <w:tblHeader/>
        </w:trPr>
        <w:tc>
          <w:tcPr>
            <w:tcW w:type="dxa" w:w="1000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Шаг</w:t>
            </w:r>
          </w:p>
        </w:tc>
        <w:tc>
          <w:tcPr>
            <w:tcW w:type="dxa" w:w="1396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Экран</w:t>
            </w:r>
          </w:p>
        </w:tc>
        <w:tc>
          <w:tcPr>
            <w:tcW w:type="dxa" w:w="3603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Действие пользователя</w:t>
            </w:r>
          </w:p>
        </w:tc>
        <w:tc>
          <w:tcPr>
            <w:tcW w:type="dxa" w:w="3603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1</w:t>
            </w:r>
          </w:p>
        </w:tc>
        <w:tc>
          <w:tcPr>
            <w:tcW w:type="dxa" w:w="139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Экран 1</w:t>
            </w:r>
          </w:p>
        </w:tc>
        <w:tc>
          <w:tcPr>
            <w:tcW w:type="dxa" w:w="3603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Открыть файл dashboard.html</w:t>
            </w:r>
          </w:p>
        </w:tc>
        <w:tc>
          <w:tcPr>
            <w:tcW w:type="dxa" w:w="3603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Главный коэффициент 0.83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2</w:t>
            </w:r>
          </w:p>
        </w:tc>
        <w:tc>
          <w:tcPr>
            <w:tcW w:type="dxa" w:w="139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Экран 1→2</w:t>
            </w:r>
          </w:p>
        </w:tc>
        <w:tc>
          <w:tcPr>
            <w:tcW w:type="dxa" w:w="3603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Нажать на зелёную карточку</w:t>
            </w:r>
          </w:p>
        </w:tc>
        <w:tc>
          <w:tcPr>
            <w:tcW w:type="dxa" w:w="3603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Плитки 5 блоков анкеты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3</w:t>
            </w:r>
          </w:p>
        </w:tc>
        <w:tc>
          <w:tcPr>
            <w:tcW w:type="dxa" w:w="139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Экран 2→3</w:t>
            </w:r>
          </w:p>
        </w:tc>
        <w:tc>
          <w:tcPr>
            <w:tcW w:type="dxa" w:w="3603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Нажать на плитку Блока 5</w:t>
            </w:r>
          </w:p>
        </w:tc>
        <w:tc>
          <w:tcPr>
            <w:tcW w:type="dxa" w:w="3603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Гистограмма кафедр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4</w:t>
            </w:r>
          </w:p>
        </w:tc>
        <w:tc>
          <w:tcPr>
            <w:tcW w:type="dxa" w:w="139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Экран 3→4</w:t>
            </w:r>
          </w:p>
        </w:tc>
        <w:tc>
          <w:tcPr>
            <w:tcW w:type="dxa" w:w="3603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Нажать на столбец Кафедры ВМ</w:t>
            </w:r>
          </w:p>
        </w:tc>
        <w:tc>
          <w:tcPr>
            <w:tcW w:type="dxa" w:w="3603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Рейтинг преподавателей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5</w:t>
            </w:r>
          </w:p>
        </w:tc>
        <w:tc>
          <w:tcPr>
            <w:tcW w:type="dxa" w:w="139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Экран 4→5</w:t>
            </w:r>
          </w:p>
        </w:tc>
        <w:tc>
          <w:tcPr>
            <w:tcW w:type="dxa" w:w="3603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Нажать на строку Ивановой И.И.</w:t>
            </w:r>
          </w:p>
        </w:tc>
        <w:tc>
          <w:tcPr>
            <w:tcW w:type="dxa" w:w="3603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Персональная карта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6</w:t>
            </w:r>
          </w:p>
        </w:tc>
        <w:tc>
          <w:tcPr>
            <w:tcW w:type="dxa" w:w="139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Экран 5</w:t>
            </w:r>
          </w:p>
        </w:tc>
        <w:tc>
          <w:tcPr>
            <w:tcW w:type="dxa" w:w="3603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Переключить вкладку дисциплины</w:t>
            </w:r>
          </w:p>
        </w:tc>
        <w:tc>
          <w:tcPr>
            <w:tcW w:type="dxa" w:w="3603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Данные по другой дисциплине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bookmarkStart w:name="toc_section_036" w:id="1"/>
      <w:r>
        <w:rPr>
          <w:rFonts w:ascii="Aptos Display" w:cs="Aptos Display" w:eastAsia="Aptos Display" w:hAnsi="Aptos Display"/>
        </w:rPr>
        <w:t xml:space="preserve">Возврат на предыдущий уровень</w:t>
      </w:r>
      <w:bookmarkEnd w:id="1"/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Для возврата на любой предыдущий уровень используйте хлебные крошки в верхней части страницы. Навигационная цепочка обновляется автоматически при каждом переходе: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🏠 Филиал → Экран 1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📊 Блоки анкеты → Экран 2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💻 Блок 5 · Кафедры → Экран 3</w:t>
      </w:r>
    </w:p>
    <w:p>
      <w:pPr>
        <w:pStyle w:val="ListParagraph"/>
        <w:numPr>
          <w:ilvl w:val="0"/>
          <w:numId w:val="3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🏛️ Кафедра ВМ → Экран 4</w:t>
      </w:r>
    </w:p>
    <w:p>
      <w:pPr>
        <w:pStyle w:val="Heading2"/>
      </w:pPr>
      <w:bookmarkStart w:name="toc_section_037" w:id="1"/>
      <w:r>
        <w:rPr>
          <w:rFonts w:ascii="Aptos Display" w:cs="Aptos Display" w:eastAsia="Aptos Display" w:hAnsi="Aptos Display"/>
        </w:rPr>
        <w:t xml:space="preserve">Интерпретация цветовой кодировки</w:t>
      </w:r>
      <w:bookmarkEnd w:id="1"/>
    </w:p>
    <w:p>
      <w:pPr>
        <w:pStyle w:val="Caption"/>
        <w:keepNext/>
      </w:pPr>
      <w:r>
        <w:rPr>
          <w:rFonts w:ascii="Aptos" w:cs="Aptos" w:eastAsia="Aptos" w:hAnsi="Aptos"/>
          <w:b/>
          <w:bCs/>
        </w:rPr>
        <w:t xml:space="preserve">Таблица 10. Цветовая кодировка индексов качества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18"/>
        <w:gridCol w:w="2778"/>
        <w:gridCol w:w="5106"/>
      </w:tblGrid>
      <w:tr>
        <w:trPr>
          <w:cantSplit/>
          <w:tblHeader/>
        </w:trPr>
        <w:tc>
          <w:tcPr>
            <w:tcW w:type="dxa" w:w="1718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Цвет</w:t>
            </w:r>
          </w:p>
        </w:tc>
        <w:tc>
          <w:tcPr>
            <w:tcW w:type="dxa" w:w="2778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Диапазон индекса</w:t>
            </w:r>
          </w:p>
        </w:tc>
        <w:tc>
          <w:tcPr>
            <w:tcW w:type="dxa" w:w="5106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Интерпретация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Зелёный</w:t>
            </w:r>
          </w:p>
        </w:tc>
        <w:tc>
          <w:tcPr>
            <w:tcW w:type="dxa" w:w="2778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0.85 – 1.00</w:t>
            </w:r>
          </w:p>
        </w:tc>
        <w:tc>
          <w:tcPr>
            <w:tcW w:type="dxa" w:w="510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Выше среднего, норма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Синий</w:t>
            </w:r>
          </w:p>
        </w:tc>
        <w:tc>
          <w:tcPr>
            <w:tcW w:type="dxa" w:w="2778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0.75 – 0.84</w:t>
            </w:r>
          </w:p>
        </w:tc>
        <w:tc>
          <w:tcPr>
            <w:tcW w:type="dxa" w:w="510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Норма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Жёлтый</w:t>
            </w:r>
          </w:p>
        </w:tc>
        <w:tc>
          <w:tcPr>
            <w:tcW w:type="dxa" w:w="2778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0.65 – 0.74</w:t>
            </w:r>
          </w:p>
        </w:tc>
        <w:tc>
          <w:tcPr>
            <w:tcW w:type="dxa" w:w="510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Ниже нормы, требует внимания</w:t>
            </w:r>
          </w:p>
        </w:tc>
      </w:tr>
      <w:tr>
        <w:trPr>
          <w:cantSplit/>
        </w:trPr>
        <w:tc>
          <w:tcPr>
            <w:tcW w:type="dxa" w:w="1718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Красный</w:t>
            </w:r>
          </w:p>
        </w:tc>
        <w:tc>
          <w:tcPr>
            <w:tcW w:type="dxa" w:w="2778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0.00 – 0.64</w:t>
            </w:r>
          </w:p>
        </w:tc>
        <w:tc>
          <w:tcPr>
            <w:tcW w:type="dxa" w:w="5106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Критично, требует немедленных мер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bookmarkStart w:name="toc_section_038" w:id="1"/>
      <w:r>
        <w:rPr>
          <w:rFonts w:ascii="Aptos Display" w:cs="Aptos Display" w:eastAsia="Aptos Display" w:hAnsi="Aptos Display"/>
        </w:rPr>
        <w:t xml:space="preserve">Рекомендуемые действия по результатам анализа</w:t>
      </w:r>
      <w:bookmarkEnd w:id="1"/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По итогам анализа дашборда для Ивановой И.И. (Кафедра ВМ, дисциплина «Высшая математика») рекомендуется следующий план мероприятий:</w:t>
      </w:r>
    </w:p>
    <w:p>
      <w:pPr>
        <w:pStyle w:val="Caption"/>
        <w:keepNext/>
      </w:pPr>
      <w:r>
        <w:rPr>
          <w:rFonts w:ascii="Aptos" w:cs="Aptos" w:eastAsia="Aptos" w:hAnsi="Aptos"/>
          <w:b/>
          <w:bCs/>
        </w:rPr>
        <w:t xml:space="preserve">Таблица 11. План корректирующих мероприятий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87"/>
        <w:gridCol w:w="5030"/>
        <w:gridCol w:w="2785"/>
      </w:tblGrid>
      <w:tr>
        <w:trPr>
          <w:cantSplit/>
          <w:tblHeader/>
        </w:trPr>
        <w:tc>
          <w:tcPr>
            <w:tcW w:type="dxa" w:w="1787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Срок</w:t>
            </w:r>
          </w:p>
        </w:tc>
        <w:tc>
          <w:tcPr>
            <w:tcW w:type="dxa" w:w="5030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Мероприятие</w:t>
            </w:r>
          </w:p>
        </w:tc>
        <w:tc>
          <w:tcPr>
            <w:tcW w:type="dxa" w:w="2785"/>
            <w:tcBorders>
              <w:top w:val="single" w:color="B7791F" w:sz="5"/>
              <w:left w:val="single" w:color="C7D4D0" w:sz="3"/>
              <w:bottom w:val="single" w:color="C7D4D0" w:sz="5"/>
              <w:right w:val="single" w:color="C7D4D0" w:sz="3"/>
            </w:tcBorders>
            <w:shd w:fill="EAF2E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/>
                <w:bCs/>
                <w:color w:val="123B36"/>
                <w:sz w:val="19"/>
                <w:szCs w:val="19"/>
              </w:rPr>
              <w:t xml:space="preserve">Ответственный</w:t>
            </w:r>
          </w:p>
        </w:tc>
      </w:tr>
      <w:tr>
        <w:trPr>
          <w:cantSplit/>
        </w:trPr>
        <w:tc>
          <w:tcPr>
            <w:tcW w:type="dxa" w:w="1787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До 2 недель</w:t>
            </w:r>
          </w:p>
        </w:tc>
        <w:tc>
          <w:tcPr>
            <w:tcW w:type="dxa" w:w="5030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Обновить все учебные материалы в Moodle</w:t>
            </w:r>
          </w:p>
        </w:tc>
        <w:tc>
          <w:tcPr>
            <w:tcW w:type="dxa" w:w="278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Иванова И.И.</w:t>
            </w:r>
          </w:p>
        </w:tc>
      </w:tr>
      <w:tr>
        <w:trPr>
          <w:cantSplit/>
        </w:trPr>
        <w:tc>
          <w:tcPr>
            <w:tcW w:type="dxa" w:w="1787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До 2 недель</w:t>
            </w:r>
          </w:p>
        </w:tc>
        <w:tc>
          <w:tcPr>
            <w:tcW w:type="dxa" w:w="5030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Активировать функцию обратной связи</w:t>
            </w:r>
          </w:p>
        </w:tc>
        <w:tc>
          <w:tcPr>
            <w:tcW w:type="dxa" w:w="278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Иванова И.И.</w:t>
            </w:r>
          </w:p>
        </w:tc>
      </w:tr>
      <w:tr>
        <w:trPr>
          <w:cantSplit/>
        </w:trPr>
        <w:tc>
          <w:tcPr>
            <w:tcW w:type="dxa" w:w="1787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До 2 недель</w:t>
            </w:r>
          </w:p>
        </w:tc>
        <w:tc>
          <w:tcPr>
            <w:tcW w:type="dxa" w:w="5030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Проверить накопленные онлайн-работы студентов</w:t>
            </w:r>
          </w:p>
        </w:tc>
        <w:tc>
          <w:tcPr>
            <w:tcW w:type="dxa" w:w="278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Иванова И.И.</w:t>
            </w:r>
          </w:p>
        </w:tc>
      </w:tr>
      <w:tr>
        <w:trPr>
          <w:cantSplit/>
        </w:trPr>
        <w:tc>
          <w:tcPr>
            <w:tcW w:type="dxa" w:w="1787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До 1 месяца</w:t>
            </w:r>
          </w:p>
        </w:tc>
        <w:tc>
          <w:tcPr>
            <w:tcW w:type="dxa" w:w="5030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Обновить тестовую базу по курсу</w:t>
            </w:r>
          </w:p>
        </w:tc>
        <w:tc>
          <w:tcPr>
            <w:tcW w:type="dxa" w:w="278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Иванова И.И.</w:t>
            </w:r>
          </w:p>
        </w:tc>
      </w:tr>
      <w:tr>
        <w:trPr>
          <w:cantSplit/>
        </w:trPr>
        <w:tc>
          <w:tcPr>
            <w:tcW w:type="dxa" w:w="1787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До 1 месяца</w:t>
            </w:r>
          </w:p>
        </w:tc>
        <w:tc>
          <w:tcPr>
            <w:tcW w:type="dxa" w:w="5030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Добавить видеолекции в курс Moodle</w:t>
            </w:r>
          </w:p>
        </w:tc>
        <w:tc>
          <w:tcPr>
            <w:tcW w:type="dxa" w:w="278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Иванова И.И.</w:t>
            </w:r>
          </w:p>
        </w:tc>
      </w:tr>
      <w:tr>
        <w:trPr>
          <w:cantSplit/>
        </w:trPr>
        <w:tc>
          <w:tcPr>
            <w:tcW w:type="dxa" w:w="1787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До 1 месяца</w:t>
            </w:r>
          </w:p>
        </w:tc>
        <w:tc>
          <w:tcPr>
            <w:tcW w:type="dxa" w:w="5030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Настроить автоматические уведомления</w:t>
            </w:r>
          </w:p>
        </w:tc>
        <w:tc>
          <w:tcPr>
            <w:tcW w:type="dxa" w:w="278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Методист кафедры</w:t>
            </w:r>
          </w:p>
        </w:tc>
      </w:tr>
      <w:tr>
        <w:trPr>
          <w:cantSplit/>
        </w:trPr>
        <w:tc>
          <w:tcPr>
            <w:tcW w:type="dxa" w:w="1787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Семестр</w:t>
            </w:r>
          </w:p>
        </w:tc>
        <w:tc>
          <w:tcPr>
            <w:tcW w:type="dxa" w:w="5030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Пройти обучение по работе с Moodle</w:t>
            </w:r>
          </w:p>
        </w:tc>
        <w:tc>
          <w:tcPr>
            <w:tcW w:type="dxa" w:w="278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Иванова И.И.</w:t>
            </w:r>
          </w:p>
        </w:tc>
      </w:tr>
      <w:tr>
        <w:trPr>
          <w:cantSplit/>
        </w:trPr>
        <w:tc>
          <w:tcPr>
            <w:tcW w:type="dxa" w:w="1787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Семестр</w:t>
            </w:r>
          </w:p>
        </w:tc>
        <w:tc>
          <w:tcPr>
            <w:tcW w:type="dxa" w:w="5030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Настроить регулярный мониторинг активности</w:t>
            </w:r>
          </w:p>
        </w:tc>
        <w:tc>
          <w:tcPr>
            <w:tcW w:type="dxa" w:w="278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shd w:fill="F8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Декан</w:t>
            </w:r>
          </w:p>
        </w:tc>
      </w:tr>
      <w:tr>
        <w:trPr>
          <w:cantSplit/>
        </w:trPr>
        <w:tc>
          <w:tcPr>
            <w:tcW w:type="dxa" w:w="1787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Семестр</w:t>
            </w:r>
          </w:p>
        </w:tc>
        <w:tc>
          <w:tcPr>
            <w:tcW w:type="dxa" w:w="5030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Провести повторный опрос студентов</w:t>
            </w:r>
          </w:p>
        </w:tc>
        <w:tc>
          <w:tcPr>
            <w:tcW w:type="dxa" w:w="2785"/>
            <w:tcBorders>
              <w:top w:val="single" w:color="C7D4D0" w:sz="3"/>
              <w:left w:val="single" w:color="C7D4D0" w:sz="3"/>
              <w:bottom w:val="single" w:color="C7D4D0" w:sz="3"/>
              <w:right w:val="single" w:color="C7D4D0" w:sz="3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pStyle w:val="TableText"/>
            </w:pPr>
            <w:r>
              <w:rPr>
                <w:rFonts w:ascii="Aptos" w:cs="Aptos" w:eastAsia="Aptos" w:hAnsi="Aptos"/>
                <w:b w:val="false"/>
                <w:bCs w:val="false"/>
                <w:color w:val="263238"/>
                <w:sz w:val="19"/>
                <w:szCs w:val="19"/>
              </w:rPr>
              <w:t xml:space="preserve">Методист кафедры</w:t>
            </w:r>
          </w:p>
        </w:tc>
      </w:tr>
    </w:tbl>
    <w:p>
      <w:pPr>
        <w:spacing w:after="20" w:line="276" w:lineRule="auto"/>
      </w:pPr>
    </w:p>
    <w:p>
      <w:pPr>
        <w:pStyle w:val="Heading2"/>
      </w:pPr>
      <w:bookmarkStart w:name="toc_section_039" w:id="1"/>
      <w:r>
        <w:rPr>
          <w:rFonts w:ascii="Aptos Display" w:cs="Aptos Display" w:eastAsia="Aptos Display" w:hAnsi="Aptos Display"/>
        </w:rPr>
        <w:t xml:space="preserve">Адаптация дашборда под реальные данные</w:t>
      </w:r>
      <w:bookmarkEnd w:id="1"/>
    </w:p>
    <w:p>
      <w:r>
        <w:rPr>
          <w:rFonts w:ascii="Aptos" w:cs="Aptos" w:eastAsia="Aptos" w:hAnsi="Aptos"/>
          <w:color w:val="263238"/>
          <w:sz w:val="22"/>
          <w:szCs w:val="22"/>
        </w:rPr>
        <w:t xml:space="preserve">Для замены синтетических данных на реальные необходимо отредактировать JavaScript-константы в блоке &lt;script&gt; файла dashboard.html:</w:t>
      </w:r>
    </w:p>
    <w:p>
      <w:pPr>
        <w:pStyle w:val="ListParagraph"/>
        <w:numPr>
          <w:ilvl w:val="0"/>
          <w:numId w:val="6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BLOCKS — обновить значения index для каждого блока анкеты.</w:t>
      </w:r>
    </w:p>
    <w:p>
      <w:pPr>
        <w:pStyle w:val="ListParagraph"/>
        <w:numPr>
          <w:ilvl w:val="0"/>
          <w:numId w:val="6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DEPT_DATA — обновить массив values с реальными индексами кафедр.</w:t>
      </w:r>
    </w:p>
    <w:p>
      <w:pPr>
        <w:pStyle w:val="ListParagraph"/>
        <w:numPr>
          <w:ilvl w:val="0"/>
          <w:numId w:val="6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DEFECTS_MATH / DEFECTS_ALGEBRA — обновить pct (процент студентов) и critical (критичность дефекта).</w:t>
      </w:r>
    </w:p>
    <w:p>
      <w:pPr>
        <w:pStyle w:val="ListParagraph"/>
        <w:numPr>
          <w:ilvl w:val="0"/>
          <w:numId w:val="6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COMPLAINTS_MATH / COMPLAINTS_ALGEBRA — заменить тексты анонимных цитат.</w:t>
      </w:r>
    </w:p>
    <w:p>
      <w:pPr>
        <w:pStyle w:val="ListParagraph"/>
        <w:numPr>
          <w:ilvl w:val="0"/>
          <w:numId w:val="6"/>
        </w:numPr>
        <w:spacing w:after="70" w:line="276" w:lineRule="auto"/>
      </w:pPr>
      <w:r>
        <w:rPr>
          <w:rFonts w:ascii="Aptos" w:cs="Aptos" w:eastAsia="Aptos" w:hAnsi="Aptos"/>
          <w:color w:val="263238"/>
          <w:sz w:val="22"/>
          <w:szCs w:val="22"/>
        </w:rPr>
        <w:t xml:space="preserve">Для добавления новых преподавателей или кафедр — расширить соответствующие массивы данных и HTML-разметку экранов 3 и 4.</w:t>
      </w:r>
    </w:p>
    <w:p>
      <w:pPr>
        <w:pBdr>
          <w:left w:val="single" w:color="B7791F" w:sz="20" w:space="8"/>
        </w:pBdr>
        <w:shd w:fill="F6F0E3" w:color="auto" w:val="clear"/>
        <w:spacing w:after="160" w:before="80" w:line="276" w:lineRule="auto"/>
        <w:ind w:left="173" w:right="115"/>
      </w:pPr>
      <w:r>
        <w:rPr>
          <w:rFonts w:ascii="Aptos" w:cs="Aptos" w:eastAsia="Aptos" w:hAnsi="Aptos"/>
          <w:b/>
          <w:bCs/>
          <w:color w:val="B7791F"/>
          <w:sz w:val="19"/>
          <w:szCs w:val="19"/>
        </w:rPr>
        <w:t xml:space="preserve">СОВЕТ  </w:t>
      </w:r>
      <w:r>
        <w:rPr>
          <w:rFonts w:ascii="Aptos" w:cs="Aptos" w:eastAsia="Aptos" w:hAnsi="Aptos"/>
          <w:color w:val="263238"/>
          <w:sz w:val="22"/>
          <w:szCs w:val="22"/>
        </w:rPr>
        <w:t xml:space="preserve">Все данные сосредоточены в начале блока &lt;script&gt; и снабжены комментариями. Редактирование не требует знания HTML или CSS — достаточно изменить числовые значения в константах.</w:t>
      </w:r>
    </w:p>
    <w:sectPr>
      <w:headerReference w:type="default" r:id="rId7"/>
      <w:footerReference w:type="default" r:id="rId8"/>
      <w:pgSz w:w="11906" w:h="16838" w:orient="portrait"/>
      <w:pgMar w:top="1037" w:right="1152" w:bottom="979" w:left="1152" w:header="432" w:footer="46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right"/>
    </w:pPr>
    <w:r>
      <w:rPr>
        <w:rFonts w:ascii="Aptos" w:cs="Aptos" w:eastAsia="Aptos" w:hAnsi="Aptos"/>
        <w:color w:val="5D6B70"/>
        <w:sz w:val="19"/>
        <w:szCs w:val="19"/>
      </w:rPr>
      <w:t xml:space="preserve">PAGE </w:t>
    </w:r>
    <w:r>
      <w:rPr>
        <w:rFonts w:ascii="Aptos" w:cs="Aptos" w:eastAsia="Aptos" w:hAnsi="Aptos"/>
        <w:color w:val="5D6B70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C7D4D0"/>
        <w:sz w:val="19"/>
        <w:szCs w:val="19"/>
      </w:rPr>
      <w:t xml:space="preserve">  /  </w:t>
    </w:r>
    <w:r>
      <w:rPr>
        <w:rFonts w:ascii="Aptos" w:cs="Aptos" w:eastAsia="Aptos" w:hAnsi="Aptos"/>
        <w:color w:val="5D6B70"/>
        <w:sz w:val="19"/>
        <w:szCs w:val="19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ptos" w:cs="Aptos" w:eastAsia="Aptos" w:hAnsi="Aptos"/>
        <w:color w:val="5D6B70"/>
        <w:sz w:val="18"/>
        <w:szCs w:val="18"/>
      </w:rPr>
      <w:t xml:space="preserve">Дашборд качества обучения — Исходный код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B7791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  <w:rPr>
        <w:color w:val="B7791F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190"/>
      </w:pPr>
      <w:rPr>
        <w:color w:val="B7791F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☒"/>
      <w:lvlJc w:val="left"/>
      <w:pPr>
        <w:ind w:left="360" w:hanging="190"/>
      </w:pPr>
      <w:rPr>
        <w:color w:val="2F6B4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/>
        <w:rFonts w:ascii="Aptos" w:cs="Aptos" w:eastAsia="Aptos" w:hAnsi="Aptos"/>
        <w:color w:val="263238"/>
        <w:sz w:val="22"/>
        <w:szCs w:val="22"/>
      </w:rPr>
    </w:rPrDefault>
    <w:pPrDefault>
      <w:pPr>
        <w:widowControl/>
        <w:spacing w:after="110" w:line="276" w:lineRule="auto"/>
      </w:pPr>
    </w:pPrDefault>
  </w:docDefaults>
  <w:style w:type="paragraph" w:styleId="Title">
    <w:name w:val="Title"/>
    <w:basedOn w:val="Normal"/>
    <w:next w:val="Normal"/>
    <w:qFormat/>
    <w:rPr>
      <w:sz w:val="62"/>
      <w:szCs w:val="62"/>
    </w:rPr>
  </w:style>
  <w:style w:type="paragraph" w:styleId="Heading1">
    <w:name w:val="Heading 1"/>
    <w:basedOn w:val="Normal"/>
    <w:next w:val="Normal"/>
    <w:qFormat/>
    <w:rPr>
      <w:color w:val="2E74B5"/>
      <w:sz w:val="35"/>
      <w:szCs w:val="35"/>
    </w:rPr>
  </w:style>
  <w:style w:type="paragraph" w:styleId="Heading2">
    <w:name w:val="Heading 2"/>
    <w:basedOn w:val="Normal"/>
    <w:next w:val="Normal"/>
    <w:qFormat/>
    <w:rPr>
      <w:color w:val="2E74B5"/>
      <w:sz w:val="29"/>
      <w:szCs w:val="29"/>
    </w:rPr>
  </w:style>
  <w:style w:type="paragraph" w:styleId="Heading3">
    <w:name w:val="Heading 3"/>
    <w:basedOn w:val="Normal"/>
    <w:next w:val="Normal"/>
    <w:qFormat/>
    <w:rPr>
      <w:color w:val="1F4D78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76" w:lineRule="auto"/>
    </w:pPr>
    <w:rPr>
      <w:sz w:val="22"/>
      <w:szCs w:val="22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2"/>
      <w:szCs w:val="22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76" w:lineRule="auto"/>
    </w:pPr>
    <w:rPr>
      <w:sz w:val="22"/>
      <w:szCs w:val="22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2"/>
      <w:szCs w:val="22"/>
    </w:rPr>
  </w:style>
  <w:style w:type="paragraph" w:styleId="Title">
    <w:name w:val="Title"/>
    <w:basedOn w:val="Normal"/>
    <w:next w:val="Normal"/>
    <w:qFormat/>
    <w:pPr>
      <w:keepNext/>
      <w:spacing w:after="100" w:before="0" w:line="276" w:lineRule="auto"/>
    </w:pPr>
    <w:rPr>
      <w:rFonts w:ascii="Aptos Display" w:cs="Aptos Display" w:eastAsia="Aptos Display" w:hAnsi="Aptos Display"/>
      <w:b/>
      <w:bCs/>
      <w:color w:val="123B36"/>
      <w:sz w:val="59"/>
      <w:szCs w:val="59"/>
    </w:rPr>
  </w:style>
  <w:style w:type="paragraph" w:styleId="Subtitle">
    <w:name w:val="Subtitle"/>
    <w:basedOn w:val="Normal"/>
    <w:next w:val="Normal"/>
    <w:qFormat/>
    <w:pPr>
      <w:spacing w:after="240" w:line="276" w:lineRule="auto"/>
    </w:pPr>
    <w:rPr>
      <w:rFonts w:ascii="Aptos" w:cs="Aptos" w:eastAsia="Aptos" w:hAnsi="Aptos"/>
      <w:color w:val="5D6B70"/>
      <w:sz w:val="25"/>
      <w:szCs w:val="25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00" w:line="276" w:lineRule="auto"/>
      <w:outlineLvl w:val="0"/>
    </w:pPr>
    <w:rPr>
      <w:rFonts w:ascii="Aptos Display" w:cs="Aptos Display" w:eastAsia="Aptos Display" w:hAnsi="Aptos Display"/>
      <w:b/>
      <w:bCs/>
      <w:color w:val="123B36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80" w:before="220" w:line="276" w:lineRule="auto"/>
      <w:outlineLvl w:val="1"/>
    </w:pPr>
    <w:rPr>
      <w:rFonts w:ascii="Aptos Display" w:cs="Aptos Display" w:eastAsia="Aptos Display" w:hAnsi="Aptos Display"/>
      <w:b/>
      <w:bCs/>
      <w:color w:val="B7791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60" w:before="160" w:line="276" w:lineRule="auto"/>
      <w:outlineLvl w:val="2"/>
    </w:pPr>
    <w:rPr>
      <w:rFonts w:ascii="Aptos Display" w:cs="Aptos Display" w:eastAsia="Aptos Display" w:hAnsi="Aptos Display"/>
      <w:b/>
      <w:bCs/>
      <w:color w:val="123B36"/>
      <w:sz w:val="23"/>
      <w:szCs w:val="23"/>
    </w:rPr>
  </w:style>
  <w:style w:type="paragraph" w:styleId="Caption">
    <w:name w:val="Caption"/>
    <w:basedOn w:val="Normal"/>
    <w:next w:val="Normal"/>
    <w:qFormat/>
    <w:pPr>
      <w:spacing w:after="60" w:line="276" w:lineRule="auto"/>
    </w:pPr>
    <w:rPr>
      <w:rFonts w:ascii="Aptos" w:cs="Aptos" w:eastAsia="Aptos" w:hAnsi="Aptos"/>
      <w:color w:val="5D6B70"/>
      <w:sz w:val="19"/>
      <w:szCs w:val="19"/>
    </w:rPr>
  </w:style>
  <w:style w:type="paragraph" w:styleId="TOCHeading">
    <w:name w:val="TOC Heading"/>
    <w:basedOn w:val="Normal"/>
    <w:next w:val="Normal"/>
    <w:qFormat/>
    <w:pPr>
      <w:keepNext/>
      <w:spacing w:after="180" w:before="0" w:line="276" w:lineRule="auto"/>
    </w:pPr>
    <w:rPr>
      <w:rFonts w:ascii="Aptos Display" w:cs="Aptos Display" w:eastAsia="Aptos Display" w:hAnsi="Aptos Display"/>
      <w:b/>
      <w:bCs/>
      <w:color w:val="123B36"/>
      <w:sz w:val="40"/>
      <w:szCs w:val="40"/>
    </w:rPr>
  </w:style>
  <w:style w:type="paragraph" w:styleId="Lead">
    <w:name w:val="Lead"/>
    <w:basedOn w:val="Normal"/>
    <w:next w:val="Normal"/>
    <w:qFormat/>
    <w:pPr>
      <w:spacing w:after="140" w:line="276" w:lineRule="auto"/>
    </w:pPr>
    <w:rPr>
      <w:rFonts w:ascii="Aptos" w:cs="Aptos" w:eastAsia="Aptos" w:hAnsi="Aptos"/>
      <w:b/>
      <w:bCs/>
      <w:color w:val="123B36"/>
      <w:sz w:val="24"/>
      <w:szCs w:val="24"/>
    </w:rPr>
  </w:style>
  <w:style w:type="paragraph" w:styleId="TableText">
    <w:name w:val="Table Text"/>
    <w:basedOn w:val="Normal"/>
    <w:next w:val="Normal"/>
    <w:pPr>
      <w:spacing w:after="0" w:line="276" w:lineRule="auto"/>
    </w:pPr>
    <w:rPr>
      <w:rFonts w:ascii="Aptos" w:cs="Aptos" w:eastAsia="Aptos" w:hAnsi="Aptos"/>
      <w:color w:val="263238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Дашборд оценки качества обучения в филиале ВУЗа</dc:title>
  <dc:subject>Полный исходный код и техническая документация</dc:subject>
  <dc:creator>Societas DOCX JS Skill</dc:creator>
  <cp:keywords>professional Word document</cp:keywords>
  <dc:description>Generated from an auditable document specification.</dc:description>
  <cp:lastModifiedBy>Un-named</cp:lastModifiedBy>
  <cp:revision>1</cp:revision>
  <dcterms:created xsi:type="dcterms:W3CDTF">2026-10-08T16:40:10.161Z</dcterms:created>
  <dcterms:modified xsi:type="dcterms:W3CDTF">2026-10-08T16:40:10.161Z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