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FBD6F" w14:textId="72AE1205" w:rsidR="00044A75" w:rsidRPr="00044A75" w:rsidRDefault="00044A75" w:rsidP="005E75DF">
      <w:pPr>
        <w:spacing w:after="0" w:line="240" w:lineRule="auto"/>
        <w:rPr>
          <w:b/>
          <w:bCs/>
        </w:rPr>
      </w:pPr>
      <w:r>
        <w:rPr>
          <w:b/>
          <w:bCs/>
        </w:rPr>
        <w:t>Steven Lang</w:t>
      </w:r>
    </w:p>
    <w:p w14:paraId="4030BCAE" w14:textId="21B2F5E3" w:rsidR="009E4919" w:rsidRDefault="00044A75" w:rsidP="005E75DF">
      <w:pPr>
        <w:spacing w:after="0" w:line="240" w:lineRule="auto"/>
        <w:rPr>
          <w:b/>
          <w:bCs/>
        </w:rPr>
      </w:pPr>
      <w:r w:rsidRPr="00044A75">
        <w:rPr>
          <w:b/>
          <w:bCs/>
        </w:rPr>
        <w:t>F1L Internship Emulator – Week 1 – 7/15/2024</w:t>
      </w:r>
      <w:r>
        <w:rPr>
          <w:b/>
          <w:bCs/>
        </w:rPr>
        <w:t xml:space="preserve"> – Key Scientific Question and Memorandum</w:t>
      </w:r>
    </w:p>
    <w:p w14:paraId="78A2B0D2" w14:textId="77777777" w:rsidR="00C50741" w:rsidRDefault="00C50741" w:rsidP="005E75DF">
      <w:pPr>
        <w:spacing w:after="0" w:line="240" w:lineRule="auto"/>
        <w:rPr>
          <w:b/>
          <w:bCs/>
        </w:rPr>
      </w:pPr>
    </w:p>
    <w:p w14:paraId="10AF5209" w14:textId="5E57819D" w:rsidR="00044A75" w:rsidRDefault="00C50741" w:rsidP="005E75DF">
      <w:pPr>
        <w:spacing w:after="0" w:line="240" w:lineRule="auto"/>
        <w:rPr>
          <w:b/>
          <w:bCs/>
        </w:rPr>
      </w:pPr>
      <w:r>
        <w:rPr>
          <w:b/>
          <w:bCs/>
        </w:rPr>
        <w:t>Paraphrase of Key Scientific Question in my own words:</w:t>
      </w:r>
    </w:p>
    <w:p w14:paraId="6D43D304" w14:textId="7EAE71F7" w:rsidR="00044A75" w:rsidRDefault="00044A75" w:rsidP="005E75DF">
      <w:pPr>
        <w:spacing w:after="0" w:line="240" w:lineRule="auto"/>
      </w:pPr>
      <w:r>
        <w:t>The goal of week one of the figure one lab internship simulator is to understand the key scientific question of the internship emulator and create a memo about our understanding of it. The key scientific question of the emulator is as follows: given data in the form of single cell RNA sequencing, how might I as the intern explore the usage of FDA-approved antibody therapies outside of their prescribed approval? This is to say, how might I explore their (</w:t>
      </w:r>
      <w:r w:rsidRPr="00044A75">
        <w:t>Trastuzumab</w:t>
      </w:r>
      <w:r>
        <w:t xml:space="preserve"> &amp; </w:t>
      </w:r>
      <w:r w:rsidRPr="00044A75">
        <w:t>Bevacizumab</w:t>
      </w:r>
      <w:r>
        <w:t>) monoclonal antibody therapies in other cancers for which they are not also approved?</w:t>
      </w:r>
    </w:p>
    <w:p w14:paraId="6D0102B1" w14:textId="77777777" w:rsidR="005E75DF" w:rsidRDefault="005E75DF" w:rsidP="005E75DF">
      <w:pPr>
        <w:spacing w:after="0" w:line="240" w:lineRule="auto"/>
      </w:pPr>
    </w:p>
    <w:p w14:paraId="54C83AFB" w14:textId="52E495E9" w:rsidR="007153BF" w:rsidRPr="007153BF" w:rsidRDefault="007153BF" w:rsidP="005E75DF">
      <w:pPr>
        <w:spacing w:after="0" w:line="240" w:lineRule="auto"/>
        <w:rPr>
          <w:b/>
          <w:bCs/>
        </w:rPr>
      </w:pPr>
      <w:r>
        <w:rPr>
          <w:b/>
          <w:bCs/>
        </w:rPr>
        <w:t>Current Understanding:</w:t>
      </w:r>
    </w:p>
    <w:p w14:paraId="76CD5A51" w14:textId="77777777" w:rsidR="00D573CA" w:rsidRDefault="00044A75" w:rsidP="008623DB">
      <w:pPr>
        <w:spacing w:after="0" w:line="240" w:lineRule="auto"/>
      </w:pPr>
      <w:r>
        <w:t xml:space="preserve">My current understanding: it is my current understanding that </w:t>
      </w:r>
      <w:proofErr w:type="gramStart"/>
      <w:r>
        <w:t>in order to</w:t>
      </w:r>
      <w:proofErr w:type="gramEnd"/>
      <w:r>
        <w:t xml:space="preserve"> target a given cancer with a given monoclonal antibody therapeutic, the </w:t>
      </w:r>
      <w:r w:rsidR="006A2661">
        <w:t xml:space="preserve">cancer must express the target gene as a cell surface protein to facilitate binding. As in the figure one lab information, </w:t>
      </w:r>
      <w:r w:rsidR="00D54C49">
        <w:t>“</w:t>
      </w:r>
      <w:r w:rsidR="006A2661" w:rsidRPr="006A2661">
        <w:t xml:space="preserve">Trastuzumab </w:t>
      </w:r>
      <w:r w:rsidR="006A2661">
        <w:t>t</w:t>
      </w:r>
      <w:r w:rsidR="006A2661" w:rsidRPr="006A2661">
        <w:t>argets HER2 and is used in the treatment of HER2-positive breast and gastric cancers</w:t>
      </w:r>
      <w:r w:rsidR="00D54C49">
        <w:t xml:space="preserve">.” It would therefore be inappropriate to treat HER2 negative cancers with this antibody therapy, as the antibody could not bind to the tumor cell, and the anti-tumor mechanism of action is lost. </w:t>
      </w:r>
    </w:p>
    <w:p w14:paraId="342C9595" w14:textId="77777777" w:rsidR="00D573CA" w:rsidRDefault="00D573CA" w:rsidP="008623DB">
      <w:pPr>
        <w:spacing w:after="0" w:line="240" w:lineRule="auto"/>
      </w:pPr>
    </w:p>
    <w:p w14:paraId="714C4C5D" w14:textId="3F0EC1C6" w:rsidR="005E75DF" w:rsidRDefault="006809BA" w:rsidP="008623DB">
      <w:pPr>
        <w:spacing w:after="0" w:line="240" w:lineRule="auto"/>
      </w:pPr>
      <w:r>
        <w:t xml:space="preserve">Investigations into targeting of other </w:t>
      </w:r>
      <w:proofErr w:type="gramStart"/>
      <w:r>
        <w:t>cancers</w:t>
      </w:r>
      <w:proofErr w:type="gramEnd"/>
      <w:r>
        <w:t xml:space="preserve"> therefore, will involve confirming that HER2 (</w:t>
      </w:r>
      <w:r w:rsidRPr="006A2661">
        <w:t>Trastuzumab</w:t>
      </w:r>
      <w:r>
        <w:t xml:space="preserve">) and/or </w:t>
      </w:r>
      <w:r>
        <w:t>VEGF</w:t>
      </w:r>
      <w:r>
        <w:t xml:space="preserve"> (Bevacizumab) are indeed expressed by these cancer types. Cancer is complex in that</w:t>
      </w:r>
      <w:r w:rsidR="00E6346C">
        <w:t xml:space="preserve"> among the same type of </w:t>
      </w:r>
      <w:r>
        <w:t>cancer</w:t>
      </w:r>
      <w:r w:rsidR="00E6346C">
        <w:t>, certain tumors will</w:t>
      </w:r>
      <w:r>
        <w:t xml:space="preserve"> express a given gene while others </w:t>
      </w:r>
      <w:r w:rsidR="00E6346C">
        <w:t>may</w:t>
      </w:r>
      <w:r>
        <w:t xml:space="preserve"> not</w:t>
      </w:r>
      <w:r w:rsidR="001D15A3">
        <w:t xml:space="preserve"> (e.g. via some deletion or mutation)</w:t>
      </w:r>
      <w:r w:rsidR="00E6346C">
        <w:t xml:space="preserve">. </w:t>
      </w:r>
      <w:r w:rsidR="004B2523">
        <w:t xml:space="preserve">It is for this reason that certain therapeutics may not be prescribed without first completing </w:t>
      </w:r>
      <w:r>
        <w:t>tumor genotyping</w:t>
      </w:r>
      <w:r w:rsidR="004B2523">
        <w:t>.</w:t>
      </w:r>
    </w:p>
    <w:p w14:paraId="1651194C" w14:textId="77777777" w:rsidR="008623DB" w:rsidRDefault="008623DB" w:rsidP="008623DB">
      <w:pPr>
        <w:spacing w:after="0" w:line="240" w:lineRule="auto"/>
      </w:pPr>
    </w:p>
    <w:p w14:paraId="6447995C" w14:textId="255B7F3F" w:rsidR="00960DA5" w:rsidRDefault="00960DA5" w:rsidP="008623DB">
      <w:pPr>
        <w:spacing w:after="0" w:line="240" w:lineRule="auto"/>
        <w:rPr>
          <w:b/>
          <w:bCs/>
        </w:rPr>
      </w:pPr>
      <w:r>
        <w:rPr>
          <w:b/>
          <w:bCs/>
        </w:rPr>
        <w:t>Helpful Resources:</w:t>
      </w:r>
    </w:p>
    <w:p w14:paraId="0D0F499F" w14:textId="3FA9137A" w:rsidR="00960DA5" w:rsidRDefault="00960DA5" w:rsidP="008623DB">
      <w:pPr>
        <w:spacing w:after="0"/>
        <w:rPr>
          <w:b/>
          <w:bCs/>
        </w:rPr>
      </w:pPr>
      <w:hyperlink r:id="rId5" w:history="1">
        <w:r w:rsidRPr="0037130B">
          <w:rPr>
            <w:rStyle w:val="Hyperlink"/>
            <w:b/>
            <w:bCs/>
          </w:rPr>
          <w:t>https://sites.broadinstitute.org/ccle/</w:t>
        </w:r>
      </w:hyperlink>
    </w:p>
    <w:p w14:paraId="54461CEB" w14:textId="212D5187" w:rsidR="00960DA5" w:rsidRPr="00960DA5" w:rsidRDefault="00960DA5" w:rsidP="008623DB">
      <w:pPr>
        <w:spacing w:after="0"/>
      </w:pPr>
      <w:r>
        <w:t>(from F1L resources)</w:t>
      </w:r>
    </w:p>
    <w:p w14:paraId="63C8EAE3" w14:textId="4BE642DC" w:rsidR="00960DA5" w:rsidRPr="00960DA5" w:rsidRDefault="00960DA5" w:rsidP="008623DB">
      <w:pPr>
        <w:spacing w:after="0"/>
        <w:rPr>
          <w:b/>
          <w:bCs/>
        </w:rPr>
      </w:pPr>
      <w:hyperlink r:id="rId6" w:history="1">
        <w:r w:rsidRPr="00960DA5">
          <w:rPr>
            <w:rStyle w:val="Hyperlink"/>
            <w:b/>
            <w:bCs/>
          </w:rPr>
          <w:t>https://www.sc-best-practices.org/preamble.html</w:t>
        </w:r>
      </w:hyperlink>
    </w:p>
    <w:p w14:paraId="5DA41EA3" w14:textId="6A8D1C2B" w:rsidR="00960DA5" w:rsidRDefault="00960DA5" w:rsidP="008623DB">
      <w:pPr>
        <w:spacing w:after="0"/>
      </w:pPr>
      <w:r>
        <w:t>(not from F1L resources)</w:t>
      </w:r>
    </w:p>
    <w:p w14:paraId="168524D7" w14:textId="77777777" w:rsidR="00855E7B" w:rsidRPr="00960DA5" w:rsidRDefault="00855E7B" w:rsidP="008623DB">
      <w:pPr>
        <w:spacing w:after="0"/>
      </w:pPr>
    </w:p>
    <w:p w14:paraId="2E8A7DB8" w14:textId="2A314B3B" w:rsidR="00044A75" w:rsidRDefault="00BC491F" w:rsidP="008623DB">
      <w:pPr>
        <w:spacing w:after="0"/>
        <w:rPr>
          <w:b/>
          <w:bCs/>
        </w:rPr>
      </w:pPr>
      <w:r>
        <w:rPr>
          <w:b/>
          <w:bCs/>
        </w:rPr>
        <w:t>Elements of the KSQ which are still unclear:</w:t>
      </w:r>
    </w:p>
    <w:p w14:paraId="224376C5" w14:textId="57890040" w:rsidR="00BC491F" w:rsidRDefault="00BC491F" w:rsidP="008623DB">
      <w:pPr>
        <w:spacing w:after="0"/>
      </w:pPr>
      <w:r>
        <w:t xml:space="preserve">A bit outside the scope of this but I’m going to use this section to “thought dump” here and explore some interesting questions </w:t>
      </w:r>
      <w:r w:rsidR="008D4B99">
        <w:t xml:space="preserve">(or perhaps </w:t>
      </w:r>
      <w:r>
        <w:t>shortcomings in my own knowledge</w:t>
      </w:r>
      <w:r w:rsidR="008D4B99">
        <w:t>)</w:t>
      </w:r>
      <w:r>
        <w:t>:</w:t>
      </w:r>
    </w:p>
    <w:p w14:paraId="525877CE" w14:textId="77777777" w:rsidR="00976509" w:rsidRDefault="00976509" w:rsidP="008623DB">
      <w:pPr>
        <w:spacing w:after="0"/>
      </w:pPr>
    </w:p>
    <w:p w14:paraId="6B9BAD89" w14:textId="14927EEE" w:rsidR="008E4256" w:rsidRDefault="00BC491F" w:rsidP="008623DB">
      <w:pPr>
        <w:pStyle w:val="ListParagraph"/>
        <w:numPr>
          <w:ilvl w:val="0"/>
          <w:numId w:val="1"/>
        </w:numPr>
        <w:spacing w:after="0"/>
      </w:pPr>
      <w:r>
        <w:t xml:space="preserve">Let’s say for example we have a known cell surface protein of interest. Is the protein’s presence, as measured via its precursor molecule mRNA, synonymous with finding it </w:t>
      </w:r>
      <w:r w:rsidR="008E4256">
        <w:t>as a cell surface protein? Is this an assumption or is it axiomatic?</w:t>
      </w:r>
    </w:p>
    <w:p w14:paraId="6A348056" w14:textId="77777777" w:rsidR="008E4256" w:rsidRDefault="008E4256" w:rsidP="008623DB">
      <w:pPr>
        <w:pStyle w:val="ListParagraph"/>
        <w:spacing w:after="0"/>
      </w:pPr>
    </w:p>
    <w:p w14:paraId="7B700AC7" w14:textId="4E7F4396" w:rsidR="008E4256" w:rsidRPr="00BC491F" w:rsidRDefault="008E4256" w:rsidP="008623DB">
      <w:pPr>
        <w:pStyle w:val="ListParagraph"/>
        <w:numPr>
          <w:ilvl w:val="0"/>
          <w:numId w:val="1"/>
        </w:numPr>
        <w:spacing w:after="0"/>
      </w:pPr>
      <w:r>
        <w:t xml:space="preserve">Are there cell surface proteins which are also secreted from the cell? </w:t>
      </w:r>
    </w:p>
    <w:sectPr w:rsidR="008E4256" w:rsidRPr="00BC4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A2483"/>
    <w:multiLevelType w:val="hybridMultilevel"/>
    <w:tmpl w:val="F5926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798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75"/>
    <w:rsid w:val="00044A75"/>
    <w:rsid w:val="001D15A3"/>
    <w:rsid w:val="0029660A"/>
    <w:rsid w:val="00317D72"/>
    <w:rsid w:val="004B2523"/>
    <w:rsid w:val="005E75DF"/>
    <w:rsid w:val="005F29DB"/>
    <w:rsid w:val="006518C6"/>
    <w:rsid w:val="006809BA"/>
    <w:rsid w:val="006A2661"/>
    <w:rsid w:val="007153BF"/>
    <w:rsid w:val="00855E7B"/>
    <w:rsid w:val="008623DB"/>
    <w:rsid w:val="008D4B99"/>
    <w:rsid w:val="008E4256"/>
    <w:rsid w:val="00960DA5"/>
    <w:rsid w:val="00976509"/>
    <w:rsid w:val="009E4919"/>
    <w:rsid w:val="00BB1239"/>
    <w:rsid w:val="00BC491F"/>
    <w:rsid w:val="00C50741"/>
    <w:rsid w:val="00D54C49"/>
    <w:rsid w:val="00D573CA"/>
    <w:rsid w:val="00E15F48"/>
    <w:rsid w:val="00E6346C"/>
    <w:rsid w:val="00E7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64B2"/>
  <w15:chartTrackingRefBased/>
  <w15:docId w15:val="{BC93C470-B381-4ABF-8C6C-41D7467A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A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A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A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0D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-best-practices.org/preamble.html" TargetMode="External"/><Relationship Id="rId5" Type="http://schemas.openxmlformats.org/officeDocument/2006/relationships/hyperlink" Target="https://sites.broadinstitute.org/cc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Lang</dc:creator>
  <cp:keywords/>
  <dc:description/>
  <cp:lastModifiedBy>Steven Lang</cp:lastModifiedBy>
  <cp:revision>32</cp:revision>
  <dcterms:created xsi:type="dcterms:W3CDTF">2024-07-15T17:33:00Z</dcterms:created>
  <dcterms:modified xsi:type="dcterms:W3CDTF">2024-07-15T18:13:00Z</dcterms:modified>
</cp:coreProperties>
</file>