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color w:val="006F71"/>
          <w:sz w:val="64"/>
          <w:szCs w:val="64"/>
        </w:rPr>
        <w:t xml:space="preserve">DIFFDECK</w:t>
      </w:r>
    </w:p>
    <w:p>
      <w:pPr>
        <w:pBdr>
          <w:bottom w:val="single" w:color="E87722" w:sz="12" w:space="4"/>
        </w:pBdr>
        <w:spacing w:after="480"/>
      </w:pPr>
      <w:r>
        <w:rPr>
          <w:rFonts w:ascii="Calibri" w:cs="Calibri" w:eastAsia="Calibri" w:hAnsi="Calibri"/>
          <w:color w:val="78716C"/>
          <w:sz w:val="28"/>
          <w:szCs w:val="28"/>
        </w:rPr>
        <w:t xml:space="preserve">AI-powered document comparison · Build plan</w:t>
      </w:r>
    </w:p>
    <w:p>
      <w:pPr>
        <w:spacing w:after="120" w:line="300"/>
        <w:rPr>
          <w:color w:val="78716C"/>
          <w:sz w:val="22"/>
          <w:szCs w:val="22"/>
        </w:rPr>
      </w:pPr>
      <w:r>
        <w:rPr>
          <w:rFonts w:ascii="Calibri" w:cs="Calibri" w:eastAsia="Calibri" w:hAnsi="Calibri"/>
          <w:color w:val="78716C"/>
          <w:sz w:val="22"/>
          <w:szCs w:val="22"/>
        </w:rPr>
        <w:t xml:space="preserve">Prepared for: Clifton Flack, SLA Pharma Group</w:t>
      </w:r>
    </w:p>
    <w:p>
      <w:pPr>
        <w:spacing w:after="120" w:line="300"/>
        <w:rPr>
          <w:color w:val="78716C"/>
          <w:sz w:val="22"/>
          <w:szCs w:val="22"/>
        </w:rPr>
      </w:pPr>
      <w:r>
        <w:rPr>
          <w:rFonts w:ascii="Calibri" w:cs="Calibri" w:eastAsia="Calibri" w:hAnsi="Calibri"/>
          <w:color w:val="78716C"/>
          <w:sz w:val="22"/>
          <w:szCs w:val="22"/>
        </w:rPr>
        <w:t xml:space="preserve">Date: 15 May 2026</w:t>
      </w:r>
    </w:p>
    <w:p>
      <w:pPr>
        <w:spacing w:after="120" w:line="300"/>
        <w:rPr>
          <w:color w:val="78716C"/>
          <w:sz w:val="22"/>
          <w:szCs w:val="22"/>
        </w:rPr>
      </w:pPr>
      <w:r>
        <w:rPr>
          <w:rFonts w:ascii="Calibri" w:cs="Calibri" w:eastAsia="Calibri" w:hAnsi="Calibri"/>
          <w:color w:val="78716C"/>
          <w:sz w:val="22"/>
          <w:szCs w:val="22"/>
        </w:rPr>
        <w:t xml:space="preserve">Stack: Next.js 14 · Vercel · Railway · Supabase · Anthropic API</w:t>
      </w:r>
    </w:p>
    <w:p>
      <w:pPr>
        <w:spacing w:after="120" w:line="300"/>
        <w:rPr>
          <w:color w:val="78716C"/>
          <w:sz w:val="22"/>
          <w:szCs w:val="22"/>
        </w:rPr>
      </w:pPr>
      <w:r>
        <w:rPr>
          <w:rFonts w:ascii="Calibri" w:cs="Calibri" w:eastAsia="Calibri" w:hAnsi="Calibri"/>
          <w:color w:val="78716C"/>
          <w:sz w:val="22"/>
          <w:szCs w:val="22"/>
        </w:rPr>
        <w:t xml:space="preserve">Target: commercial v1 in 11–13 weeks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1. Executive summary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DiffDeck is a commercial single-user web app that lets users upload two documents (.docx or .pdf), runs an AI-assisted comparison, and produces an export bundle containing both documents plus a professional audit report PDF.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product's defining feature is an AI-decided view mode: depending on similarity score, the user sees a classic side-by-side diff, a semantically-aligned section view, or a summary-first thematic comparison. This avoids the failure mode of showing meaningless line-by-line diffs when documents are fundamentally different.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Five build phases over 11–13 weeks deliver a paying-customer-ready product. The biggest technical risk is DOCX parsing fidelity; the biggest commercial risk is per-comparison token cost. Both are addressed in the plan below.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2. Scope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In scope for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Document formats: .docx and .pdf only. Both formats parsed to a common internal representation.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Single-user comparison: one user, one comparison session, no real-time collaboration.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Three view modes with AI-driven auto-selection plus manual 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Highlighting, threaded comments, in-place text edits to either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Export as ZIP: original A, original B, edited A, edited B, audit report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Tiered subscription billing via Stripe, with usage caps per tier.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Explicitly out of scope for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Multi-user / real-time collaboration.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Cryptographic signing or Part 11 e-signatures (the audit report is professional-grade, not legally certified).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Excel, PowerPoint, image, or HTML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SSO / enterprise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Public API (paid tier teaser only, not built).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OCR of scanned PDFs — text-layer PDFs only.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3. Architecture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High-level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Three deployed components, all from a single GitHub repo: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Frontend &amp; light API on Vercel: Next.js 14 App Router with API routes for auth, uploads, reads, and AI streaming.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Heavy worker on Railway: Node.js service that handles DOCX/PDF parsing, full diff computation, and PDF report generation. Triggered via webhook from the Vercel API. Vercel's 60-second function timeout will not survive a 50-page DOCX parse — this is why the worker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Supabase: Postgres database, file storage (originals + bundles), and auth.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Choice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Next.js 14 (App Router)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Matches your existing tooling preferences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UI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Tailwind + shadcn/ui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Speed of iteration, professional default look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Document rendering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react-pdf, mammoth.js + custom DOCX renderer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Best-in-class for each format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Literal diff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diff-match-patch (Google)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Battle-tested, fast, handles word-level diffs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Semantic diff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Claude Sonnet 4.6 via Anthropic API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Re-examines literal-diff outputs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Voyage AI voyage-3-large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For similarity scoring; cheaper than calling Claude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Postgres (Supabase)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Standard relational store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Bundled, fewer moving parts than Clerk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Standard for SaaS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Bundled, S3-compatible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Worker host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Railway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Easy long-running Node services, predictable pricing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PDF report gen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Puppeteer + HTML/CSS templates</w:t>
            </w:r>
          </w:p>
        </w:tc>
        <w:tc>
          <w:tcPr>
            <w:tcW w:type="dxa" w:w="3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Easiest to design and iterate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Data model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Eight core tables. Every user action writes an audit_events row — that table is the source of truth for the report's actions log.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users(id, email, stripe_customer_id, tier, created_at)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comparisons(id, user_id, doc_a_path, doc_a_hash, doc_b_path, doc_b_hash,
  similarity_score, view_mode, status, created_at)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differences(id, comparison_id, location_a, location_b, type,
  classification, ai_summary, flagged, severity)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comments(id, comparison_id, difference_id, doc_side, location,
  text, author_id, created_at)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edits(id, comparison_id, doc_side, before_text, after_text,
  location, created_at)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audit_events(id, comparison_id, event_type, payload_jsonb, created_at)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exports(id, comparison_id, bundle_path, bundle_hash, created_at)</w:t>
      </w:r>
    </w:p>
    <w:p>
      <w:pPr>
        <w:pBdr>
          <w:left w:val="single" w:color="006F71" w:sz="16" w:space="8"/>
        </w:pBdr>
        <w:shd w:fill="F5F5F4" w:val="clear"/>
        <w:spacing w:after="80" w:before="80"/>
      </w:pPr>
      <w:r>
        <w:rPr>
          <w:rFonts w:ascii="JetBrains Mono" w:cs="JetBrains Mono" w:eastAsia="JetBrains Mono" w:hAnsi="JetBrains Mono"/>
          <w:color w:val="44403C"/>
          <w:sz w:val="18"/>
          <w:szCs w:val="18"/>
        </w:rPr>
        <w:t xml:space="preserve">usage_metrics(id, user_id, period_start, comparisons_count,
  pages_processed, tokens_consumed)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4. AI layer design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Four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Similarity scoring. Cosine similarity over Voyage AI embeddings of both documents, with structural overlap weighting. Single number 0–100 that drives view-mode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Semantic diff overlay. Literal diff runs first (diff-match-patch). For each non-trivial diff chunk, Claude re-examines: "is this a meaning change or a wording change?" Cuts AI tokens by ~80% vs. sending whole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Change classification. Every diff tagged: cosmetic / minor / substantive / structural. Plus a flagged boolean for high-risk patterns (numbers, dates, negations, named entities).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Plain-English summaries. One-liner per difference; one paragraph executive summary per comparison.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View-mode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Similarity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Mode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&gt;75%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Side-by-side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Document versions, draft revisions, redlines</w:t>
            </w:r>
          </w:p>
        </w:tc>
      </w:tr>
      <w:t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40–75%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Aligned sections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Restructured docs, template-based docs with different content</w:t>
            </w:r>
          </w:p>
        </w:tc>
      </w:tr>
      <w:tr>
        <w:tc>
          <w:tcPr>
            <w:tcW w:type="dxa" w:w="2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&lt;40%</w:t>
            </w:r>
          </w:p>
        </w:tc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Summary-first</w:t>
            </w:r>
          </w:p>
        </w:tc>
        <w:tc>
          <w:tcPr>
            <w:tcW w:type="dxa" w:w="4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Genuinely different documents, format mismatches, wrong file uploaded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user always sees a recommendation, never a forced mode. The mode switcher in the top chrome is always available.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Token cost estimate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a typical 20-page document pair, expected token consumption: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Embeddings (Voyage-3-large): ~$0.04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Classification + summaries (Sonnet 4.6, ~50 diffs): ~$0.15–$0.40 depending on diff density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Executive summary + thematic comparison (when used): ~$0.05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Total per comparison: $0.25 – $0.50 typical, up to $2.50 for a heavy 100-page diff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drives the tier model: free users get 3 short comparisons/month; Pro pays for higher caps with predictable margins.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5. Build phases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Phase 1 — Core engine (3–4 weeks)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Goal: prove the hardest technical assumption (DOCX parsing fidelity) before building anything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Next.js project scaffold, Supabase setup, Stripe webhook stubs.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Upload endpoint with file validation, hashing (SHA-256), Supabase Storage 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DOCX parser using mammoth.js, falling back to LibreOffice → PDF conversion on failures. PDF parser using pdf-parse + pdf.js for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Common internal representation: JSON tree of sections, paragraphs, runs, with offset/page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Literal diff using diff-match-patch on the internal representation.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Basic side-by-side view (no AI yet) to validate the parsing round-trip.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Exit criteria: 20 real-world DOCX/PDF files round-trip with ≥95% text fidelity. If this slips, every later phase slips. Do not skip the exit criterion.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Phase 2 — AI layer (2 weeks)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Goal: turn raw diffs into intelligent classifications and summaries.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Anthropic API integration with streaming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Voyage AI embeddings, cosine similarity, view-mode selector.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Per-diff classification prompt; batch up to 20 diffs per call for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Flagging heuristics (numbers/dates/negations) running locally before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Executive summary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Token accounting wired through to usage_metrics.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Exit criteria: classification agrees with human reviewer on ≥85% of a 100-diff test set.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Phase 3 — Workspace (2–3 weeks)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Goal: the user can actually do something useful with the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All three view modes built and switchable (mockups attached).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Difference register (left rail) with filter chips.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Highlighting tool: select text in either pane, add comment.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In-place edits: contenteditable wrapper with edit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Comment threads with resolve/unresolve.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All actions write to audit_events.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Exit criteria: a user can complete a full review (open → annotate → edit → save) without bugs blocking flow.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Phase 4 — Export &amp; audit (2 weeks)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Goal: the user gets a professional deliverable.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Audit report PDF template (Puppeteer + HTML/CSS): cover, executive summary, similarity metrics, full difference register, user actions log, methodology appendix.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Edited document export: apply edits back to the source format. For DOCX, write tracked changes via direct XML manipulation. For PDF, generate an annotated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ZIP bundling with all five files plus a manifest.json listing hashes.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Hash verification page (open the report, see hashes match).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Exit criteria: an external reviewer can open the bundle and verify every claim in the audit report against the source files.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Phase 5 — Commercial wrapper (2 weeks)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Goal: take payments.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Supabase Auth: email/password + Google OAuth.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Stripe subscription tiers, customer portal, usage gating.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Marketing landing page (separate Next.js app or same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Basic admin dashboard (your eyes only): users, comparisons, token spend per user, MRR.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Email transactional flows: signup confirm, comparison ready, monthly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Legal: terms, privacy, GDPR basics, cookie banner.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Exit criteria: you can take a payment from a stranger and they can complete a comparison without you touching anything.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6. Key risks &amp; mitigations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760"/>
      </w:tblGrid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DOCX parsing fidelity gaps (tables, footnotes, tracked changes, embedded images)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Phase 1 exit gate is parsing fidelity. LibreOffice fallback path is built before AI work starts.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Token costs exceed pricing assumptions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Per-user usage_metrics from day one. Hard caps on free tier. Pre-flight estimate shown to user before processing.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AI view-mode selection confuses users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Manual override always visible. Show similarity score and reasoning. A/B test default-on vs. user-confirm.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"Certified" branding triggers regulatory pushback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Low–Medium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Avoid "certified" in marketing. Use "audit-ready" or "professional audit report". Be explicit in T&amp;Cs that the report is not a legal attestation.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Vercel function timeout on heavy parsing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Worker on Railway built in Phase 1, not retrofitted.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Mammoth.js renders tracked changes inconsistently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Strip tracked changes on import; surface to user as "original document contains tracked changes — please accept or reject before comparing."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Vendor lock-in to Anthropic API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Low</w:t>
            </w:r>
          </w:p>
        </w:tc>
        <w:tc>
          <w:tcPr>
            <w:tcW w:type="dxa" w:w="37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Abstract LLM calls behind a single interface. Embeddings provider already separate.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7. Commercial model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Tier 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600"/>
        <w:gridCol w:w="1960"/>
      </w:tblGrid>
      <w:tr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Comparisons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Page limit</w:t>
            </w:r>
          </w:p>
        </w:tc>
        <w:tc>
          <w:tcPr>
            <w:tcW w:type="dxa" w:w="1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03C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£0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3 / month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≤10 pages</w:t>
            </w:r>
          </w:p>
        </w:tc>
        <w:tc>
          <w:tcPr>
            <w:tcW w:type="dxa" w:w="1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Basic export (no audit report)</w:t>
            </w:r>
          </w:p>
        </w:tc>
      </w:tr>
      <w:tr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Pro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£29 / month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50 / month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≤50 pages</w:t>
            </w:r>
          </w:p>
        </w:tc>
        <w:tc>
          <w:tcPr>
            <w:tcW w:type="dxa" w:w="1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Full bundle export, all view modes</w:t>
            </w:r>
          </w:p>
        </w:tc>
      </w:tr>
      <w:tr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£99 / month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Unlimited</w:t>
            </w:r>
          </w:p>
        </w:tc>
        <w:tc>
          <w:tcPr>
            <w:tcW w:type="dxa" w:w="16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≤200 pages</w:t>
            </w:r>
          </w:p>
        </w:tc>
        <w:tc>
          <w:tcPr>
            <w:tcW w:type="dxa" w:w="1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44403C"/>
                <w:sz w:val="22"/>
                <w:szCs w:val="22"/>
              </w:rPr>
              <w:t xml:space="preserve">Priority processing, planned API access, multi-seat next year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4403C"/>
          <w:sz w:val="24"/>
          <w:szCs w:val="24"/>
        </w:rPr>
        <w:t xml:space="preserve">Unit economics — Pro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Stripe net revenue: ~£27.50 / month after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Heavy user (50 comparisons, avg $0.35 each): ~$17.50 AI cost / £14 at current FX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Infra fixed cost share: ~£3 / paying user /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Gross margin per heavy Pro user: ~£10.50 / month — slim but positive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why hard caps matter. A runaway user on Pro can erase margin. Cap enforcement runs at the API layer, not the UI.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8. Open questions for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Product name. "DiffDeck" is a placeholder. Domain availability check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Brand. Should this carry SLA Pharma visual identity (teal #006F71 / orange #E87722, matching Forge and slapharma.com), or stand alone as a distinct commercial brand?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Hosting region. UK / EU only for GDPR ease, or global from day one? Supabase region is chosen at project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Free tier export. Currently planned to exclude the audit report PDF — strong upsell hook, but reduces virality. Discuss.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Launch channel. Product Hunt / cold outbound to QA/RA teams in pharma / paid search? Different tiers and messaging follow.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44403C"/>
          <w:sz w:val="36"/>
          <w:szCs w:val="36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Confirm scope and the five open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Spin up the Next.js + Supabase + Railway scaffold (1 day with Claude 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Begin Phase 1 with the parsing fidelity gate as the first acceptance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44403C"/>
          <w:sz w:val="22"/>
          <w:szCs w:val="22"/>
        </w:rPr>
        <w:t xml:space="preserve"/>
      </w:r>
      <w:r>
        <w:rPr>
          <w:rFonts w:ascii="Calibri" w:cs="Calibri" w:eastAsia="Calibri" w:hAnsi="Calibri"/>
          <w:color w:val="44403C"/>
          <w:sz w:val="22"/>
          <w:szCs w:val="22"/>
        </w:rPr>
        <w:t xml:space="preserve">Parallel track: register a domain, set up Stripe account, draft landing copy.</w:t>
      </w:r>
    </w:p>
    <w:p>
      <w:pPr>
        <w:spacing w:after="120" w:line="300"/>
        <w:rPr>
          <w:i/>
          <w:iCs/>
          <w:color w:val="78716C"/>
        </w:rPr>
      </w:pPr>
      <w:r>
        <w:rPr>
          <w:rFonts w:ascii="Calibri" w:cs="Calibri" w:eastAsia="Calibri" w:hAnsi="Calibri"/>
          <w:i/>
          <w:iCs/>
          <w:color w:val="78716C"/>
          <w:sz w:val="22"/>
          <w:szCs w:val="22"/>
        </w:rPr>
        <w:t xml:space="preserve">The mockups accompanying this plan show the three view modes in working detail. They are a starting point for design iteration, not the final 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4440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06F7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2026-05-15T16:52:02.732Z</dcterms:created>
  <dcterms:modified xsi:type="dcterms:W3CDTF">2026-05-15T16:52:02.732Z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