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0F62FE" w:val="solid"/>
        <w:spacing w:after="0" w:before="0"/>
      </w:pPr>
      <w:r>
        <w:rPr>
          <w:sz w:val="10"/>
          <w:szCs w:val="10"/>
        </w:rPr>
        <w:t xml:space="preserve"> </w:t>
      </w:r>
    </w:p>
    <w:p>
      <w:pPr>
        <w:shd w:color="0F62FE" w:val="solid"/>
        <w:spacing w:after="0" w:before="400"/>
      </w:pPr>
    </w:p>
    <w:p>
      <w:pPr>
        <w:shd w:color="0F62FE" w:val="solid"/>
        <w:spacing w:after="160" w:before="0"/>
        <w:ind w:left="720"/>
      </w:pPr>
      <w:r>
        <w:rPr>
          <w:rFonts w:ascii="IBM Plex Sans" w:cs="IBM Plex Sans" w:eastAsia="IBM Plex Sans" w:hAnsi="IBM Plex Sans"/>
          <w:b/>
          <w:bCs/>
          <w:color w:val="FFFFFF"/>
          <w:sz w:val="56"/>
          <w:szCs w:val="56"/>
        </w:rPr>
        <w:t xml:space="preserve">IBM Sales Guidance Tool</w:t>
      </w:r>
    </w:p>
    <w:p>
      <w:pPr>
        <w:shd w:color="0F62FE" w:val="solid"/>
        <w:spacing w:after="120"/>
        <w:ind w:left="720"/>
      </w:pPr>
      <w:r>
        <w:rPr>
          <w:rFonts w:ascii="IBM Plex Sans" w:cs="IBM Plex Sans" w:eastAsia="IBM Plex Sans" w:hAnsi="IBM Plex Sans"/>
          <w:color w:val="D0E2FF"/>
          <w:sz w:val="32"/>
          <w:szCs w:val="32"/>
        </w:rPr>
        <w:t xml:space="preserve">Client Roadmap Generator</w:t>
      </w:r>
    </w:p>
    <w:p>
      <w:pPr>
        <w:shd w:color="0F62FE" w:val="solid"/>
        <w:spacing w:after="80"/>
        <w:ind w:left="720"/>
      </w:pPr>
      <w:r>
        <w:rPr>
          <w:rFonts w:ascii="IBM Plex Sans" w:cs="IBM Plex Sans" w:eastAsia="IBM Plex Sans" w:hAnsi="IBM Plex Sans"/>
          <w:color w:val="E0E0E0"/>
          <w:sz w:val="24"/>
          <w:szCs w:val="24"/>
        </w:rPr>
        <w:t xml:space="preserve">Seller User Guide</w:t>
      </w:r>
    </w:p>
    <w:p>
      <w:pPr>
        <w:shd w:color="0F62FE" w:val="solid"/>
        <w:spacing w:after="600"/>
        <w:ind w:left="720"/>
      </w:pPr>
      <w:r>
        <w:rPr>
          <w:rFonts w:ascii="IBM Plex Sans" w:cs="IBM Plex Sans" w:eastAsia="IBM Plex Sans" w:hAnsi="IBM Plex Sans"/>
          <w:color w:val="E0E0E0"/>
          <w:sz w:val="20"/>
          <w:szCs w:val="20"/>
        </w:rPr>
        <w:t xml:space="preserve">July 19, 2026</w:t>
      </w:r>
    </w:p>
    <w:p>
      <w:pPr>
        <w:spacing w:after="400"/>
      </w:pPr>
    </w:p>
    <w:p>
      <w:pPr>
        <w:pBdr>
          <w:bottom w:val="single" w:color="0F62FE" w:sz="6"/>
        </w:pBdr>
        <w:spacing w:after="200" w:before="560"/>
      </w:pPr>
      <w:r>
        <w:rPr>
          <w:rFonts w:ascii="IBM Plex Sans" w:cs="IBM Plex Sans" w:eastAsia="IBM Plex Sans" w:hAnsi="IBM Plex Sans"/>
          <w:b/>
          <w:bCs/>
          <w:color w:val="0F62FE"/>
          <w:sz w:val="36"/>
          <w:szCs w:val="36"/>
        </w:rPr>
        <w:t xml:space="preserve">1. What Is the Client Roadmap Generator?</w:t>
      </w:r>
    </w:p>
    <w:p>
      <w:pPr>
        <w:spacing w:after="140"/>
      </w:pPr>
      <w:r>
        <w:rPr>
          <w:rFonts w:ascii="IBM Plex Sans" w:cs="IBM Plex Sans" w:eastAsia="IBM Plex Sans" w:hAnsi="IBM Plex Sans"/>
          <w:color w:val="161616"/>
          <w:sz w:val="22"/>
          <w:szCs w:val="22"/>
        </w:rPr>
        <w:t xml:space="preserve">The Client Roadmap Generator is an AI-powered workflow built inside IBM Bob that helps IBM sellers quickly create structured, personalised client briefs. In minutes, it combines your deal knowledge with IBM AskSales content, Seismic sales assets, and public client intelligence to generate a comprehensive roadmap you can use in client conversations, planning sessions, and opportunity reviews.</w:t>
      </w:r>
    </w:p>
    <w:p>
      <w:pPr>
        <w:spacing w:after="200"/>
      </w:pPr>
    </w:p>
    <w:p>
      <w:pPr>
        <w:spacing w:after="140"/>
      </w:pPr>
      <w:r>
        <w:rPr>
          <w:rFonts w:ascii="IBM Plex Sans" w:cs="IBM Plex Sans" w:eastAsia="IBM Plex Sans" w:hAnsi="IBM Plex Sans"/>
          <w:color w:val="161616"/>
          <w:sz w:val="22"/>
          <w:szCs w:val="22"/>
        </w:rPr>
        <w:t xml:space="preserve">The tool is powered by IBM Watson Assistant and the IBM AskSales API. You do not need to separately log into AskSales or Seismic — the tool retrieves relevant content automatically based on the inputs you provide.</w:t>
      </w:r>
    </w:p>
    <w:p>
      <w:pPr>
        <w:spacing w:after="200"/>
      </w:pPr>
    </w:p>
    <w:p>
      <w:pPr>
        <w:spacing w:after="140" w:before="360"/>
      </w:pPr>
      <w:r>
        <w:rPr>
          <w:rFonts w:ascii="IBM Plex Sans" w:cs="IBM Plex Sans" w:eastAsia="IBM Plex Sans" w:hAnsi="IBM Plex Sans"/>
          <w:b/>
          <w:bCs/>
          <w:color w:val="161616"/>
          <w:sz w:val="26"/>
          <w:szCs w:val="26"/>
        </w:rPr>
        <w:t xml:space="preserve">What the Roadmap Generator produces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c>
          <w:tcPr>
            <w:shd w:color="0F62FE" w:val="solid"/>
          </w:tcPr>
          <w:p>
            <w:r>
              <w:rPr>
                <w:rFonts w:ascii="IBM Plex Sans" w:cs="IBM Plex Sans" w:eastAsia="IBM Plex Sans" w:hAnsi="IBM Plex Sans"/>
                <w:b/>
                <w:bCs/>
                <w:color w:val="FFFFFF"/>
                <w:sz w:val="20"/>
                <w:szCs w:val="20"/>
              </w:rPr>
              <w:t xml:space="preserve">Item</w:t>
            </w:r>
          </w:p>
        </w:tc>
        <w:tc>
          <w:tcPr>
            <w:shd w:color="0F62FE" w:val="solid"/>
          </w:tcPr>
          <w:p>
            <w:r>
              <w:rPr>
                <w:rFonts w:ascii="IBM Plex Sans" w:cs="IBM Plex Sans" w:eastAsia="IBM Plex Sans" w:hAnsi="IBM Plex Sans"/>
                <w:b/>
                <w:bCs/>
                <w:color w:val="FFFFFF"/>
                <w:sz w:val="20"/>
                <w:szCs w:val="20"/>
              </w:rPr>
              <w:t xml:space="preserve">Detail</w:t>
            </w:r>
          </w:p>
        </w:tc>
      </w:tr>
      <w:tr>
        <w:tc>
          <w:tcPr>
            <w:tcW w:type="pct" w:w="35%"/>
            <w:shd w:color="F4F4F4" w:val="solid"/>
          </w:tcPr>
          <w:p>
            <w:r>
              <w:rPr>
                <w:rFonts w:ascii="IBM Plex Sans" w:cs="IBM Plex Sans" w:eastAsia="IBM Plex Sans" w:hAnsi="IBM Plex Sans"/>
                <w:color w:val="161616"/>
                <w:sz w:val="20"/>
                <w:szCs w:val="20"/>
              </w:rPr>
              <w:t xml:space="preserve">Client Overview</w:t>
            </w:r>
          </w:p>
        </w:tc>
        <w:tc>
          <w:tcPr>
            <w:tcW w:type="pct" w:w="65%"/>
            <w:shd w:color="F4F4F4" w:val="solid"/>
          </w:tcPr>
          <w:p>
            <w:r>
              <w:rPr>
                <w:rFonts w:ascii="IBM Plex Sans" w:cs="IBM Plex Sans" w:eastAsia="IBM Plex Sans" w:hAnsi="IBM Plex Sans"/>
                <w:color w:val="161616"/>
                <w:sz w:val="20"/>
                <w:szCs w:val="20"/>
              </w:rPr>
              <w:t xml:space="preserve">Summary of the client's business, IBM relationship, stakeholders, and strategic priorities</w:t>
            </w:r>
          </w:p>
        </w:tc>
      </w:tr>
      <w:tr>
        <w:tc>
          <w:tcPr>
            <w:tcW w:type="pct" w:w="35%"/>
            <w:shd w:color="FFFFFF" w:val="solid"/>
          </w:tcPr>
          <w:p>
            <w:r>
              <w:rPr>
                <w:rFonts w:ascii="IBM Plex Sans" w:cs="IBM Plex Sans" w:eastAsia="IBM Plex Sans" w:hAnsi="IBM Plex Sans"/>
                <w:color w:val="161616"/>
                <w:sz w:val="20"/>
                <w:szCs w:val="20"/>
              </w:rPr>
              <w:t xml:space="preserve">IBM Cloud Opportunities</w:t>
            </w:r>
          </w:p>
        </w:tc>
        <w:tc>
          <w:tcPr>
            <w:tcW w:type="pct" w:w="65%"/>
            <w:shd w:color="FFFFFF" w:val="solid"/>
          </w:tcPr>
          <w:p>
            <w:r>
              <w:rPr>
                <w:rFonts w:ascii="IBM Plex Sans" w:cs="IBM Plex Sans" w:eastAsia="IBM Plex Sans" w:hAnsi="IBM Plex Sans"/>
                <w:color w:val="161616"/>
                <w:sz w:val="20"/>
                <w:szCs w:val="20"/>
              </w:rPr>
              <w:t xml:space="preserve">Specific IBM solutions mapped to client needs, with upsell and expansion recommendations</w:t>
            </w:r>
          </w:p>
        </w:tc>
      </w:tr>
      <w:tr>
        <w:tc>
          <w:tcPr>
            <w:tcW w:type="pct" w:w="35%"/>
            <w:shd w:color="F4F4F4" w:val="solid"/>
          </w:tcPr>
          <w:p>
            <w:r>
              <w:rPr>
                <w:rFonts w:ascii="IBM Plex Sans" w:cs="IBM Plex Sans" w:eastAsia="IBM Plex Sans" w:hAnsi="IBM Plex Sans"/>
                <w:color w:val="161616"/>
                <w:sz w:val="20"/>
                <w:szCs w:val="20"/>
              </w:rPr>
              <w:t xml:space="preserve">Obstacles &amp; Risks</w:t>
            </w:r>
          </w:p>
        </w:tc>
        <w:tc>
          <w:tcPr>
            <w:tcW w:type="pct" w:w="65%"/>
            <w:shd w:color="F4F4F4" w:val="solid"/>
          </w:tcPr>
          <w:p>
            <w:r>
              <w:rPr>
                <w:rFonts w:ascii="IBM Plex Sans" w:cs="IBM Plex Sans" w:eastAsia="IBM Plex Sans" w:hAnsi="IBM Plex Sans"/>
                <w:color w:val="161616"/>
                <w:sz w:val="20"/>
                <w:szCs w:val="20"/>
              </w:rPr>
              <w:t xml:space="preserve">Competitor analysis, objection handling guidance, and known blockers</w:t>
            </w:r>
          </w:p>
        </w:tc>
      </w:tr>
      <w:tr>
        <w:tc>
          <w:tcPr>
            <w:tcW w:type="pct" w:w="35%"/>
            <w:shd w:color="FFFFFF" w:val="solid"/>
          </w:tcPr>
          <w:p>
            <w:r>
              <w:rPr>
                <w:rFonts w:ascii="IBM Plex Sans" w:cs="IBM Plex Sans" w:eastAsia="IBM Plex Sans" w:hAnsi="IBM Plex Sans"/>
                <w:color w:val="161616"/>
                <w:sz w:val="20"/>
                <w:szCs w:val="20"/>
              </w:rPr>
              <w:t xml:space="preserve">Quote &amp; BOM Instructions</w:t>
            </w:r>
          </w:p>
        </w:tc>
        <w:tc>
          <w:tcPr>
            <w:tcW w:type="pct" w:w="65%"/>
            <w:shd w:color="FFFFFF" w:val="solid"/>
          </w:tcPr>
          <w:p>
            <w:r>
              <w:rPr>
                <w:rFonts w:ascii="IBM Plex Sans" w:cs="IBM Plex Sans" w:eastAsia="IBM Plex Sans" w:hAnsi="IBM Plex Sans"/>
                <w:color w:val="161616"/>
                <w:sz w:val="20"/>
                <w:szCs w:val="20"/>
              </w:rPr>
              <w:t xml:space="preserve">Product SKUs, pricing guidance, and BOM line items based on your template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tblGrid>
      <w:tr>
        <w:tc>
          <w:tcPr>
            <w:shd w:color="D0E2FF" w:val="solid"/>
          </w:tcPr>
          <w:p>
            <w:pPr>
              <w:spacing w:after="60"/>
            </w:pPr>
            <w:r>
              <w:rPr>
                <w:rFonts w:ascii="IBM Plex Sans" w:cs="IBM Plex Sans" w:eastAsia="IBM Plex Sans" w:hAnsi="IBM Plex Sans"/>
                <w:b/>
                <w:bCs/>
                <w:color w:val="003399"/>
                <w:sz w:val="20"/>
                <w:szCs w:val="20"/>
              </w:rPr>
              <w:t xml:space="preserve">💡 Tip</w:t>
            </w:r>
          </w:p>
          <w:p>
            <w:r>
              <w:rPr>
                <w:rFonts w:ascii="IBM Plex Sans" w:cs="IBM Plex Sans" w:eastAsia="IBM Plex Sans" w:hAnsi="IBM Plex Sans"/>
                <w:color w:val="161616"/>
                <w:sz w:val="20"/>
                <w:szCs w:val="20"/>
              </w:rPr>
              <w:t xml:space="preserve">The output is rendered on screen inside IBM Bob and can be downloaded as a formatted Microsoft Word (.docx) document — ready to share, edit, or present.</w:t>
            </w:r>
          </w:p>
        </w:tc>
      </w:tr>
    </w:tbl>
    <w:p>
      <w:pPr>
        <w:pBdr>
          <w:bottom w:val="single" w:color="0F62FE" w:sz="6"/>
        </w:pBdr>
        <w:spacing w:after="200" w:before="560"/>
      </w:pPr>
      <w:r>
        <w:rPr>
          <w:rFonts w:ascii="IBM Plex Sans" w:cs="IBM Plex Sans" w:eastAsia="IBM Plex Sans" w:hAnsi="IBM Plex Sans"/>
          <w:b/>
          <w:bCs/>
          <w:color w:val="0F62FE"/>
          <w:sz w:val="36"/>
          <w:szCs w:val="36"/>
        </w:rPr>
        <w:t xml:space="preserve">2. Before You Start — What to Collect</w:t>
      </w:r>
    </w:p>
    <w:p>
      <w:pPr>
        <w:spacing w:after="140"/>
      </w:pPr>
      <w:r>
        <w:rPr>
          <w:rFonts w:ascii="IBM Plex Sans" w:cs="IBM Plex Sans" w:eastAsia="IBM Plex Sans" w:hAnsi="IBM Plex Sans"/>
          <w:color w:val="161616"/>
          <w:sz w:val="22"/>
          <w:szCs w:val="22"/>
        </w:rPr>
        <w:t xml:space="preserve">The quality of the roadmap output is directly proportional to the quality of the inputs you provide. Before starting the workflow, collect as much of the following as you can. Required inputs are marked.</w:t>
      </w:r>
    </w:p>
    <w:p>
      <w:pPr>
        <w:spacing w:after="200"/>
      </w:pPr>
    </w:p>
    <w:p>
      <w:pPr>
        <w:spacing w:after="140" w:before="360"/>
      </w:pPr>
      <w:r>
        <w:rPr>
          <w:rFonts w:ascii="IBM Plex Sans" w:cs="IBM Plex Sans" w:eastAsia="IBM Plex Sans" w:hAnsi="IBM Plex Sans"/>
          <w:b/>
          <w:bCs/>
          <w:color w:val="161616"/>
          <w:sz w:val="26"/>
          <w:szCs w:val="26"/>
        </w:rPr>
        <w:t xml:space="preserve">2.1  Required Inputs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gridCol w:w="100"/>
      </w:tblGrid>
      <w:tr>
        <w:tc>
          <w:tcPr>
            <w:shd w:color="0F62FE" w:val="solid"/>
          </w:tcPr>
          <w:p>
            <w:r>
              <w:rPr>
                <w:rFonts w:ascii="IBM Plex Sans" w:cs="IBM Plex Sans" w:eastAsia="IBM Plex Sans" w:hAnsi="IBM Plex Sans"/>
                <w:b/>
                <w:bCs/>
                <w:color w:val="FFFFFF"/>
                <w:sz w:val="20"/>
                <w:szCs w:val="20"/>
              </w:rPr>
              <w:t xml:space="preserve">Input</w:t>
            </w:r>
          </w:p>
        </w:tc>
        <w:tc>
          <w:tcPr>
            <w:shd w:color="0F62FE" w:val="solid"/>
          </w:tcPr>
          <w:p>
            <w:r>
              <w:rPr>
                <w:rFonts w:ascii="IBM Plex Sans" w:cs="IBM Plex Sans" w:eastAsia="IBM Plex Sans" w:hAnsi="IBM Plex Sans"/>
                <w:b/>
                <w:bCs/>
                <w:color w:val="FFFFFF"/>
                <w:sz w:val="20"/>
                <w:szCs w:val="20"/>
              </w:rPr>
              <w:t xml:space="preserve">Format</w:t>
            </w:r>
          </w:p>
        </w:tc>
        <w:tc>
          <w:tcPr>
            <w:shd w:color="0F62FE" w:val="solid"/>
          </w:tcPr>
          <w:p>
            <w:r>
              <w:rPr>
                <w:rFonts w:ascii="IBM Plex Sans" w:cs="IBM Plex Sans" w:eastAsia="IBM Plex Sans" w:hAnsi="IBM Plex Sans"/>
                <w:b/>
                <w:bCs/>
                <w:color w:val="FFFFFF"/>
                <w:sz w:val="20"/>
                <w:szCs w:val="20"/>
              </w:rPr>
              <w:t xml:space="preserve">Where to get it</w:t>
            </w:r>
          </w:p>
        </w:tc>
      </w:tr>
      <w:tr>
        <w:tc>
          <w:tcPr>
            <w:shd w:color="F4F4F4" w:val="solid"/>
          </w:tcPr>
          <w:p>
            <w:r>
              <w:rPr>
                <w:rFonts w:ascii="IBM Plex Sans" w:cs="IBM Plex Sans" w:eastAsia="IBM Plex Sans" w:hAnsi="IBM Plex Sans"/>
                <w:color w:val="161616"/>
                <w:sz w:val="20"/>
                <w:szCs w:val="20"/>
              </w:rPr>
              <w:t xml:space="preserve">Client / Account Name</w:t>
            </w:r>
          </w:p>
        </w:tc>
        <w:tc>
          <w:tcPr>
            <w:shd w:color="F4F4F4" w:val="solid"/>
          </w:tcPr>
          <w:p>
            <w:r>
              <w:rPr>
                <w:rFonts w:ascii="IBM Plex Sans" w:cs="IBM Plex Sans" w:eastAsia="IBM Plex Sans" w:hAnsi="IBM Plex Sans"/>
                <w:color w:val="161616"/>
                <w:sz w:val="20"/>
                <w:szCs w:val="20"/>
              </w:rPr>
              <w:t xml:space="preserve">Text (typed)</w:t>
            </w:r>
          </w:p>
        </w:tc>
        <w:tc>
          <w:tcPr>
            <w:shd w:color="F4F4F4" w:val="solid"/>
          </w:tcPr>
          <w:p>
            <w:r>
              <w:rPr>
                <w:rFonts w:ascii="IBM Plex Sans" w:cs="IBM Plex Sans" w:eastAsia="IBM Plex Sans" w:hAnsi="IBM Plex Sans"/>
                <w:color w:val="161616"/>
                <w:sz w:val="20"/>
                <w:szCs w:val="20"/>
              </w:rPr>
              <w:t xml:space="preserve">You know this — it's the account you're working</w:t>
            </w:r>
          </w:p>
        </w:tc>
      </w:tr>
      <w:tr>
        <w:tc>
          <w:tcPr>
            <w:shd w:color="FFFFFF" w:val="solid"/>
          </w:tcPr>
          <w:p>
            <w:r>
              <w:rPr>
                <w:rFonts w:ascii="IBM Plex Sans" w:cs="IBM Plex Sans" w:eastAsia="IBM Plex Sans" w:hAnsi="IBM Plex Sans"/>
                <w:color w:val="161616"/>
                <w:sz w:val="20"/>
                <w:szCs w:val="20"/>
              </w:rPr>
              <w:t xml:space="preserve">Client Overview / Background</w:t>
            </w:r>
          </w:p>
        </w:tc>
        <w:tc>
          <w:tcPr>
            <w:shd w:color="FFFFFF" w:val="solid"/>
          </w:tcPr>
          <w:p>
            <w:r>
              <w:rPr>
                <w:rFonts w:ascii="IBM Plex Sans" w:cs="IBM Plex Sans" w:eastAsia="IBM Plex Sans" w:hAnsi="IBM Plex Sans"/>
                <w:color w:val="161616"/>
                <w:sz w:val="20"/>
                <w:szCs w:val="20"/>
              </w:rPr>
              <w:t xml:space="preserve">.docx, .pdf, or typed text</w:t>
            </w:r>
          </w:p>
        </w:tc>
        <w:tc>
          <w:tcPr>
            <w:shd w:color="FFFFFF" w:val="solid"/>
          </w:tcPr>
          <w:p>
            <w:r>
              <w:rPr>
                <w:rFonts w:ascii="IBM Plex Sans" w:cs="IBM Plex Sans" w:eastAsia="IBM Plex Sans" w:hAnsi="IBM Plex Sans"/>
                <w:color w:val="161616"/>
                <w:sz w:val="20"/>
                <w:szCs w:val="20"/>
              </w:rPr>
              <w:t xml:space="preserve">Your account plan, client briefing doc, or IBM internal account profile</w:t>
            </w:r>
          </w:p>
        </w:tc>
      </w:tr>
      <w:tr>
        <w:tc>
          <w:tcPr>
            <w:shd w:color="F4F4F4" w:val="solid"/>
          </w:tcPr>
          <w:p>
            <w:r>
              <w:rPr>
                <w:rFonts w:ascii="IBM Plex Sans" w:cs="IBM Plex Sans" w:eastAsia="IBM Plex Sans" w:hAnsi="IBM Plex Sans"/>
                <w:color w:val="161616"/>
                <w:sz w:val="20"/>
                <w:szCs w:val="20"/>
              </w:rPr>
              <w:t xml:space="preserve">Opportunity Notes</w:t>
            </w:r>
          </w:p>
        </w:tc>
        <w:tc>
          <w:tcPr>
            <w:shd w:color="F4F4F4" w:val="solid"/>
          </w:tcPr>
          <w:p>
            <w:r>
              <w:rPr>
                <w:rFonts w:ascii="IBM Plex Sans" w:cs="IBM Plex Sans" w:eastAsia="IBM Plex Sans" w:hAnsi="IBM Plex Sans"/>
                <w:color w:val="161616"/>
                <w:sz w:val="20"/>
                <w:szCs w:val="20"/>
              </w:rPr>
              <w:t xml:space="preserve">Typed text</w:t>
            </w:r>
          </w:p>
        </w:tc>
        <w:tc>
          <w:tcPr>
            <w:shd w:color="F4F4F4" w:val="solid"/>
          </w:tcPr>
          <w:p>
            <w:r>
              <w:rPr>
                <w:rFonts w:ascii="IBM Plex Sans" w:cs="IBM Plex Sans" w:eastAsia="IBM Plex Sans" w:hAnsi="IBM Plex Sans"/>
                <w:color w:val="161616"/>
                <w:sz w:val="20"/>
                <w:szCs w:val="20"/>
              </w:rPr>
              <w:t xml:space="preserve">Your own knowledge — describe the deal, goals, and context in your own words</w:t>
            </w:r>
          </w:p>
        </w:tc>
      </w:tr>
    </w:tbl>
    <w:p>
      <w:pPr>
        <w:spacing w:after="200"/>
      </w:pPr>
    </w:p>
    <w:p>
      <w:pPr>
        <w:spacing w:after="140" w:before="360"/>
      </w:pPr>
      <w:r>
        <w:rPr>
          <w:rFonts w:ascii="IBM Plex Sans" w:cs="IBM Plex Sans" w:eastAsia="IBM Plex Sans" w:hAnsi="IBM Plex Sans"/>
          <w:b/>
          <w:bCs/>
          <w:color w:val="161616"/>
          <w:sz w:val="26"/>
          <w:szCs w:val="26"/>
        </w:rPr>
        <w:t xml:space="preserve">2.2  Optional but Highly Recommended Inputs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gridCol w:w="100"/>
      </w:tblGrid>
      <w:tr>
        <w:tc>
          <w:tcPr>
            <w:shd w:color="0F62FE" w:val="solid"/>
          </w:tcPr>
          <w:p>
            <w:r>
              <w:rPr>
                <w:rFonts w:ascii="IBM Plex Sans" w:cs="IBM Plex Sans" w:eastAsia="IBM Plex Sans" w:hAnsi="IBM Plex Sans"/>
                <w:b/>
                <w:bCs/>
                <w:color w:val="FFFFFF"/>
                <w:sz w:val="20"/>
                <w:szCs w:val="20"/>
              </w:rPr>
              <w:t xml:space="preserve">Input</w:t>
            </w:r>
          </w:p>
        </w:tc>
        <w:tc>
          <w:tcPr>
            <w:shd w:color="0F62FE" w:val="solid"/>
          </w:tcPr>
          <w:p>
            <w:r>
              <w:rPr>
                <w:rFonts w:ascii="IBM Plex Sans" w:cs="IBM Plex Sans" w:eastAsia="IBM Plex Sans" w:hAnsi="IBM Plex Sans"/>
                <w:b/>
                <w:bCs/>
                <w:color w:val="FFFFFF"/>
                <w:sz w:val="20"/>
                <w:szCs w:val="20"/>
              </w:rPr>
              <w:t xml:space="preserve">Format</w:t>
            </w:r>
          </w:p>
        </w:tc>
        <w:tc>
          <w:tcPr>
            <w:shd w:color="0F62FE" w:val="solid"/>
          </w:tcPr>
          <w:p>
            <w:r>
              <w:rPr>
                <w:rFonts w:ascii="IBM Plex Sans" w:cs="IBM Plex Sans" w:eastAsia="IBM Plex Sans" w:hAnsi="IBM Plex Sans"/>
                <w:b/>
                <w:bCs/>
                <w:color w:val="FFFFFF"/>
                <w:sz w:val="20"/>
                <w:szCs w:val="20"/>
              </w:rPr>
              <w:t xml:space="preserve">Where to get it</w:t>
            </w:r>
          </w:p>
        </w:tc>
      </w:tr>
      <w:tr>
        <w:tc>
          <w:tcPr>
            <w:shd w:color="F4F4F4" w:val="solid"/>
          </w:tcPr>
          <w:p>
            <w:r>
              <w:rPr>
                <w:rFonts w:ascii="IBM Plex Sans" w:cs="IBM Plex Sans" w:eastAsia="IBM Plex Sans" w:hAnsi="IBM Plex Sans"/>
                <w:color w:val="161616"/>
                <w:sz w:val="20"/>
                <w:szCs w:val="20"/>
              </w:rPr>
              <w:t xml:space="preserve">Current IBM Cloud Usage</w:t>
            </w:r>
          </w:p>
        </w:tc>
        <w:tc>
          <w:tcPr>
            <w:shd w:color="F4F4F4" w:val="solid"/>
          </w:tcPr>
          <w:p>
            <w:r>
              <w:rPr>
                <w:rFonts w:ascii="IBM Plex Sans" w:cs="IBM Plex Sans" w:eastAsia="IBM Plex Sans" w:hAnsi="IBM Plex Sans"/>
                <w:color w:val="161616"/>
                <w:sz w:val="20"/>
                <w:szCs w:val="20"/>
              </w:rPr>
              <w:t xml:space="preserve">.xlsx or .csv</w:t>
            </w:r>
          </w:p>
        </w:tc>
        <w:tc>
          <w:tcPr>
            <w:shd w:color="F4F4F4" w:val="solid"/>
          </w:tcPr>
          <w:p>
            <w:r>
              <w:rPr>
                <w:rFonts w:ascii="IBM Plex Sans" w:cs="IBM Plex Sans" w:eastAsia="IBM Plex Sans" w:hAnsi="IBM Plex Sans"/>
                <w:color w:val="161616"/>
                <w:sz w:val="20"/>
                <w:szCs w:val="20"/>
              </w:rPr>
              <w:t xml:space="preserve">Export from IBM Cloud console, Passport Advantage, or your client's usage dashboard</w:t>
            </w:r>
          </w:p>
        </w:tc>
      </w:tr>
      <w:tr>
        <w:tc>
          <w:tcPr>
            <w:shd w:color="FFFFFF" w:val="solid"/>
          </w:tcPr>
          <w:p>
            <w:r>
              <w:rPr>
                <w:rFonts w:ascii="IBM Plex Sans" w:cs="IBM Plex Sans" w:eastAsia="IBM Plex Sans" w:hAnsi="IBM Plex Sans"/>
                <w:color w:val="161616"/>
                <w:sz w:val="20"/>
                <w:szCs w:val="20"/>
              </w:rPr>
              <w:t xml:space="preserve">ISC Account Data</w:t>
            </w:r>
          </w:p>
        </w:tc>
        <w:tc>
          <w:tcPr>
            <w:shd w:color="FFFFFF" w:val="solid"/>
          </w:tcPr>
          <w:p>
            <w:r>
              <w:rPr>
                <w:rFonts w:ascii="IBM Plex Sans" w:cs="IBM Plex Sans" w:eastAsia="IBM Plex Sans" w:hAnsi="IBM Plex Sans"/>
                <w:color w:val="161616"/>
                <w:sz w:val="20"/>
                <w:szCs w:val="20"/>
              </w:rPr>
              <w:t xml:space="preserve">.xlsx, .csv, or typed text</w:t>
            </w:r>
          </w:p>
        </w:tc>
        <w:tc>
          <w:tcPr>
            <w:shd w:color="FFFFFF" w:val="solid"/>
          </w:tcPr>
          <w:p>
            <w:r>
              <w:rPr>
                <w:rFonts w:ascii="IBM Plex Sans" w:cs="IBM Plex Sans" w:eastAsia="IBM Plex Sans" w:hAnsi="IBM Plex Sans"/>
                <w:color w:val="161616"/>
                <w:sz w:val="20"/>
                <w:szCs w:val="20"/>
              </w:rPr>
              <w:t xml:space="preserve">Log into ISC → navigate to the client account → export entitlement / spend data</w:t>
            </w:r>
          </w:p>
        </w:tc>
      </w:tr>
      <w:tr>
        <w:tc>
          <w:tcPr>
            <w:shd w:color="F4F4F4" w:val="solid"/>
          </w:tcPr>
          <w:p>
            <w:r>
              <w:rPr>
                <w:rFonts w:ascii="IBM Plex Sans" w:cs="IBM Plex Sans" w:eastAsia="IBM Plex Sans" w:hAnsi="IBM Plex Sans"/>
                <w:color w:val="161616"/>
                <w:sz w:val="20"/>
                <w:szCs w:val="20"/>
              </w:rPr>
              <w:t xml:space="preserve">Existing BOM Example</w:t>
            </w:r>
          </w:p>
        </w:tc>
        <w:tc>
          <w:tcPr>
            <w:shd w:color="F4F4F4" w:val="solid"/>
          </w:tcPr>
          <w:p>
            <w:r>
              <w:rPr>
                <w:rFonts w:ascii="IBM Plex Sans" w:cs="IBM Plex Sans" w:eastAsia="IBM Plex Sans" w:hAnsi="IBM Plex Sans"/>
                <w:color w:val="161616"/>
                <w:sz w:val="20"/>
                <w:szCs w:val="20"/>
              </w:rPr>
              <w:t xml:space="preserve">.xlsx or .docx</w:t>
            </w:r>
          </w:p>
        </w:tc>
        <w:tc>
          <w:tcPr>
            <w:shd w:color="F4F4F4" w:val="solid"/>
          </w:tcPr>
          <w:p>
            <w:r>
              <w:rPr>
                <w:rFonts w:ascii="IBM Plex Sans" w:cs="IBM Plex Sans" w:eastAsia="IBM Plex Sans" w:hAnsi="IBM Plex Sans"/>
                <w:color w:val="161616"/>
                <w:sz w:val="20"/>
                <w:szCs w:val="20"/>
              </w:rPr>
              <w:t xml:space="preserve">A previous BOM or quote you've used for this client or a similar one</w:t>
            </w:r>
          </w:p>
        </w:tc>
      </w:tr>
      <w:tr>
        <w:tc>
          <w:tcPr>
            <w:shd w:color="FFFFFF" w:val="solid"/>
          </w:tcPr>
          <w:p>
            <w:r>
              <w:rPr>
                <w:rFonts w:ascii="IBM Plex Sans" w:cs="IBM Plex Sans" w:eastAsia="IBM Plex Sans" w:hAnsi="IBM Plex Sans"/>
                <w:color w:val="161616"/>
                <w:sz w:val="20"/>
                <w:szCs w:val="20"/>
              </w:rPr>
              <w:t xml:space="preserve">Competitive Install Info</w:t>
            </w:r>
          </w:p>
        </w:tc>
        <w:tc>
          <w:tcPr>
            <w:shd w:color="FFFFFF" w:val="solid"/>
          </w:tcPr>
          <w:p>
            <w:r>
              <w:rPr>
                <w:rFonts w:ascii="IBM Plex Sans" w:cs="IBM Plex Sans" w:eastAsia="IBM Plex Sans" w:hAnsi="IBM Plex Sans"/>
                <w:color w:val="161616"/>
                <w:sz w:val="20"/>
                <w:szCs w:val="20"/>
              </w:rPr>
              <w:t xml:space="preserve">.xlsx or typed text</w:t>
            </w:r>
          </w:p>
        </w:tc>
        <w:tc>
          <w:tcPr>
            <w:shd w:color="FFFFFF" w:val="solid"/>
          </w:tcPr>
          <w:p>
            <w:r>
              <w:rPr>
                <w:rFonts w:ascii="IBM Plex Sans" w:cs="IBM Plex Sans" w:eastAsia="IBM Plex Sans" w:hAnsi="IBM Plex Sans"/>
                <w:color w:val="161616"/>
                <w:sz w:val="20"/>
                <w:szCs w:val="20"/>
              </w:rPr>
              <w:t xml:space="preserve">What you know about competitors in this account — Azure, AWS, Salesforce, Oracle, etc.</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tblGrid>
      <w:tr>
        <w:tc>
          <w:tcPr>
            <w:shd w:color="FFF8E1" w:val="solid"/>
          </w:tcPr>
          <w:p>
            <w:pPr>
              <w:spacing w:after="60"/>
            </w:pPr>
            <w:r>
              <w:rPr>
                <w:rFonts w:ascii="IBM Plex Sans" w:cs="IBM Plex Sans" w:eastAsia="IBM Plex Sans" w:hAnsi="IBM Plex Sans"/>
                <w:b/>
                <w:bCs/>
                <w:color w:val="8A3800"/>
                <w:sz w:val="20"/>
                <w:szCs w:val="20"/>
              </w:rPr>
              <w:t xml:space="preserve">⚠ Important</w:t>
            </w:r>
          </w:p>
          <w:p>
            <w:r>
              <w:rPr>
                <w:rFonts w:ascii="IBM Plex Sans" w:cs="IBM Plex Sans" w:eastAsia="IBM Plex Sans" w:hAnsi="IBM Plex Sans"/>
                <w:color w:val="161616"/>
                <w:sz w:val="20"/>
                <w:szCs w:val="20"/>
              </w:rPr>
              <w:t xml:space="preserve">ISC data is not pulled automatically. The workflow will prompt you to log into ISC, export the relevant data, and upload it. Having this ready before you start saves time.</w:t>
            </w:r>
          </w:p>
        </w:tc>
      </w:tr>
    </w:tbl>
    <w:p>
      <w:pPr>
        <w:spacing w:after="140" w:before="360"/>
      </w:pPr>
      <w:r>
        <w:rPr>
          <w:rFonts w:ascii="IBM Plex Sans" w:cs="IBM Plex Sans" w:eastAsia="IBM Plex Sans" w:hAnsi="IBM Plex Sans"/>
          <w:b/>
          <w:bCs/>
          <w:color w:val="161616"/>
          <w:sz w:val="26"/>
          <w:szCs w:val="26"/>
        </w:rPr>
        <w:t xml:space="preserve">2.3  ISC Data — Step-by-Step Export</w:t>
      </w:r>
    </w:p>
    <w:p>
      <w:pPr>
        <w:spacing w:after="120"/>
        <w:ind w:left="360"/>
      </w:pPr>
      <w:r>
        <w:rPr>
          <w:rFonts w:ascii="IBM Plex Sans" w:cs="IBM Plex Sans" w:eastAsia="IBM Plex Sans" w:hAnsi="IBM Plex Sans"/>
          <w:b/>
          <w:bCs/>
          <w:color w:val="0F62FE"/>
          <w:sz w:val="22"/>
          <w:szCs w:val="22"/>
        </w:rPr>
        <w:t xml:space="preserve">1.  </w:t>
      </w:r>
      <w:r>
        <w:rPr>
          <w:rFonts w:ascii="IBM Plex Sans" w:cs="IBM Plex Sans" w:eastAsia="IBM Plex Sans" w:hAnsi="IBM Plex Sans"/>
          <w:color w:val="161616"/>
          <w:sz w:val="22"/>
          <w:szCs w:val="22"/>
        </w:rPr>
        <w:t xml:space="preserve">Log into ISC at isc.ibm.com using your IBM w3id credentials</w:t>
      </w:r>
    </w:p>
    <w:p>
      <w:pPr>
        <w:spacing w:after="120"/>
        <w:ind w:left="360"/>
      </w:pPr>
      <w:r>
        <w:rPr>
          <w:rFonts w:ascii="IBM Plex Sans" w:cs="IBM Plex Sans" w:eastAsia="IBM Plex Sans" w:hAnsi="IBM Plex Sans"/>
          <w:b/>
          <w:bCs/>
          <w:color w:val="0F62FE"/>
          <w:sz w:val="22"/>
          <w:szCs w:val="22"/>
        </w:rPr>
        <w:t xml:space="preserve">2.  </w:t>
      </w:r>
      <w:r>
        <w:rPr>
          <w:rFonts w:ascii="IBM Plex Sans" w:cs="IBM Plex Sans" w:eastAsia="IBM Plex Sans" w:hAnsi="IBM Plex Sans"/>
          <w:color w:val="161616"/>
          <w:sz w:val="22"/>
          <w:szCs w:val="22"/>
        </w:rPr>
        <w:t xml:space="preserve">Search for the client account by name or account number</w:t>
      </w:r>
    </w:p>
    <w:p>
      <w:pPr>
        <w:spacing w:after="120"/>
        <w:ind w:left="360"/>
      </w:pPr>
      <w:r>
        <w:rPr>
          <w:rFonts w:ascii="IBM Plex Sans" w:cs="IBM Plex Sans" w:eastAsia="IBM Plex Sans" w:hAnsi="IBM Plex Sans"/>
          <w:b/>
          <w:bCs/>
          <w:color w:val="0F62FE"/>
          <w:sz w:val="22"/>
          <w:szCs w:val="22"/>
        </w:rPr>
        <w:t xml:space="preserve">3.  </w:t>
      </w:r>
      <w:r>
        <w:rPr>
          <w:rFonts w:ascii="IBM Plex Sans" w:cs="IBM Plex Sans" w:eastAsia="IBM Plex Sans" w:hAnsi="IBM Plex Sans"/>
          <w:color w:val="161616"/>
          <w:sz w:val="22"/>
          <w:szCs w:val="22"/>
        </w:rPr>
        <w:t xml:space="preserve">Navigate to the client's account overview page</w:t>
      </w:r>
    </w:p>
    <w:p>
      <w:pPr>
        <w:spacing w:after="120"/>
        <w:ind w:left="360"/>
      </w:pPr>
      <w:r>
        <w:rPr>
          <w:rFonts w:ascii="IBM Plex Sans" w:cs="IBM Plex Sans" w:eastAsia="IBM Plex Sans" w:hAnsi="IBM Plex Sans"/>
          <w:b/>
          <w:bCs/>
          <w:color w:val="0F62FE"/>
          <w:sz w:val="22"/>
          <w:szCs w:val="22"/>
        </w:rPr>
        <w:t xml:space="preserve">4.  </w:t>
      </w:r>
      <w:r>
        <w:rPr>
          <w:rFonts w:ascii="IBM Plex Sans" w:cs="IBM Plex Sans" w:eastAsia="IBM Plex Sans" w:hAnsi="IBM Plex Sans"/>
          <w:color w:val="161616"/>
          <w:sz w:val="22"/>
          <w:szCs w:val="22"/>
        </w:rPr>
        <w:t xml:space="preserve">Locate the entitlements or spend summary section</w:t>
      </w:r>
    </w:p>
    <w:p>
      <w:pPr>
        <w:spacing w:after="120"/>
        <w:ind w:left="360"/>
      </w:pPr>
      <w:r>
        <w:rPr>
          <w:rFonts w:ascii="IBM Plex Sans" w:cs="IBM Plex Sans" w:eastAsia="IBM Plex Sans" w:hAnsi="IBM Plex Sans"/>
          <w:b/>
          <w:bCs/>
          <w:color w:val="0F62FE"/>
          <w:sz w:val="22"/>
          <w:szCs w:val="22"/>
        </w:rPr>
        <w:t xml:space="preserve">5.  </w:t>
      </w:r>
      <w:r>
        <w:rPr>
          <w:rFonts w:ascii="IBM Plex Sans" w:cs="IBM Plex Sans" w:eastAsia="IBM Plex Sans" w:hAnsi="IBM Plex Sans"/>
          <w:color w:val="161616"/>
          <w:sz w:val="22"/>
          <w:szCs w:val="22"/>
        </w:rPr>
        <w:t xml:space="preserve">Export as .xlsx or .csv using the export / download button</w:t>
      </w:r>
    </w:p>
    <w:p>
      <w:pPr>
        <w:spacing w:after="120"/>
        <w:ind w:left="360"/>
      </w:pPr>
      <w:r>
        <w:rPr>
          <w:rFonts w:ascii="IBM Plex Sans" w:cs="IBM Plex Sans" w:eastAsia="IBM Plex Sans" w:hAnsi="IBM Plex Sans"/>
          <w:b/>
          <w:bCs/>
          <w:color w:val="0F62FE"/>
          <w:sz w:val="22"/>
          <w:szCs w:val="22"/>
        </w:rPr>
        <w:t xml:space="preserve">6.  </w:t>
      </w:r>
      <w:r>
        <w:rPr>
          <w:rFonts w:ascii="IBM Plex Sans" w:cs="IBM Plex Sans" w:eastAsia="IBM Plex Sans" w:hAnsi="IBM Plex Sans"/>
          <w:color w:val="161616"/>
          <w:sz w:val="22"/>
          <w:szCs w:val="22"/>
        </w:rPr>
        <w:t xml:space="preserve">Save the file to your desktop — you will upload it during the workflow</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tblGrid>
      <w:tr>
        <w:tc>
          <w:tcPr>
            <w:shd w:color="D0E2FF" w:val="solid"/>
          </w:tcPr>
          <w:p>
            <w:pPr>
              <w:spacing w:after="60"/>
            </w:pPr>
            <w:r>
              <w:rPr>
                <w:rFonts w:ascii="IBM Plex Sans" w:cs="IBM Plex Sans" w:eastAsia="IBM Plex Sans" w:hAnsi="IBM Plex Sans"/>
                <w:b/>
                <w:bCs/>
                <w:color w:val="003399"/>
                <w:sz w:val="20"/>
                <w:szCs w:val="20"/>
              </w:rPr>
              <w:t xml:space="preserve">💡 Tip</w:t>
            </w:r>
          </w:p>
          <w:p>
            <w:r>
              <w:rPr>
                <w:rFonts w:ascii="IBM Plex Sans" w:cs="IBM Plex Sans" w:eastAsia="IBM Plex Sans" w:hAnsi="IBM Plex Sans"/>
                <w:color w:val="161616"/>
                <w:sz w:val="20"/>
                <w:szCs w:val="20"/>
              </w:rPr>
              <w:t xml:space="preserve">If the client has multiple account records in ISC (e.g. regional subsidiaries), export the most relevant one — typically the primary account or the one tied to this opportunity.</w:t>
            </w:r>
          </w:p>
        </w:tc>
      </w:tr>
    </w:tbl>
    <w:p>
      <w:pPr>
        <w:pBdr>
          <w:bottom w:val="single" w:color="0F62FE" w:sz="6"/>
        </w:pBdr>
        <w:spacing w:after="200" w:before="560"/>
      </w:pPr>
      <w:r>
        <w:rPr>
          <w:rFonts w:ascii="IBM Plex Sans" w:cs="IBM Plex Sans" w:eastAsia="IBM Plex Sans" w:hAnsi="IBM Plex Sans"/>
          <w:b/>
          <w:bCs/>
          <w:color w:val="0F62FE"/>
          <w:sz w:val="36"/>
          <w:szCs w:val="36"/>
        </w:rPr>
        <w:t xml:space="preserve">3. How to Access the Tool</w:t>
      </w:r>
    </w:p>
    <w:p>
      <w:pPr>
        <w:spacing w:after="140"/>
      </w:pPr>
      <w:r>
        <w:rPr>
          <w:rFonts w:ascii="IBM Plex Sans" w:cs="IBM Plex Sans" w:eastAsia="IBM Plex Sans" w:hAnsi="IBM Plex Sans"/>
          <w:color w:val="161616"/>
          <w:sz w:val="22"/>
          <w:szCs w:val="22"/>
        </w:rPr>
        <w:t xml:space="preserve">The Client Roadmap Generator runs inside IBM Bob. Access it using one of the methods below.</w:t>
      </w:r>
    </w:p>
    <w:p>
      <w:pPr>
        <w:spacing w:after="200"/>
      </w:pPr>
    </w:p>
    <w:p>
      <w:pPr>
        <w:spacing w:after="140" w:before="360"/>
      </w:pPr>
      <w:r>
        <w:rPr>
          <w:rFonts w:ascii="IBM Plex Sans" w:cs="IBM Plex Sans" w:eastAsia="IBM Plex Sans" w:hAnsi="IBM Plex Sans"/>
          <w:b/>
          <w:bCs/>
          <w:color w:val="161616"/>
          <w:sz w:val="26"/>
          <w:szCs w:val="26"/>
        </w:rPr>
        <w:t xml:space="preserve">3.1  Via the IBM Bob Web App</w:t>
      </w:r>
    </w:p>
    <w:p>
      <w:pPr>
        <w:spacing w:after="120"/>
        <w:ind w:left="360"/>
      </w:pPr>
      <w:r>
        <w:rPr>
          <w:rFonts w:ascii="IBM Plex Sans" w:cs="IBM Plex Sans" w:eastAsia="IBM Plex Sans" w:hAnsi="IBM Plex Sans"/>
          <w:b/>
          <w:bCs/>
          <w:color w:val="0F62FE"/>
          <w:sz w:val="22"/>
          <w:szCs w:val="22"/>
        </w:rPr>
        <w:t xml:space="preserve">1.  </w:t>
      </w:r>
      <w:r>
        <w:rPr>
          <w:rFonts w:ascii="IBM Plex Sans" w:cs="IBM Plex Sans" w:eastAsia="IBM Plex Sans" w:hAnsi="IBM Plex Sans"/>
          <w:color w:val="161616"/>
          <w:sz w:val="22"/>
          <w:szCs w:val="22"/>
        </w:rPr>
        <w:t xml:space="preserve">Open IBM Bob in your browser (internal IBM URL provided by your team)</w:t>
      </w:r>
    </w:p>
    <w:p>
      <w:pPr>
        <w:spacing w:after="120"/>
        <w:ind w:left="360"/>
      </w:pPr>
      <w:r>
        <w:rPr>
          <w:rFonts w:ascii="IBM Plex Sans" w:cs="IBM Plex Sans" w:eastAsia="IBM Plex Sans" w:hAnsi="IBM Plex Sans"/>
          <w:b/>
          <w:bCs/>
          <w:color w:val="0F62FE"/>
          <w:sz w:val="22"/>
          <w:szCs w:val="22"/>
        </w:rPr>
        <w:t xml:space="preserve">2.  </w:t>
      </w:r>
      <w:r>
        <w:rPr>
          <w:rFonts w:ascii="IBM Plex Sans" w:cs="IBM Plex Sans" w:eastAsia="IBM Plex Sans" w:hAnsi="IBM Plex Sans"/>
          <w:color w:val="161616"/>
          <w:sz w:val="22"/>
          <w:szCs w:val="22"/>
        </w:rPr>
        <w:t xml:space="preserve">Sign in with your IBM w3id credentials if prompted</w:t>
      </w:r>
    </w:p>
    <w:p>
      <w:pPr>
        <w:spacing w:after="120"/>
        <w:ind w:left="360"/>
      </w:pPr>
      <w:r>
        <w:rPr>
          <w:rFonts w:ascii="IBM Plex Sans" w:cs="IBM Plex Sans" w:eastAsia="IBM Plex Sans" w:hAnsi="IBM Plex Sans"/>
          <w:b/>
          <w:bCs/>
          <w:color w:val="0F62FE"/>
          <w:sz w:val="22"/>
          <w:szCs w:val="22"/>
        </w:rPr>
        <w:t xml:space="preserve">3.  </w:t>
      </w:r>
      <w:r>
        <w:rPr>
          <w:rFonts w:ascii="IBM Plex Sans" w:cs="IBM Plex Sans" w:eastAsia="IBM Plex Sans" w:hAnsi="IBM Plex Sans"/>
          <w:color w:val="161616"/>
          <w:sz w:val="22"/>
          <w:szCs w:val="22"/>
        </w:rPr>
        <w:t xml:space="preserve">Click 'Client Roadmap' in the top navigation bar</w:t>
      </w:r>
    </w:p>
    <w:p>
      <w:pPr>
        <w:spacing w:after="120"/>
        <w:ind w:left="360"/>
      </w:pPr>
      <w:r>
        <w:rPr>
          <w:rFonts w:ascii="IBM Plex Sans" w:cs="IBM Plex Sans" w:eastAsia="IBM Plex Sans" w:hAnsi="IBM Plex Sans"/>
          <w:b/>
          <w:bCs/>
          <w:color w:val="0F62FE"/>
          <w:sz w:val="22"/>
          <w:szCs w:val="22"/>
        </w:rPr>
        <w:t xml:space="preserve">4.  </w:t>
      </w:r>
      <w:r>
        <w:rPr>
          <w:rFonts w:ascii="IBM Plex Sans" w:cs="IBM Plex Sans" w:eastAsia="IBM Plex Sans" w:hAnsi="IBM Plex Sans"/>
          <w:color w:val="161616"/>
          <w:sz w:val="22"/>
          <w:szCs w:val="22"/>
        </w:rPr>
        <w:t xml:space="preserve">The workflow will load and prompt you to enter the client name</w:t>
      </w:r>
    </w:p>
    <w:p>
      <w:pPr>
        <w:spacing w:after="200"/>
      </w:pPr>
    </w:p>
    <w:p>
      <w:pPr>
        <w:spacing w:after="140" w:before="360"/>
      </w:pPr>
      <w:r>
        <w:rPr>
          <w:rFonts w:ascii="IBM Plex Sans" w:cs="IBM Plex Sans" w:eastAsia="IBM Plex Sans" w:hAnsi="IBM Plex Sans"/>
          <w:b/>
          <w:bCs/>
          <w:color w:val="161616"/>
          <w:sz w:val="26"/>
          <w:szCs w:val="26"/>
        </w:rPr>
        <w:t xml:space="preserve">3.2  Via IBM Bob Chat Interface</w:t>
      </w:r>
    </w:p>
    <w:p>
      <w:pPr>
        <w:spacing w:after="120"/>
        <w:ind w:left="360"/>
      </w:pPr>
      <w:r>
        <w:rPr>
          <w:rFonts w:ascii="IBM Plex Sans" w:cs="IBM Plex Sans" w:eastAsia="IBM Plex Sans" w:hAnsi="IBM Plex Sans"/>
          <w:b/>
          <w:bCs/>
          <w:color w:val="0F62FE"/>
          <w:sz w:val="22"/>
          <w:szCs w:val="22"/>
        </w:rPr>
        <w:t xml:space="preserve">1.  </w:t>
      </w:r>
      <w:r>
        <w:rPr>
          <w:rFonts w:ascii="IBM Plex Sans" w:cs="IBM Plex Sans" w:eastAsia="IBM Plex Sans" w:hAnsi="IBM Plex Sans"/>
          <w:color w:val="161616"/>
          <w:sz w:val="22"/>
          <w:szCs w:val="22"/>
        </w:rPr>
        <w:t xml:space="preserve">Open the IBM Bob chat interface</w:t>
      </w:r>
    </w:p>
    <w:p>
      <w:pPr>
        <w:spacing w:after="120"/>
        <w:ind w:left="360"/>
      </w:pPr>
      <w:r>
        <w:rPr>
          <w:rFonts w:ascii="IBM Plex Sans" w:cs="IBM Plex Sans" w:eastAsia="IBM Plex Sans" w:hAnsi="IBM Plex Sans"/>
          <w:b/>
          <w:bCs/>
          <w:color w:val="0F62FE"/>
          <w:sz w:val="22"/>
          <w:szCs w:val="22"/>
        </w:rPr>
        <w:t xml:space="preserve">2.  </w:t>
      </w:r>
      <w:r>
        <w:rPr>
          <w:rFonts w:ascii="IBM Plex Sans" w:cs="IBM Plex Sans" w:eastAsia="IBM Plex Sans" w:hAnsi="IBM Plex Sans"/>
          <w:color w:val="161616"/>
          <w:sz w:val="22"/>
          <w:szCs w:val="22"/>
        </w:rPr>
        <w:t xml:space="preserve">Type: "Generate a client roadmap" or "Start roadmap generator"</w:t>
      </w:r>
    </w:p>
    <w:p>
      <w:pPr>
        <w:spacing w:after="120"/>
        <w:ind w:left="360"/>
      </w:pPr>
      <w:r>
        <w:rPr>
          <w:rFonts w:ascii="IBM Plex Sans" w:cs="IBM Plex Sans" w:eastAsia="IBM Plex Sans" w:hAnsi="IBM Plex Sans"/>
          <w:b/>
          <w:bCs/>
          <w:color w:val="0F62FE"/>
          <w:sz w:val="22"/>
          <w:szCs w:val="22"/>
        </w:rPr>
        <w:t xml:space="preserve">3.  </w:t>
      </w:r>
      <w:r>
        <w:rPr>
          <w:rFonts w:ascii="IBM Plex Sans" w:cs="IBM Plex Sans" w:eastAsia="IBM Plex Sans" w:hAnsi="IBM Plex Sans"/>
          <w:color w:val="161616"/>
          <w:sz w:val="22"/>
          <w:szCs w:val="22"/>
        </w:rPr>
        <w:t xml:space="preserve">Bob will launch the guided workflow inside the chat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tblGrid>
      <w:tr>
        <w:tc>
          <w:tcPr>
            <w:shd w:color="D0E2FF" w:val="solid"/>
          </w:tcPr>
          <w:p>
            <w:pPr>
              <w:spacing w:after="60"/>
            </w:pPr>
            <w:r>
              <w:rPr>
                <w:rFonts w:ascii="IBM Plex Sans" w:cs="IBM Plex Sans" w:eastAsia="IBM Plex Sans" w:hAnsi="IBM Plex Sans"/>
                <w:b/>
                <w:bCs/>
                <w:color w:val="003399"/>
                <w:sz w:val="20"/>
                <w:szCs w:val="20"/>
              </w:rPr>
              <w:t xml:space="preserve">💡 Tip</w:t>
            </w:r>
          </w:p>
          <w:p>
            <w:r>
              <w:rPr>
                <w:rFonts w:ascii="IBM Plex Sans" w:cs="IBM Plex Sans" w:eastAsia="IBM Plex Sans" w:hAnsi="IBM Plex Sans"/>
                <w:color w:val="161616"/>
                <w:sz w:val="20"/>
                <w:szCs w:val="20"/>
              </w:rPr>
              <w:t xml:space="preserve">Bookmark the direct URL to the Client Roadmap page for quick access: http://[your-deployment-url]/roadmap</w:t>
            </w:r>
          </w:p>
        </w:tc>
      </w:tr>
    </w:tbl>
    <w:p>
      <w:pPr>
        <w:pBdr>
          <w:bottom w:val="single" w:color="0F62FE" w:sz="6"/>
        </w:pBdr>
        <w:spacing w:after="200" w:before="560"/>
      </w:pPr>
      <w:r>
        <w:rPr>
          <w:rFonts w:ascii="IBM Plex Sans" w:cs="IBM Plex Sans" w:eastAsia="IBM Plex Sans" w:hAnsi="IBM Plex Sans"/>
          <w:b/>
          <w:bCs/>
          <w:color w:val="0F62FE"/>
          <w:sz w:val="36"/>
          <w:szCs w:val="36"/>
        </w:rPr>
        <w:t xml:space="preserve">4. Using the Workflow — Step by Step</w:t>
      </w:r>
    </w:p>
    <w:p>
      <w:pPr>
        <w:spacing w:after="140"/>
      </w:pPr>
      <w:r>
        <w:rPr>
          <w:rFonts w:ascii="IBM Plex Sans" w:cs="IBM Plex Sans" w:eastAsia="IBM Plex Sans" w:hAnsi="IBM Plex Sans"/>
          <w:color w:val="161616"/>
          <w:sz w:val="22"/>
          <w:szCs w:val="22"/>
        </w:rPr>
        <w:t xml:space="preserve">The workflow guides you through a series of steps. Required steps must be completed. Optional steps can be skipped — but providing more context produces a better roadmap.</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00"/>
        <w:gridCol w:w="100"/>
      </w:tblGrid>
      <w:tr>
        <w:tc>
          <w:tcPr>
            <w:tcW w:type="pct" w:w="12%"/>
            <w:shd w:color="0F62FE" w:val="solid"/>
          </w:tcPr>
          <w:p>
            <w:pPr>
              <w:jc w:val="center"/>
            </w:pPr>
            <w:r>
              <w:rPr>
                <w:rFonts w:ascii="IBM Plex Sans" w:cs="IBM Plex Sans" w:eastAsia="IBM Plex Sans" w:hAnsi="IBM Plex Sans"/>
                <w:b/>
                <w:bCs/>
                <w:color w:val="FFFFFF"/>
                <w:sz w:val="22"/>
                <w:szCs w:val="22"/>
              </w:rPr>
              <w:t xml:space="preserve">Step 1</w:t>
            </w:r>
          </w:p>
        </w:tc>
        <w:tc>
          <w:tcPr>
            <w:tcW w:type="pct" w:w="88%"/>
            <w:shd w:color="F4F4F4" w:val="solid"/>
          </w:tcPr>
          <w:p>
            <w:pPr>
              <w:spacing w:after="60"/>
            </w:pPr>
            <w:r>
              <w:rPr>
                <w:rFonts w:ascii="IBM Plex Sans" w:cs="IBM Plex Sans" w:eastAsia="IBM Plex Sans" w:hAnsi="IBM Plex Sans"/>
                <w:b/>
                <w:bCs/>
                <w:color w:val="161616"/>
                <w:sz w:val="22"/>
                <w:szCs w:val="22"/>
              </w:rPr>
              <w:t xml:space="preserve">Enter the Client Name</w:t>
            </w:r>
          </w:p>
          <w:p>
            <w:r>
              <w:rPr>
                <w:rFonts w:ascii="IBM Plex Sans" w:cs="IBM Plex Sans" w:eastAsia="IBM Plex Sans" w:hAnsi="IBM Plex Sans"/>
                <w:color w:val="525252"/>
                <w:sz w:val="20"/>
                <w:szCs w:val="20"/>
              </w:rPr>
              <w:t xml:space="preserve">Type the full client or account name (e.g. 'Acme Corporation'). This is used to search IBM AskSales for relevant account content and to label your roadmap output. Click 'Start' when ready.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00"/>
        <w:gridCol w:w="100"/>
      </w:tblGrid>
      <w:tr>
        <w:tc>
          <w:tcPr>
            <w:tcW w:type="pct" w:w="12%"/>
            <w:shd w:color="0F62FE" w:val="solid"/>
          </w:tcPr>
          <w:p>
            <w:pPr>
              <w:jc w:val="center"/>
            </w:pPr>
            <w:r>
              <w:rPr>
                <w:rFonts w:ascii="IBM Plex Sans" w:cs="IBM Plex Sans" w:eastAsia="IBM Plex Sans" w:hAnsi="IBM Plex Sans"/>
                <w:b/>
                <w:bCs/>
                <w:color w:val="FFFFFF"/>
                <w:sz w:val="22"/>
                <w:szCs w:val="22"/>
              </w:rPr>
              <w:t xml:space="preserve">Step 2</w:t>
            </w:r>
          </w:p>
        </w:tc>
        <w:tc>
          <w:tcPr>
            <w:tcW w:type="pct" w:w="88%"/>
            <w:shd w:color="F4F4F4" w:val="solid"/>
          </w:tcPr>
          <w:p>
            <w:pPr>
              <w:spacing w:after="60"/>
            </w:pPr>
            <w:r>
              <w:rPr>
                <w:rFonts w:ascii="IBM Plex Sans" w:cs="IBM Plex Sans" w:eastAsia="IBM Plex Sans" w:hAnsi="IBM Plex Sans"/>
                <w:b/>
                <w:bCs/>
                <w:color w:val="161616"/>
                <w:sz w:val="22"/>
                <w:szCs w:val="22"/>
              </w:rPr>
              <w:t xml:space="preserve">Client Overview / Background</w:t>
            </w:r>
          </w:p>
          <w:p>
            <w:r>
              <w:rPr>
                <w:rFonts w:ascii="IBM Plex Sans" w:cs="IBM Plex Sans" w:eastAsia="IBM Plex Sans" w:hAnsi="IBM Plex Sans"/>
                <w:color w:val="525252"/>
                <w:sz w:val="20"/>
                <w:szCs w:val="20"/>
              </w:rPr>
              <w:t xml:space="preserve">Upload a .docx or .pdf document describing the client (e.g. your account plan or a client briefing doc), or paste the text directly into the text box. Both file upload and typed text are accepted. This is required.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00"/>
        <w:gridCol w:w="100"/>
      </w:tblGrid>
      <w:tr>
        <w:tc>
          <w:tcPr>
            <w:tcW w:type="pct" w:w="12%"/>
            <w:shd w:color="0F62FE" w:val="solid"/>
          </w:tcPr>
          <w:p>
            <w:pPr>
              <w:jc w:val="center"/>
            </w:pPr>
            <w:r>
              <w:rPr>
                <w:rFonts w:ascii="IBM Plex Sans" w:cs="IBM Plex Sans" w:eastAsia="IBM Plex Sans" w:hAnsi="IBM Plex Sans"/>
                <w:b/>
                <w:bCs/>
                <w:color w:val="FFFFFF"/>
                <w:sz w:val="22"/>
                <w:szCs w:val="22"/>
              </w:rPr>
              <w:t xml:space="preserve">Step 3</w:t>
            </w:r>
          </w:p>
        </w:tc>
        <w:tc>
          <w:tcPr>
            <w:tcW w:type="pct" w:w="88%"/>
            <w:shd w:color="F4F4F4" w:val="solid"/>
          </w:tcPr>
          <w:p>
            <w:pPr>
              <w:spacing w:after="60"/>
            </w:pPr>
            <w:r>
              <w:rPr>
                <w:rFonts w:ascii="IBM Plex Sans" w:cs="IBM Plex Sans" w:eastAsia="IBM Plex Sans" w:hAnsi="IBM Plex Sans"/>
                <w:b/>
                <w:bCs/>
                <w:color w:val="161616"/>
                <w:sz w:val="22"/>
                <w:szCs w:val="22"/>
              </w:rPr>
              <w:t xml:space="preserve">Current IBM Cloud Usage</w:t>
            </w:r>
          </w:p>
          <w:p>
            <w:r>
              <w:rPr>
                <w:rFonts w:ascii="IBM Plex Sans" w:cs="IBM Plex Sans" w:eastAsia="IBM Plex Sans" w:hAnsi="IBM Plex Sans"/>
                <w:color w:val="525252"/>
                <w:sz w:val="20"/>
                <w:szCs w:val="20"/>
              </w:rPr>
              <w:t xml:space="preserve">Upload an .xlsx or .csv export of the client's current IBM Cloud spend or consumption data. This helps the tool understand the client's existing IBM footprint and identify expansion opportunities. Optional — skip if not available.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00"/>
        <w:gridCol w:w="100"/>
      </w:tblGrid>
      <w:tr>
        <w:tc>
          <w:tcPr>
            <w:tcW w:type="pct" w:w="12%"/>
            <w:shd w:color="0F62FE" w:val="solid"/>
          </w:tcPr>
          <w:p>
            <w:pPr>
              <w:jc w:val="center"/>
            </w:pPr>
            <w:r>
              <w:rPr>
                <w:rFonts w:ascii="IBM Plex Sans" w:cs="IBM Plex Sans" w:eastAsia="IBM Plex Sans" w:hAnsi="IBM Plex Sans"/>
                <w:b/>
                <w:bCs/>
                <w:color w:val="FFFFFF"/>
                <w:sz w:val="22"/>
                <w:szCs w:val="22"/>
              </w:rPr>
              <w:t xml:space="preserve">Step 4</w:t>
            </w:r>
          </w:p>
        </w:tc>
        <w:tc>
          <w:tcPr>
            <w:tcW w:type="pct" w:w="88%"/>
            <w:shd w:color="F4F4F4" w:val="solid"/>
          </w:tcPr>
          <w:p>
            <w:pPr>
              <w:spacing w:after="60"/>
            </w:pPr>
            <w:r>
              <w:rPr>
                <w:rFonts w:ascii="IBM Plex Sans" w:cs="IBM Plex Sans" w:eastAsia="IBM Plex Sans" w:hAnsi="IBM Plex Sans"/>
                <w:b/>
                <w:bCs/>
                <w:color w:val="161616"/>
                <w:sz w:val="22"/>
                <w:szCs w:val="22"/>
              </w:rPr>
              <w:t xml:space="preserve">ISC Account Data</w:t>
            </w:r>
          </w:p>
          <w:p>
            <w:r>
              <w:rPr>
                <w:rFonts w:ascii="IBM Plex Sans" w:cs="IBM Plex Sans" w:eastAsia="IBM Plex Sans" w:hAnsi="IBM Plex Sans"/>
                <w:color w:val="525252"/>
                <w:sz w:val="20"/>
                <w:szCs w:val="20"/>
              </w:rPr>
              <w:t xml:space="preserve">The workflow will display a prompt asking you to export the client's data from ISC. Upload the .xlsx or .csv file you exported from ISC, or paste the key data as text. Optional — skip if not available.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00"/>
        <w:gridCol w:w="100"/>
      </w:tblGrid>
      <w:tr>
        <w:tc>
          <w:tcPr>
            <w:tcW w:type="pct" w:w="12%"/>
            <w:shd w:color="0F62FE" w:val="solid"/>
          </w:tcPr>
          <w:p>
            <w:pPr>
              <w:jc w:val="center"/>
            </w:pPr>
            <w:r>
              <w:rPr>
                <w:rFonts w:ascii="IBM Plex Sans" w:cs="IBM Plex Sans" w:eastAsia="IBM Plex Sans" w:hAnsi="IBM Plex Sans"/>
                <w:b/>
                <w:bCs/>
                <w:color w:val="FFFFFF"/>
                <w:sz w:val="22"/>
                <w:szCs w:val="22"/>
              </w:rPr>
              <w:t xml:space="preserve">Step 5</w:t>
            </w:r>
          </w:p>
        </w:tc>
        <w:tc>
          <w:tcPr>
            <w:tcW w:type="pct" w:w="88%"/>
            <w:shd w:color="F4F4F4" w:val="solid"/>
          </w:tcPr>
          <w:p>
            <w:pPr>
              <w:spacing w:after="60"/>
            </w:pPr>
            <w:r>
              <w:rPr>
                <w:rFonts w:ascii="IBM Plex Sans" w:cs="IBM Plex Sans" w:eastAsia="IBM Plex Sans" w:hAnsi="IBM Plex Sans"/>
                <w:b/>
                <w:bCs/>
                <w:color w:val="161616"/>
                <w:sz w:val="22"/>
                <w:szCs w:val="22"/>
              </w:rPr>
              <w:t xml:space="preserve">Existing BOM Example</w:t>
            </w:r>
          </w:p>
          <w:p>
            <w:r>
              <w:rPr>
                <w:rFonts w:ascii="IBM Plex Sans" w:cs="IBM Plex Sans" w:eastAsia="IBM Plex Sans" w:hAnsi="IBM Plex Sans"/>
                <w:color w:val="525252"/>
                <w:sz w:val="20"/>
                <w:szCs w:val="20"/>
              </w:rPr>
              <w:t xml:space="preserve">Upload an .xlsx or .docx file of a previous BOM or quote for this client or a similar opportunity. The tool uses this as a template structure for the Quote &amp; BOM Instructions section of the roadmap. Optional.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00"/>
        <w:gridCol w:w="100"/>
      </w:tblGrid>
      <w:tr>
        <w:tc>
          <w:tcPr>
            <w:tcW w:type="pct" w:w="12%"/>
            <w:shd w:color="0F62FE" w:val="solid"/>
          </w:tcPr>
          <w:p>
            <w:pPr>
              <w:jc w:val="center"/>
            </w:pPr>
            <w:r>
              <w:rPr>
                <w:rFonts w:ascii="IBM Plex Sans" w:cs="IBM Plex Sans" w:eastAsia="IBM Plex Sans" w:hAnsi="IBM Plex Sans"/>
                <w:b/>
                <w:bCs/>
                <w:color w:val="FFFFFF"/>
                <w:sz w:val="22"/>
                <w:szCs w:val="22"/>
              </w:rPr>
              <w:t xml:space="preserve">Step 6</w:t>
            </w:r>
          </w:p>
        </w:tc>
        <w:tc>
          <w:tcPr>
            <w:tcW w:type="pct" w:w="88%"/>
            <w:shd w:color="F4F4F4" w:val="solid"/>
          </w:tcPr>
          <w:p>
            <w:pPr>
              <w:spacing w:after="60"/>
            </w:pPr>
            <w:r>
              <w:rPr>
                <w:rFonts w:ascii="IBM Plex Sans" w:cs="IBM Plex Sans" w:eastAsia="IBM Plex Sans" w:hAnsi="IBM Plex Sans"/>
                <w:b/>
                <w:bCs/>
                <w:color w:val="161616"/>
                <w:sz w:val="22"/>
                <w:szCs w:val="22"/>
              </w:rPr>
              <w:t xml:space="preserve">Competitive Install Info</w:t>
            </w:r>
          </w:p>
          <w:p>
            <w:r>
              <w:rPr>
                <w:rFonts w:ascii="IBM Plex Sans" w:cs="IBM Plex Sans" w:eastAsia="IBM Plex Sans" w:hAnsi="IBM Plex Sans"/>
                <w:color w:val="525252"/>
                <w:sz w:val="20"/>
                <w:szCs w:val="20"/>
              </w:rPr>
              <w:t xml:space="preserve">Upload an .xlsx file or type out what you know about competitor products installed at this account (e.g. 'Currently running Azure Databricks and Salesforce CRM'). This drives the competitive intelligence in the roadmap. Optional.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100"/>
        <w:gridCol w:w="100"/>
      </w:tblGrid>
      <w:tr>
        <w:tc>
          <w:tcPr>
            <w:tcW w:type="pct" w:w="12%"/>
            <w:shd w:color="0F62FE" w:val="solid"/>
          </w:tcPr>
          <w:p>
            <w:pPr>
              <w:jc w:val="center"/>
            </w:pPr>
            <w:r>
              <w:rPr>
                <w:rFonts w:ascii="IBM Plex Sans" w:cs="IBM Plex Sans" w:eastAsia="IBM Plex Sans" w:hAnsi="IBM Plex Sans"/>
                <w:b/>
                <w:bCs/>
                <w:color w:val="FFFFFF"/>
                <w:sz w:val="22"/>
                <w:szCs w:val="22"/>
              </w:rPr>
              <w:t xml:space="preserve">Step 7</w:t>
            </w:r>
          </w:p>
        </w:tc>
        <w:tc>
          <w:tcPr>
            <w:tcW w:type="pct" w:w="88%"/>
            <w:shd w:color="F4F4F4" w:val="solid"/>
          </w:tcPr>
          <w:p>
            <w:pPr>
              <w:spacing w:after="60"/>
            </w:pPr>
            <w:r>
              <w:rPr>
                <w:rFonts w:ascii="IBM Plex Sans" w:cs="IBM Plex Sans" w:eastAsia="IBM Plex Sans" w:hAnsi="IBM Plex Sans"/>
                <w:b/>
                <w:bCs/>
                <w:color w:val="161616"/>
                <w:sz w:val="22"/>
                <w:szCs w:val="22"/>
              </w:rPr>
              <w:t xml:space="preserve">Opportunity Notes</w:t>
            </w:r>
          </w:p>
          <w:p>
            <w:r>
              <w:rPr>
                <w:rFonts w:ascii="IBM Plex Sans" w:cs="IBM Plex Sans" w:eastAsia="IBM Plex Sans" w:hAnsi="IBM Plex Sans"/>
                <w:color w:val="525252"/>
                <w:sz w:val="20"/>
                <w:szCs w:val="20"/>
              </w:rPr>
              <w:t xml:space="preserve">Describe the opportunity in your own words. Include your instinct on the deal, the client's stated priorities, key decision-makers, timeline pressure, budget signals, and anything else not covered in the uploaded documents. This is required and has significant impact on the output quality.</w:t>
            </w:r>
          </w:p>
        </w:tc>
      </w:tr>
    </w:tbl>
    <w:p>
      <w:pPr>
        <w:spacing w:after="200"/>
      </w:pPr>
    </w:p>
    <w:p>
      <w:pPr>
        <w:spacing w:after="140"/>
      </w:pPr>
      <w:r>
        <w:rPr>
          <w:rFonts w:ascii="IBM Plex Sans" w:cs="IBM Plex Sans" w:eastAsia="IBM Plex Sans" w:hAnsi="IBM Plex Sans"/>
          <w:color w:val="161616"/>
          <w:sz w:val="22"/>
          <w:szCs w:val="22"/>
        </w:rPr>
        <w:t xml:space="preserve">After completing Step 7, click 'Generate Roadmap'. The tool will:</w:t>
      </w:r>
    </w:p>
    <w:p>
      <w:pPr>
        <w:spacing w:after="80"/>
        <w:ind w:left="360"/>
      </w:pPr>
      <w:r>
        <w:rPr>
          <w:rFonts w:ascii="IBM Plex Sans" w:cs="IBM Plex Sans" w:eastAsia="IBM Plex Sans" w:hAnsi="IBM Plex Sans"/>
          <w:color w:val="161616"/>
          <w:sz w:val="22"/>
          <w:szCs w:val="22"/>
        </w:rPr>
        <w:t xml:space="preserve">• Search IBM AskSales for relevant playbooks, product content, and competitive intelligence</w:t>
      </w:r>
    </w:p>
    <w:p>
      <w:pPr>
        <w:spacing w:after="80"/>
        <w:ind w:left="360"/>
      </w:pPr>
      <w:r>
        <w:rPr>
          <w:rFonts w:ascii="IBM Plex Sans" w:cs="IBM Plex Sans" w:eastAsia="IBM Plex Sans" w:hAnsi="IBM Plex Sans"/>
          <w:color w:val="161616"/>
          <w:sz w:val="22"/>
          <w:szCs w:val="22"/>
        </w:rPr>
        <w:t xml:space="preserve">• Detect IBM products and competitors mentioned in your inputs and run targeted queries</w:t>
      </w:r>
    </w:p>
    <w:p>
      <w:pPr>
        <w:spacing w:after="80"/>
        <w:ind w:left="360"/>
      </w:pPr>
      <w:r>
        <w:rPr>
          <w:rFonts w:ascii="IBM Plex Sans" w:cs="IBM Plex Sans" w:eastAsia="IBM Plex Sans" w:hAnsi="IBM Plex Sans"/>
          <w:color w:val="161616"/>
          <w:sz w:val="22"/>
          <w:szCs w:val="22"/>
        </w:rPr>
        <w:t xml:space="preserve">• Send all context to IBM Watson Assistant (Bob AI engine) for synthesis</w:t>
      </w:r>
    </w:p>
    <w:p>
      <w:pPr>
        <w:spacing w:after="80"/>
        <w:ind w:left="360"/>
      </w:pPr>
      <w:r>
        <w:rPr>
          <w:rFonts w:ascii="IBM Plex Sans" w:cs="IBM Plex Sans" w:eastAsia="IBM Plex Sans" w:hAnsi="IBM Plex Sans"/>
          <w:color w:val="161616"/>
          <w:sz w:val="22"/>
          <w:szCs w:val="22"/>
        </w:rPr>
        <w:t xml:space="preserve">• Return a structured 4-section roadmap — typically in 15–30 seconds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tblGrid>
      <w:tr>
        <w:tc>
          <w:tcPr>
            <w:shd w:color="D0E2FF" w:val="solid"/>
          </w:tcPr>
          <w:p>
            <w:pPr>
              <w:spacing w:after="60"/>
            </w:pPr>
            <w:r>
              <w:rPr>
                <w:rFonts w:ascii="IBM Plex Sans" w:cs="IBM Plex Sans" w:eastAsia="IBM Plex Sans" w:hAnsi="IBM Plex Sans"/>
                <w:b/>
                <w:bCs/>
                <w:color w:val="003399"/>
                <w:sz w:val="20"/>
                <w:szCs w:val="20"/>
              </w:rPr>
              <w:t xml:space="preserve">💡 Tip</w:t>
            </w:r>
          </w:p>
          <w:p>
            <w:r>
              <w:rPr>
                <w:rFonts w:ascii="IBM Plex Sans" w:cs="IBM Plex Sans" w:eastAsia="IBM Plex Sans" w:hAnsi="IBM Plex Sans"/>
                <w:color w:val="161616"/>
                <w:sz w:val="20"/>
                <w:szCs w:val="20"/>
              </w:rPr>
              <w:t xml:space="preserve">You can include competitor names like 'Azure', 'AWS', 'Salesforce', or 'Oracle' in your opportunity notes or competitive info — the tool will automatically fetch targeted competitive intel from AskSales for each one.</w:t>
            </w:r>
          </w:p>
        </w:tc>
      </w:tr>
    </w:tbl>
    <w:p>
      <w:pPr>
        <w:pBdr>
          <w:bottom w:val="single" w:color="0F62FE" w:sz="6"/>
        </w:pBdr>
        <w:spacing w:after="200" w:before="560"/>
      </w:pPr>
      <w:r>
        <w:rPr>
          <w:rFonts w:ascii="IBM Plex Sans" w:cs="IBM Plex Sans" w:eastAsia="IBM Plex Sans" w:hAnsi="IBM Plex Sans"/>
          <w:b/>
          <w:bCs/>
          <w:color w:val="0F62FE"/>
          <w:sz w:val="36"/>
          <w:szCs w:val="36"/>
        </w:rPr>
        <w:t xml:space="preserve">5. Understanding the Output</w:t>
      </w:r>
    </w:p>
    <w:p>
      <w:pPr>
        <w:spacing w:after="140"/>
      </w:pPr>
      <w:r>
        <w:rPr>
          <w:rFonts w:ascii="IBM Plex Sans" w:cs="IBM Plex Sans" w:eastAsia="IBM Plex Sans" w:hAnsi="IBM Plex Sans"/>
          <w:color w:val="161616"/>
          <w:sz w:val="22"/>
          <w:szCs w:val="22"/>
        </w:rPr>
        <w:t xml:space="preserve">The roadmap is rendered on screen inside IBM Bob as four expandable sections. Each section is independently readable and copyable.</w:t>
      </w:r>
    </w:p>
    <w:p>
      <w:pPr>
        <w:spacing w:after="200"/>
      </w:pPr>
    </w:p>
    <w:p>
      <w:pPr>
        <w:spacing w:after="140" w:before="360"/>
      </w:pPr>
      <w:r>
        <w:rPr>
          <w:rFonts w:ascii="IBM Plex Sans" w:cs="IBM Plex Sans" w:eastAsia="IBM Plex Sans" w:hAnsi="IBM Plex Sans"/>
          <w:b/>
          <w:bCs/>
          <w:color w:val="161616"/>
          <w:sz w:val="26"/>
          <w:szCs w:val="26"/>
        </w:rPr>
        <w:t xml:space="preserve">5.1  Section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gridCol w:w="100"/>
      </w:tblGrid>
      <w:tr>
        <w:tc>
          <w:tcPr>
            <w:shd w:color="0F62FE" w:val="solid"/>
          </w:tcPr>
          <w:p>
            <w:r>
              <w:rPr>
                <w:rFonts w:ascii="IBM Plex Sans" w:cs="IBM Plex Sans" w:eastAsia="IBM Plex Sans" w:hAnsi="IBM Plex Sans"/>
                <w:b/>
                <w:bCs/>
                <w:color w:val="FFFFFF"/>
                <w:sz w:val="20"/>
                <w:szCs w:val="20"/>
              </w:rPr>
              <w:t xml:space="preserve">Section</w:t>
            </w:r>
          </w:p>
        </w:tc>
        <w:tc>
          <w:tcPr>
            <w:shd w:color="0F62FE" w:val="solid"/>
          </w:tcPr>
          <w:p>
            <w:r>
              <w:rPr>
                <w:rFonts w:ascii="IBM Plex Sans" w:cs="IBM Plex Sans" w:eastAsia="IBM Plex Sans" w:hAnsi="IBM Plex Sans"/>
                <w:b/>
                <w:bCs/>
                <w:color w:val="FFFFFF"/>
                <w:sz w:val="20"/>
                <w:szCs w:val="20"/>
              </w:rPr>
              <w:t xml:space="preserve">What it contains</w:t>
            </w:r>
          </w:p>
        </w:tc>
        <w:tc>
          <w:tcPr>
            <w:shd w:color="0F62FE" w:val="solid"/>
          </w:tcPr>
          <w:p>
            <w:r>
              <w:rPr>
                <w:rFonts w:ascii="IBM Plex Sans" w:cs="IBM Plex Sans" w:eastAsia="IBM Plex Sans" w:hAnsi="IBM Plex Sans"/>
                <w:b/>
                <w:bCs/>
                <w:color w:val="FFFFFF"/>
                <w:sz w:val="20"/>
                <w:szCs w:val="20"/>
              </w:rPr>
              <w:t xml:space="preserve">How to use it</w:t>
            </w:r>
          </w:p>
        </w:tc>
      </w:tr>
      <w:tr>
        <w:tc>
          <w:tcPr>
            <w:shd w:color="F4F4F4" w:val="solid"/>
          </w:tcPr>
          <w:p>
            <w:r>
              <w:rPr>
                <w:rFonts w:ascii="IBM Plex Sans" w:cs="IBM Plex Sans" w:eastAsia="IBM Plex Sans" w:hAnsi="IBM Plex Sans"/>
                <w:color w:val="161616"/>
                <w:sz w:val="20"/>
                <w:szCs w:val="20"/>
              </w:rPr>
              <w:t xml:space="preserve">1. Client Overview</w:t>
            </w:r>
          </w:p>
        </w:tc>
        <w:tc>
          <w:tcPr>
            <w:shd w:color="F4F4F4" w:val="solid"/>
          </w:tcPr>
          <w:p>
            <w:r>
              <w:rPr>
                <w:rFonts w:ascii="IBM Plex Sans" w:cs="IBM Plex Sans" w:eastAsia="IBM Plex Sans" w:hAnsi="IBM Plex Sans"/>
                <w:color w:val="161616"/>
                <w:sz w:val="20"/>
                <w:szCs w:val="20"/>
              </w:rPr>
              <w:t xml:space="preserve">Client background, IBM relationship, key stakeholders, strategic priorities, recent news</w:t>
            </w:r>
          </w:p>
        </w:tc>
        <w:tc>
          <w:tcPr>
            <w:shd w:color="F4F4F4" w:val="solid"/>
          </w:tcPr>
          <w:p>
            <w:r>
              <w:rPr>
                <w:rFonts w:ascii="IBM Plex Sans" w:cs="IBM Plex Sans" w:eastAsia="IBM Plex Sans" w:hAnsi="IBM Plex Sans"/>
                <w:color w:val="161616"/>
                <w:sz w:val="20"/>
                <w:szCs w:val="20"/>
              </w:rPr>
              <w:t xml:space="preserve">Use as a briefing document before client meetings or to onboard a new team member to the account</w:t>
            </w:r>
          </w:p>
        </w:tc>
      </w:tr>
      <w:tr>
        <w:tc>
          <w:tcPr>
            <w:shd w:color="FFFFFF" w:val="solid"/>
          </w:tcPr>
          <w:p>
            <w:r>
              <w:rPr>
                <w:rFonts w:ascii="IBM Plex Sans" w:cs="IBM Plex Sans" w:eastAsia="IBM Plex Sans" w:hAnsi="IBM Plex Sans"/>
                <w:color w:val="161616"/>
                <w:sz w:val="20"/>
                <w:szCs w:val="20"/>
              </w:rPr>
              <w:t xml:space="preserve">2. IBM Cloud Opportunities</w:t>
            </w:r>
          </w:p>
        </w:tc>
        <w:tc>
          <w:tcPr>
            <w:shd w:color="FFFFFF" w:val="solid"/>
          </w:tcPr>
          <w:p>
            <w:r>
              <w:rPr>
                <w:rFonts w:ascii="IBM Plex Sans" w:cs="IBM Plex Sans" w:eastAsia="IBM Plex Sans" w:hAnsi="IBM Plex Sans"/>
                <w:color w:val="161616"/>
                <w:sz w:val="20"/>
                <w:szCs w:val="20"/>
              </w:rPr>
              <w:t xml:space="preserve">Specific IBM solutions mapped to client needs, expansion recommendations, business value points</w:t>
            </w:r>
          </w:p>
        </w:tc>
        <w:tc>
          <w:tcPr>
            <w:shd w:color="FFFFFF" w:val="solid"/>
          </w:tcPr>
          <w:p>
            <w:r>
              <w:rPr>
                <w:rFonts w:ascii="IBM Plex Sans" w:cs="IBM Plex Sans" w:eastAsia="IBM Plex Sans" w:hAnsi="IBM Plex Sans"/>
                <w:color w:val="161616"/>
                <w:sz w:val="20"/>
                <w:szCs w:val="20"/>
              </w:rPr>
              <w:t xml:space="preserve">Use as the basis for your solution proposal, discovery conversation agenda, or executive briefing</w:t>
            </w:r>
          </w:p>
        </w:tc>
      </w:tr>
      <w:tr>
        <w:tc>
          <w:tcPr>
            <w:shd w:color="F4F4F4" w:val="solid"/>
          </w:tcPr>
          <w:p>
            <w:r>
              <w:rPr>
                <w:rFonts w:ascii="IBM Plex Sans" w:cs="IBM Plex Sans" w:eastAsia="IBM Plex Sans" w:hAnsi="IBM Plex Sans"/>
                <w:color w:val="161616"/>
                <w:sz w:val="20"/>
                <w:szCs w:val="20"/>
              </w:rPr>
              <w:t xml:space="preserve">3. Obstacles &amp; Risks</w:t>
            </w:r>
          </w:p>
        </w:tc>
        <w:tc>
          <w:tcPr>
            <w:shd w:color="F4F4F4" w:val="solid"/>
          </w:tcPr>
          <w:p>
            <w:r>
              <w:rPr>
                <w:rFonts w:ascii="IBM Plex Sans" w:cs="IBM Plex Sans" w:eastAsia="IBM Plex Sans" w:hAnsi="IBM Plex Sans"/>
                <w:color w:val="161616"/>
                <w:sz w:val="20"/>
                <w:szCs w:val="20"/>
              </w:rPr>
              <w:t xml:space="preserve">Competitor analysis, objection handling scripts, budget and procurement blockers</w:t>
            </w:r>
          </w:p>
        </w:tc>
        <w:tc>
          <w:tcPr>
            <w:shd w:color="F4F4F4" w:val="solid"/>
          </w:tcPr>
          <w:p>
            <w:r>
              <w:rPr>
                <w:rFonts w:ascii="IBM Plex Sans" w:cs="IBM Plex Sans" w:eastAsia="IBM Plex Sans" w:hAnsi="IBM Plex Sans"/>
                <w:color w:val="161616"/>
                <w:sz w:val="20"/>
                <w:szCs w:val="20"/>
              </w:rPr>
              <w:t xml:space="preserve">Use to prepare for objections in client meetings, to brief your technical team, or to build a competitive battle card</w:t>
            </w:r>
          </w:p>
        </w:tc>
      </w:tr>
      <w:tr>
        <w:tc>
          <w:tcPr>
            <w:shd w:color="FFFFFF" w:val="solid"/>
          </w:tcPr>
          <w:p>
            <w:r>
              <w:rPr>
                <w:rFonts w:ascii="IBM Plex Sans" w:cs="IBM Plex Sans" w:eastAsia="IBM Plex Sans" w:hAnsi="IBM Plex Sans"/>
                <w:color w:val="161616"/>
                <w:sz w:val="20"/>
                <w:szCs w:val="20"/>
              </w:rPr>
              <w:t xml:space="preserve">4. Quote &amp; BOM Instructions</w:t>
            </w:r>
          </w:p>
        </w:tc>
        <w:tc>
          <w:tcPr>
            <w:shd w:color="FFFFFF" w:val="solid"/>
          </w:tcPr>
          <w:p>
            <w:r>
              <w:rPr>
                <w:rFonts w:ascii="IBM Plex Sans" w:cs="IBM Plex Sans" w:eastAsia="IBM Plex Sans" w:hAnsi="IBM Plex Sans"/>
                <w:color w:val="161616"/>
                <w:sz w:val="20"/>
                <w:szCs w:val="20"/>
              </w:rPr>
              <w:t xml:space="preserve">Recommended product SKUs, pricing guidance, BOM line items, configuration notes</w:t>
            </w:r>
          </w:p>
        </w:tc>
        <w:tc>
          <w:tcPr>
            <w:shd w:color="FFFFFF" w:val="solid"/>
          </w:tcPr>
          <w:p>
            <w:r>
              <w:rPr>
                <w:rFonts w:ascii="IBM Plex Sans" w:cs="IBM Plex Sans" w:eastAsia="IBM Plex Sans" w:hAnsi="IBM Plex Sans"/>
                <w:color w:val="161616"/>
                <w:sz w:val="20"/>
                <w:szCs w:val="20"/>
              </w:rPr>
              <w:t xml:space="preserve">Use as a starting point for your formal quote — hand off to your technical sales specialist or pricing team</w:t>
            </w:r>
          </w:p>
        </w:tc>
      </w:tr>
    </w:tbl>
    <w:p>
      <w:pPr>
        <w:spacing w:after="200"/>
      </w:pPr>
    </w:p>
    <w:p>
      <w:pPr>
        <w:spacing w:after="140" w:before="360"/>
      </w:pPr>
      <w:r>
        <w:rPr>
          <w:rFonts w:ascii="IBM Plex Sans" w:cs="IBM Plex Sans" w:eastAsia="IBM Plex Sans" w:hAnsi="IBM Plex Sans"/>
          <w:b/>
          <w:bCs/>
          <w:color w:val="161616"/>
          <w:sz w:val="26"/>
          <w:szCs w:val="26"/>
        </w:rPr>
        <w:t xml:space="preserve">5.2  Downloading as a Word Document</w:t>
      </w:r>
    </w:p>
    <w:p>
      <w:pPr>
        <w:spacing w:after="120"/>
        <w:ind w:left="360"/>
      </w:pPr>
      <w:r>
        <w:rPr>
          <w:rFonts w:ascii="IBM Plex Sans" w:cs="IBM Plex Sans" w:eastAsia="IBM Plex Sans" w:hAnsi="IBM Plex Sans"/>
          <w:b/>
          <w:bCs/>
          <w:color w:val="0F62FE"/>
          <w:sz w:val="22"/>
          <w:szCs w:val="22"/>
        </w:rPr>
        <w:t xml:space="preserve">1.  </w:t>
      </w:r>
      <w:r>
        <w:rPr>
          <w:rFonts w:ascii="IBM Plex Sans" w:cs="IBM Plex Sans" w:eastAsia="IBM Plex Sans" w:hAnsi="IBM Plex Sans"/>
          <w:color w:val="161616"/>
          <w:sz w:val="22"/>
          <w:szCs w:val="22"/>
        </w:rPr>
        <w:t xml:space="preserve">After the roadmap is generated, click the '⬇ Download as Word' button in the top right</w:t>
      </w:r>
    </w:p>
    <w:p>
      <w:pPr>
        <w:spacing w:after="120"/>
        <w:ind w:left="360"/>
      </w:pPr>
      <w:r>
        <w:rPr>
          <w:rFonts w:ascii="IBM Plex Sans" w:cs="IBM Plex Sans" w:eastAsia="IBM Plex Sans" w:hAnsi="IBM Plex Sans"/>
          <w:b/>
          <w:bCs/>
          <w:color w:val="0F62FE"/>
          <w:sz w:val="22"/>
          <w:szCs w:val="22"/>
        </w:rPr>
        <w:t xml:space="preserve">2.  </w:t>
      </w:r>
      <w:r>
        <w:rPr>
          <w:rFonts w:ascii="IBM Plex Sans" w:cs="IBM Plex Sans" w:eastAsia="IBM Plex Sans" w:hAnsi="IBM Plex Sans"/>
          <w:color w:val="161616"/>
          <w:sz w:val="22"/>
          <w:szCs w:val="22"/>
        </w:rPr>
        <w:t xml:space="preserve">A formatted .docx file is downloaded to your computer</w:t>
      </w:r>
    </w:p>
    <w:p>
      <w:pPr>
        <w:spacing w:after="120"/>
        <w:ind w:left="360"/>
      </w:pPr>
      <w:r>
        <w:rPr>
          <w:rFonts w:ascii="IBM Plex Sans" w:cs="IBM Plex Sans" w:eastAsia="IBM Plex Sans" w:hAnsi="IBM Plex Sans"/>
          <w:b/>
          <w:bCs/>
          <w:color w:val="0F62FE"/>
          <w:sz w:val="22"/>
          <w:szCs w:val="22"/>
        </w:rPr>
        <w:t xml:space="preserve">3.  </w:t>
      </w:r>
      <w:r>
        <w:rPr>
          <w:rFonts w:ascii="IBM Plex Sans" w:cs="IBM Plex Sans" w:eastAsia="IBM Plex Sans" w:hAnsi="IBM Plex Sans"/>
          <w:color w:val="161616"/>
          <w:sz w:val="22"/>
          <w:szCs w:val="22"/>
        </w:rPr>
        <w:t xml:space="preserve">Open in Microsoft Word — all four sections are formatted with IBM-style headings</w:t>
      </w:r>
    </w:p>
    <w:p>
      <w:pPr>
        <w:spacing w:after="120"/>
        <w:ind w:left="360"/>
      </w:pPr>
      <w:r>
        <w:rPr>
          <w:rFonts w:ascii="IBM Plex Sans" w:cs="IBM Plex Sans" w:eastAsia="IBM Plex Sans" w:hAnsi="IBM Plex Sans"/>
          <w:b/>
          <w:bCs/>
          <w:color w:val="0F62FE"/>
          <w:sz w:val="22"/>
          <w:szCs w:val="22"/>
        </w:rPr>
        <w:t xml:space="preserve">4.  </w:t>
      </w:r>
      <w:r>
        <w:rPr>
          <w:rFonts w:ascii="IBM Plex Sans" w:cs="IBM Plex Sans" w:eastAsia="IBM Plex Sans" w:hAnsi="IBM Plex Sans"/>
          <w:color w:val="161616"/>
          <w:sz w:val="22"/>
          <w:szCs w:val="22"/>
        </w:rPr>
        <w:t xml:space="preserve">Edit, add your branding, and share as needed</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tblGrid>
      <w:tr>
        <w:tc>
          <w:tcPr>
            <w:shd w:color="D0E2FF" w:val="solid"/>
          </w:tcPr>
          <w:p>
            <w:pPr>
              <w:spacing w:after="60"/>
            </w:pPr>
            <w:r>
              <w:rPr>
                <w:rFonts w:ascii="IBM Plex Sans" w:cs="IBM Plex Sans" w:eastAsia="IBM Plex Sans" w:hAnsi="IBM Plex Sans"/>
                <w:b/>
                <w:bCs/>
                <w:color w:val="003399"/>
                <w:sz w:val="20"/>
                <w:szCs w:val="20"/>
              </w:rPr>
              <w:t xml:space="preserve">💡 Tip</w:t>
            </w:r>
          </w:p>
          <w:p>
            <w:r>
              <w:rPr>
                <w:rFonts w:ascii="IBM Plex Sans" w:cs="IBM Plex Sans" w:eastAsia="IBM Plex Sans" w:hAnsi="IBM Plex Sans"/>
                <w:color w:val="161616"/>
                <w:sz w:val="20"/>
                <w:szCs w:val="20"/>
              </w:rPr>
              <w:t xml:space="preserve">The Word document is a starting point — always review and personalise the content before sharing with a client or manager. The AI generates based on the inputs you provide, so the more specific your inputs, the less editing you'll need.</w:t>
            </w:r>
          </w:p>
        </w:tc>
      </w:tr>
    </w:tbl>
    <w:p>
      <w:pPr>
        <w:spacing w:after="140" w:before="360"/>
      </w:pPr>
      <w:r>
        <w:rPr>
          <w:rFonts w:ascii="IBM Plex Sans" w:cs="IBM Plex Sans" w:eastAsia="IBM Plex Sans" w:hAnsi="IBM Plex Sans"/>
          <w:b/>
          <w:bCs/>
          <w:color w:val="161616"/>
          <w:sz w:val="26"/>
          <w:szCs w:val="26"/>
        </w:rPr>
        <w:t xml:space="preserve">5.3  Starting a New Roadmap</w:t>
      </w:r>
    </w:p>
    <w:p>
      <w:pPr>
        <w:spacing w:after="140"/>
      </w:pPr>
      <w:r>
        <w:rPr>
          <w:rFonts w:ascii="IBM Plex Sans" w:cs="IBM Plex Sans" w:eastAsia="IBM Plex Sans" w:hAnsi="IBM Plex Sans"/>
          <w:color w:val="161616"/>
          <w:sz w:val="22"/>
          <w:szCs w:val="22"/>
        </w:rPr>
        <w:t xml:space="preserve">Click 'New Roadmap' at the top of the output to return to the workflow and generate a roadmap for a different client. Your previous roadmap is not saved — download it first if you need to keep it.</w:t>
      </w:r>
    </w:p>
    <w:p>
      <w:pPr>
        <w:spacing w:after="200"/>
      </w:pPr>
    </w:p>
    <w:p>
      <w:pPr>
        <w:pBdr>
          <w:bottom w:val="single" w:color="0F62FE" w:sz="6"/>
        </w:pBdr>
        <w:spacing w:after="200" w:before="560"/>
      </w:pPr>
      <w:r>
        <w:rPr>
          <w:rFonts w:ascii="IBM Plex Sans" w:cs="IBM Plex Sans" w:eastAsia="IBM Plex Sans" w:hAnsi="IBM Plex Sans"/>
          <w:b/>
          <w:bCs/>
          <w:color w:val="0F62FE"/>
          <w:sz w:val="36"/>
          <w:szCs w:val="36"/>
        </w:rPr>
        <w:t xml:space="preserve">6. Tips for Getting the Best Results</w:t>
      </w:r>
    </w:p>
    <w:p>
      <w:pPr>
        <w:spacing w:after="200"/>
      </w:pPr>
    </w:p>
    <w:p>
      <w:pPr>
        <w:spacing w:after="140" w:before="360"/>
      </w:pPr>
      <w:r>
        <w:rPr>
          <w:rFonts w:ascii="IBM Plex Sans" w:cs="IBM Plex Sans" w:eastAsia="IBM Plex Sans" w:hAnsi="IBM Plex Sans"/>
          <w:b/>
          <w:bCs/>
          <w:color w:val="161616"/>
          <w:sz w:val="26"/>
          <w:szCs w:val="26"/>
        </w:rPr>
        <w:t xml:space="preserve">Opportunity Notes are the most important input</w:t>
      </w:r>
    </w:p>
    <w:p>
      <w:pPr>
        <w:spacing w:after="140"/>
      </w:pPr>
      <w:r>
        <w:rPr>
          <w:rFonts w:ascii="IBM Plex Sans" w:cs="IBM Plex Sans" w:eastAsia="IBM Plex Sans" w:hAnsi="IBM Plex Sans"/>
          <w:color w:val="161616"/>
          <w:sz w:val="22"/>
          <w:szCs w:val="22"/>
        </w:rPr>
        <w:t xml:space="preserve">The AI uses your opportunity notes to personalise the entire roadmap. Be specific:</w:t>
      </w:r>
    </w:p>
    <w:p>
      <w:pPr>
        <w:spacing w:after="80"/>
        <w:ind w:left="360"/>
      </w:pPr>
      <w:r>
        <w:rPr>
          <w:rFonts w:ascii="IBM Plex Sans" w:cs="IBM Plex Sans" w:eastAsia="IBM Plex Sans" w:hAnsi="IBM Plex Sans"/>
          <w:color w:val="161616"/>
          <w:sz w:val="22"/>
          <w:szCs w:val="22"/>
        </w:rPr>
        <w:t xml:space="preserve">• Name the key decision-maker and their priorities (e.g. 'CTO is focused on reducing cloud costs by 30%')</w:t>
      </w:r>
    </w:p>
    <w:p>
      <w:pPr>
        <w:spacing w:after="80"/>
        <w:ind w:left="360"/>
      </w:pPr>
      <w:r>
        <w:rPr>
          <w:rFonts w:ascii="IBM Plex Sans" w:cs="IBM Plex Sans" w:eastAsia="IBM Plex Sans" w:hAnsi="IBM Plex Sans"/>
          <w:color w:val="161616"/>
          <w:sz w:val="22"/>
          <w:szCs w:val="22"/>
        </w:rPr>
        <w:t xml:space="preserve">• Mention the deal stage and timeline (e.g. 'Proposal due in 3 weeks, decision by end of quarter')</w:t>
      </w:r>
    </w:p>
    <w:p>
      <w:pPr>
        <w:spacing w:after="80"/>
        <w:ind w:left="360"/>
      </w:pPr>
      <w:r>
        <w:rPr>
          <w:rFonts w:ascii="IBM Plex Sans" w:cs="IBM Plex Sans" w:eastAsia="IBM Plex Sans" w:hAnsi="IBM Plex Sans"/>
          <w:color w:val="161616"/>
          <w:sz w:val="22"/>
          <w:szCs w:val="22"/>
        </w:rPr>
        <w:t xml:space="preserve">• State the primary IBM solution you're positioning (e.g. 'Proposing WatsonX.ai for their data science team')</w:t>
      </w:r>
    </w:p>
    <w:p>
      <w:pPr>
        <w:spacing w:after="80"/>
        <w:ind w:left="360"/>
      </w:pPr>
      <w:r>
        <w:rPr>
          <w:rFonts w:ascii="IBM Plex Sans" w:cs="IBM Plex Sans" w:eastAsia="IBM Plex Sans" w:hAnsi="IBM Plex Sans"/>
          <w:color w:val="161616"/>
          <w:sz w:val="22"/>
          <w:szCs w:val="22"/>
        </w:rPr>
        <w:t xml:space="preserve">• Name competitors explicitly (e.g. 'They are evaluating Azure OpenAI and Google Vertex AI')</w:t>
      </w:r>
    </w:p>
    <w:p>
      <w:pPr>
        <w:spacing w:after="200"/>
      </w:pPr>
    </w:p>
    <w:p>
      <w:pPr>
        <w:spacing w:after="140" w:before="360"/>
      </w:pPr>
      <w:r>
        <w:rPr>
          <w:rFonts w:ascii="IBM Plex Sans" w:cs="IBM Plex Sans" w:eastAsia="IBM Plex Sans" w:hAnsi="IBM Plex Sans"/>
          <w:b/>
          <w:bCs/>
          <w:color w:val="161616"/>
          <w:sz w:val="26"/>
          <w:szCs w:val="26"/>
        </w:rPr>
        <w:t xml:space="preserve">Name IBM products explicitly</w:t>
      </w:r>
    </w:p>
    <w:p>
      <w:pPr>
        <w:spacing w:after="140"/>
      </w:pPr>
      <w:r>
        <w:rPr>
          <w:rFonts w:ascii="IBM Plex Sans" w:cs="IBM Plex Sans" w:eastAsia="IBM Plex Sans" w:hAnsi="IBM Plex Sans"/>
          <w:color w:val="161616"/>
          <w:sz w:val="22"/>
          <w:szCs w:val="22"/>
        </w:rPr>
        <w:t xml:space="preserve">If you mention IBM product names in your notes or uploaded documents (e.g. 'WatsonX', 'OpenShift', 'Maximo', 'QRadar'), the tool automatically fetches targeted AskSales playbooks and content for those products. The more product names you include, the richer the AskSales content in the output.</w:t>
      </w:r>
    </w:p>
    <w:p>
      <w:pPr>
        <w:spacing w:after="200"/>
      </w:pPr>
    </w:p>
    <w:p>
      <w:pPr>
        <w:spacing w:after="140" w:before="360"/>
      </w:pPr>
      <w:r>
        <w:rPr>
          <w:rFonts w:ascii="IBM Plex Sans" w:cs="IBM Plex Sans" w:eastAsia="IBM Plex Sans" w:hAnsi="IBM Plex Sans"/>
          <w:b/>
          <w:bCs/>
          <w:color w:val="161616"/>
          <w:sz w:val="26"/>
          <w:szCs w:val="26"/>
        </w:rPr>
        <w:t xml:space="preserve">Upload real documents when possible</w:t>
      </w:r>
    </w:p>
    <w:p>
      <w:pPr>
        <w:spacing w:after="140"/>
      </w:pPr>
      <w:r>
        <w:rPr>
          <w:rFonts w:ascii="IBM Plex Sans" w:cs="IBM Plex Sans" w:eastAsia="IBM Plex Sans" w:hAnsi="IBM Plex Sans"/>
          <w:color w:val="161616"/>
          <w:sz w:val="22"/>
          <w:szCs w:val="22"/>
        </w:rPr>
        <w:t xml:space="preserve">A real account plan, existing BOM, or ISC export gives the tool factual grounding that significantly improves the specificity of the output — especially for the Opportunities and BOM sections.</w:t>
      </w:r>
    </w:p>
    <w:p>
      <w:pPr>
        <w:spacing w:after="200"/>
      </w:pPr>
    </w:p>
    <w:p>
      <w:pPr>
        <w:spacing w:after="140" w:before="360"/>
      </w:pPr>
      <w:r>
        <w:rPr>
          <w:rFonts w:ascii="IBM Plex Sans" w:cs="IBM Plex Sans" w:eastAsia="IBM Plex Sans" w:hAnsi="IBM Plex Sans"/>
          <w:b/>
          <w:bCs/>
          <w:color w:val="161616"/>
          <w:sz w:val="26"/>
          <w:szCs w:val="26"/>
        </w:rPr>
        <w:t xml:space="preserve">Review before using</w:t>
      </w:r>
    </w:p>
    <w:p>
      <w:pPr>
        <w:spacing w:after="140"/>
      </w:pPr>
      <w:r>
        <w:rPr>
          <w:rFonts w:ascii="IBM Plex Sans" w:cs="IBM Plex Sans" w:eastAsia="IBM Plex Sans" w:hAnsi="IBM Plex Sans"/>
          <w:color w:val="161616"/>
          <w:sz w:val="22"/>
          <w:szCs w:val="22"/>
        </w:rPr>
        <w:t xml:space="preserve">The roadmap is AI-generated and should be treated as a high-quality first draft. Always review for accuracy, especially:</w:t>
      </w:r>
    </w:p>
    <w:p>
      <w:pPr>
        <w:spacing w:after="80"/>
        <w:ind w:left="360"/>
      </w:pPr>
      <w:r>
        <w:rPr>
          <w:rFonts w:ascii="IBM Plex Sans" w:cs="IBM Plex Sans" w:eastAsia="IBM Plex Sans" w:hAnsi="IBM Plex Sans"/>
          <w:color w:val="161616"/>
          <w:sz w:val="22"/>
          <w:szCs w:val="22"/>
        </w:rPr>
        <w:t xml:space="preserve">• Product SKUs and pricing in the BOM section — verify against current IBM pricing</w:t>
      </w:r>
    </w:p>
    <w:p>
      <w:pPr>
        <w:spacing w:after="80"/>
        <w:ind w:left="360"/>
      </w:pPr>
      <w:r>
        <w:rPr>
          <w:rFonts w:ascii="IBM Plex Sans" w:cs="IBM Plex Sans" w:eastAsia="IBM Plex Sans" w:hAnsi="IBM Plex Sans"/>
          <w:color w:val="161616"/>
          <w:sz w:val="22"/>
          <w:szCs w:val="22"/>
        </w:rPr>
        <w:t xml:space="preserve">• Stakeholder names and titles — the AI may infer these, not state them as facts</w:t>
      </w:r>
    </w:p>
    <w:p>
      <w:pPr>
        <w:spacing w:after="80"/>
        <w:ind w:left="360"/>
      </w:pPr>
      <w:r>
        <w:rPr>
          <w:rFonts w:ascii="IBM Plex Sans" w:cs="IBM Plex Sans" w:eastAsia="IBM Plex Sans" w:hAnsi="IBM Plex Sans"/>
          <w:color w:val="161616"/>
          <w:sz w:val="22"/>
          <w:szCs w:val="22"/>
        </w:rPr>
        <w:t xml:space="preserve">• Competitive claims — review against current competitive intelligence</w:t>
      </w:r>
    </w:p>
    <w:p>
      <w:pPr>
        <w:spacing w:after="200"/>
      </w:pPr>
    </w:p>
    <w:p>
      <w:pPr>
        <w:pBdr>
          <w:bottom w:val="single" w:color="0F62FE" w:sz="6"/>
        </w:pBdr>
        <w:spacing w:after="200" w:before="560"/>
      </w:pPr>
      <w:r>
        <w:rPr>
          <w:rFonts w:ascii="IBM Plex Sans" w:cs="IBM Plex Sans" w:eastAsia="IBM Plex Sans" w:hAnsi="IBM Plex Sans"/>
          <w:b/>
          <w:bCs/>
          <w:color w:val="0F62FE"/>
          <w:sz w:val="36"/>
          <w:szCs w:val="36"/>
        </w:rPr>
        <w:t xml:space="preserve">7.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gridCol w:w="100"/>
      </w:tblGrid>
      <w:tr>
        <w:tc>
          <w:tcPr>
            <w:shd w:color="0F62FE" w:val="solid"/>
          </w:tcPr>
          <w:p>
            <w:r>
              <w:rPr>
                <w:rFonts w:ascii="IBM Plex Sans" w:cs="IBM Plex Sans" w:eastAsia="IBM Plex Sans" w:hAnsi="IBM Plex Sans"/>
                <w:b/>
                <w:bCs/>
                <w:color w:val="FFFFFF"/>
                <w:sz w:val="20"/>
                <w:szCs w:val="20"/>
              </w:rPr>
              <w:t xml:space="preserve">Issue</w:t>
            </w:r>
          </w:p>
        </w:tc>
        <w:tc>
          <w:tcPr>
            <w:shd w:color="0F62FE" w:val="solid"/>
          </w:tcPr>
          <w:p>
            <w:r>
              <w:rPr>
                <w:rFonts w:ascii="IBM Plex Sans" w:cs="IBM Plex Sans" w:eastAsia="IBM Plex Sans" w:hAnsi="IBM Plex Sans"/>
                <w:b/>
                <w:bCs/>
                <w:color w:val="FFFFFF"/>
                <w:sz w:val="20"/>
                <w:szCs w:val="20"/>
              </w:rPr>
              <w:t xml:space="preserve">Likely cause</w:t>
            </w:r>
          </w:p>
        </w:tc>
        <w:tc>
          <w:tcPr>
            <w:shd w:color="0F62FE" w:val="solid"/>
          </w:tcPr>
          <w:p>
            <w:r>
              <w:rPr>
                <w:rFonts w:ascii="IBM Plex Sans" w:cs="IBM Plex Sans" w:eastAsia="IBM Plex Sans" w:hAnsi="IBM Plex Sans"/>
                <w:b/>
                <w:bCs/>
                <w:color w:val="FFFFFF"/>
                <w:sz w:val="20"/>
                <w:szCs w:val="20"/>
              </w:rPr>
              <w:t xml:space="preserve">What to do</w:t>
            </w:r>
          </w:p>
        </w:tc>
      </w:tr>
      <w:tr>
        <w:tc>
          <w:tcPr>
            <w:shd w:color="F4F4F4" w:val="solid"/>
          </w:tcPr>
          <w:p>
            <w:r>
              <w:rPr>
                <w:rFonts w:ascii="IBM Plex Sans" w:cs="IBM Plex Sans" w:eastAsia="IBM Plex Sans" w:hAnsi="IBM Plex Sans"/>
                <w:color w:val="161616"/>
                <w:sz w:val="20"/>
                <w:szCs w:val="20"/>
              </w:rPr>
              <w:t xml:space="preserve">Roadmap generation takes more than 60 seconds</w:t>
            </w:r>
          </w:p>
        </w:tc>
        <w:tc>
          <w:tcPr>
            <w:shd w:color="F4F4F4" w:val="solid"/>
          </w:tcPr>
          <w:p>
            <w:r>
              <w:rPr>
                <w:rFonts w:ascii="IBM Plex Sans" w:cs="IBM Plex Sans" w:eastAsia="IBM Plex Sans" w:hAnsi="IBM Plex Sans"/>
                <w:color w:val="161616"/>
                <w:sz w:val="20"/>
                <w:szCs w:val="20"/>
              </w:rPr>
              <w:t xml:space="preserve">Watson Assistant is processing a large prompt</w:t>
            </w:r>
          </w:p>
        </w:tc>
        <w:tc>
          <w:tcPr>
            <w:shd w:color="F4F4F4" w:val="solid"/>
          </w:tcPr>
          <w:p>
            <w:r>
              <w:rPr>
                <w:rFonts w:ascii="IBM Plex Sans" w:cs="IBM Plex Sans" w:eastAsia="IBM Plex Sans" w:hAnsi="IBM Plex Sans"/>
                <w:color w:val="161616"/>
                <w:sz w:val="20"/>
                <w:szCs w:val="20"/>
              </w:rPr>
              <w:t xml:space="preserve">Wait — it will complete. If it fails after 2 minutes, try again with slightly shorter opportunity notes</w:t>
            </w:r>
          </w:p>
        </w:tc>
      </w:tr>
      <w:tr>
        <w:tc>
          <w:tcPr>
            <w:shd w:color="FFFFFF" w:val="solid"/>
          </w:tcPr>
          <w:p>
            <w:r>
              <w:rPr>
                <w:rFonts w:ascii="IBM Plex Sans" w:cs="IBM Plex Sans" w:eastAsia="IBM Plex Sans" w:hAnsi="IBM Plex Sans"/>
                <w:color w:val="161616"/>
                <w:sz w:val="20"/>
                <w:szCs w:val="20"/>
              </w:rPr>
              <w:t xml:space="preserve">Sections show 'Content not generated'</w:t>
            </w:r>
          </w:p>
        </w:tc>
        <w:tc>
          <w:tcPr>
            <w:shd w:color="FFFFFF" w:val="solid"/>
          </w:tcPr>
          <w:p>
            <w:r>
              <w:rPr>
                <w:rFonts w:ascii="IBM Plex Sans" w:cs="IBM Plex Sans" w:eastAsia="IBM Plex Sans" w:hAnsi="IBM Plex Sans"/>
                <w:color w:val="161616"/>
                <w:sz w:val="20"/>
                <w:szCs w:val="20"/>
              </w:rPr>
              <w:t xml:space="preserve">Watson Assistant returned an incomplete response</w:t>
            </w:r>
          </w:p>
        </w:tc>
        <w:tc>
          <w:tcPr>
            <w:shd w:color="FFFFFF" w:val="solid"/>
          </w:tcPr>
          <w:p>
            <w:r>
              <w:rPr>
                <w:rFonts w:ascii="IBM Plex Sans" w:cs="IBM Plex Sans" w:eastAsia="IBM Plex Sans" w:hAnsi="IBM Plex Sans"/>
                <w:color w:val="161616"/>
                <w:sz w:val="20"/>
                <w:szCs w:val="20"/>
              </w:rPr>
              <w:t xml:space="preserve">Click 'New Roadmap', re-enter your inputs, and try again. Add more detail to opportunity notes.</w:t>
            </w:r>
          </w:p>
        </w:tc>
      </w:tr>
      <w:tr>
        <w:tc>
          <w:tcPr>
            <w:shd w:color="F4F4F4" w:val="solid"/>
          </w:tcPr>
          <w:p>
            <w:r>
              <w:rPr>
                <w:rFonts w:ascii="IBM Plex Sans" w:cs="IBM Plex Sans" w:eastAsia="IBM Plex Sans" w:hAnsi="IBM Plex Sans"/>
                <w:color w:val="161616"/>
                <w:sz w:val="20"/>
                <w:szCs w:val="20"/>
              </w:rPr>
              <w:t xml:space="preserve">File upload fails</w:t>
            </w:r>
          </w:p>
        </w:tc>
        <w:tc>
          <w:tcPr>
            <w:shd w:color="F4F4F4" w:val="solid"/>
          </w:tcPr>
          <w:p>
            <w:r>
              <w:rPr>
                <w:rFonts w:ascii="IBM Plex Sans" w:cs="IBM Plex Sans" w:eastAsia="IBM Plex Sans" w:hAnsi="IBM Plex Sans"/>
                <w:color w:val="161616"/>
                <w:sz w:val="20"/>
                <w:szCs w:val="20"/>
              </w:rPr>
              <w:t xml:space="preserve">File is too large (&gt;10MB) or unsupported format</w:t>
            </w:r>
          </w:p>
        </w:tc>
        <w:tc>
          <w:tcPr>
            <w:shd w:color="F4F4F4" w:val="solid"/>
          </w:tcPr>
          <w:p>
            <w:r>
              <w:rPr>
                <w:rFonts w:ascii="IBM Plex Sans" w:cs="IBM Plex Sans" w:eastAsia="IBM Plex Sans" w:hAnsi="IBM Plex Sans"/>
                <w:color w:val="161616"/>
                <w:sz w:val="20"/>
                <w:szCs w:val="20"/>
              </w:rPr>
              <w:t xml:space="preserve">Split large files or convert to a supported format (.docx, .pdf, .xlsx, .csv)</w:t>
            </w:r>
          </w:p>
        </w:tc>
      </w:tr>
      <w:tr>
        <w:tc>
          <w:tcPr>
            <w:shd w:color="FFFFFF" w:val="solid"/>
          </w:tcPr>
          <w:p>
            <w:r>
              <w:rPr>
                <w:rFonts w:ascii="IBM Plex Sans" w:cs="IBM Plex Sans" w:eastAsia="IBM Plex Sans" w:hAnsi="IBM Plex Sans"/>
                <w:color w:val="161616"/>
                <w:sz w:val="20"/>
                <w:szCs w:val="20"/>
              </w:rPr>
              <w:t xml:space="preserve">AskSales content is generic / not relevant</w:t>
            </w:r>
          </w:p>
        </w:tc>
        <w:tc>
          <w:tcPr>
            <w:shd w:color="FFFFFF" w:val="solid"/>
          </w:tcPr>
          <w:p>
            <w:r>
              <w:rPr>
                <w:rFonts w:ascii="IBM Plex Sans" w:cs="IBM Plex Sans" w:eastAsia="IBM Plex Sans" w:hAnsi="IBM Plex Sans"/>
                <w:color w:val="161616"/>
                <w:sz w:val="20"/>
                <w:szCs w:val="20"/>
              </w:rPr>
              <w:t xml:space="preserve">Client name or product names not recognised by AskSales</w:t>
            </w:r>
          </w:p>
        </w:tc>
        <w:tc>
          <w:tcPr>
            <w:shd w:color="FFFFFF" w:val="solid"/>
          </w:tcPr>
          <w:p>
            <w:r>
              <w:rPr>
                <w:rFonts w:ascii="IBM Plex Sans" w:cs="IBM Plex Sans" w:eastAsia="IBM Plex Sans" w:hAnsi="IBM Plex Sans"/>
                <w:color w:val="161616"/>
                <w:sz w:val="20"/>
                <w:szCs w:val="20"/>
              </w:rPr>
              <w:t xml:space="preserve">Add specific IBM product names and competitor names to your opportunity notes</w:t>
            </w:r>
          </w:p>
        </w:tc>
      </w:tr>
      <w:tr>
        <w:tc>
          <w:tcPr>
            <w:shd w:color="F4F4F4" w:val="solid"/>
          </w:tcPr>
          <w:p>
            <w:r>
              <w:rPr>
                <w:rFonts w:ascii="IBM Plex Sans" w:cs="IBM Plex Sans" w:eastAsia="IBM Plex Sans" w:hAnsi="IBM Plex Sans"/>
                <w:color w:val="161616"/>
                <w:sz w:val="20"/>
                <w:szCs w:val="20"/>
              </w:rPr>
              <w:t xml:space="preserve">Word download fails</w:t>
            </w:r>
          </w:p>
        </w:tc>
        <w:tc>
          <w:tcPr>
            <w:shd w:color="F4F4F4" w:val="solid"/>
          </w:tcPr>
          <w:p>
            <w:r>
              <w:rPr>
                <w:rFonts w:ascii="IBM Plex Sans" w:cs="IBM Plex Sans" w:eastAsia="IBM Plex Sans" w:hAnsi="IBM Plex Sans"/>
                <w:color w:val="161616"/>
                <w:sz w:val="20"/>
                <w:szCs w:val="20"/>
              </w:rPr>
              <w:t xml:space="preserve">Browser blocked the download</w:t>
            </w:r>
          </w:p>
        </w:tc>
        <w:tc>
          <w:tcPr>
            <w:shd w:color="F4F4F4" w:val="solid"/>
          </w:tcPr>
          <w:p>
            <w:r>
              <w:rPr>
                <w:rFonts w:ascii="IBM Plex Sans" w:cs="IBM Plex Sans" w:eastAsia="IBM Plex Sans" w:hAnsi="IBM Plex Sans"/>
                <w:color w:val="161616"/>
                <w:sz w:val="20"/>
                <w:szCs w:val="20"/>
              </w:rPr>
              <w:t xml:space="preserve">Check your browser's download permissions or try a different browser</w:t>
            </w:r>
          </w:p>
        </w:tc>
      </w:tr>
      <w:tr>
        <w:tc>
          <w:tcPr>
            <w:shd w:color="FFFFFF" w:val="solid"/>
          </w:tcPr>
          <w:p>
            <w:r>
              <w:rPr>
                <w:rFonts w:ascii="IBM Plex Sans" w:cs="IBM Plex Sans" w:eastAsia="IBM Plex Sans" w:hAnsi="IBM Plex Sans"/>
                <w:color w:val="161616"/>
                <w:sz w:val="20"/>
                <w:szCs w:val="20"/>
              </w:rPr>
              <w:t xml:space="preserve">'AI service is unavailable' error</w:t>
            </w:r>
          </w:p>
        </w:tc>
        <w:tc>
          <w:tcPr>
            <w:shd w:color="FFFFFF" w:val="solid"/>
          </w:tcPr>
          <w:p>
            <w:r>
              <w:rPr>
                <w:rFonts w:ascii="IBM Plex Sans" w:cs="IBM Plex Sans" w:eastAsia="IBM Plex Sans" w:hAnsi="IBM Plex Sans"/>
                <w:color w:val="161616"/>
                <w:sz w:val="20"/>
                <w:szCs w:val="20"/>
              </w:rPr>
              <w:t xml:space="preserve">Watson Assistant API key not configured</w:t>
            </w:r>
          </w:p>
        </w:tc>
        <w:tc>
          <w:tcPr>
            <w:shd w:color="FFFFFF" w:val="solid"/>
          </w:tcPr>
          <w:p>
            <w:r>
              <w:rPr>
                <w:rFonts w:ascii="IBM Plex Sans" w:cs="IBM Plex Sans" w:eastAsia="IBM Plex Sans" w:hAnsi="IBM Plex Sans"/>
                <w:color w:val="161616"/>
                <w:sz w:val="20"/>
                <w:szCs w:val="20"/>
              </w:rPr>
              <w:t xml:space="preserve">Contact your IBM Bob administrator — the API key needs to be set up</w:t>
            </w:r>
          </w:p>
        </w:tc>
      </w:tr>
    </w:tbl>
    <w:p>
      <w:pPr>
        <w:spacing w:after="200"/>
      </w:pPr>
    </w:p>
    <w:p>
      <w:pPr>
        <w:pBdr>
          <w:bottom w:val="single" w:color="0F62FE" w:sz="6"/>
        </w:pBdr>
        <w:spacing w:after="200" w:before="560"/>
      </w:pPr>
      <w:r>
        <w:rPr>
          <w:rFonts w:ascii="IBM Plex Sans" w:cs="IBM Plex Sans" w:eastAsia="IBM Plex Sans" w:hAnsi="IBM Plex Sans"/>
          <w:b/>
          <w:bCs/>
          <w:color w:val="0F62FE"/>
          <w:sz w:val="36"/>
          <w:szCs w:val="36"/>
        </w:rPr>
        <w:t xml:space="preserve">8. Data Privacy &amp; Security</w:t>
      </w:r>
    </w:p>
    <w:p>
      <w:pPr>
        <w:spacing w:after="140"/>
      </w:pPr>
      <w:r>
        <w:rPr>
          <w:rFonts w:ascii="IBM Plex Sans" w:cs="IBM Plex Sans" w:eastAsia="IBM Plex Sans" w:hAnsi="IBM Plex Sans"/>
          <w:color w:val="161616"/>
          <w:sz w:val="22"/>
          <w:szCs w:val="22"/>
        </w:rPr>
        <w:t xml:space="preserve">The Client Roadmap Generator is designed with IBM's data security standards in mind:</w:t>
      </w:r>
    </w:p>
    <w:p>
      <w:pPr>
        <w:spacing w:after="200"/>
      </w:pPr>
    </w:p>
    <w:p>
      <w:pPr>
        <w:spacing w:after="80"/>
        <w:ind w:left="360"/>
      </w:pPr>
      <w:r>
        <w:rPr>
          <w:rFonts w:ascii="IBM Plex Sans" w:cs="IBM Plex Sans" w:eastAsia="IBM Plex Sans" w:hAnsi="IBM Plex Sans"/>
          <w:color w:val="161616"/>
          <w:sz w:val="22"/>
          <w:szCs w:val="22"/>
        </w:rPr>
        <w:t xml:space="preserve">• All IBM API credentials (Watson Assistant, AskSales) are held server-side and never exposed to your browser</w:t>
      </w:r>
    </w:p>
    <w:p>
      <w:pPr>
        <w:spacing w:after="80"/>
        <w:ind w:left="360"/>
      </w:pPr>
      <w:r>
        <w:rPr>
          <w:rFonts w:ascii="IBM Plex Sans" w:cs="IBM Plex Sans" w:eastAsia="IBM Plex Sans" w:hAnsi="IBM Plex Sans"/>
          <w:color w:val="161616"/>
          <w:sz w:val="22"/>
          <w:szCs w:val="22"/>
        </w:rPr>
        <w:t xml:space="preserve">• Files you upload are parsed in memory on the server and are not stored permanently</w:t>
      </w:r>
    </w:p>
    <w:p>
      <w:pPr>
        <w:spacing w:after="80"/>
        <w:ind w:left="360"/>
      </w:pPr>
      <w:r>
        <w:rPr>
          <w:rFonts w:ascii="IBM Plex Sans" w:cs="IBM Plex Sans" w:eastAsia="IBM Plex Sans" w:hAnsi="IBM Plex Sans"/>
          <w:color w:val="161616"/>
          <w:sz w:val="22"/>
          <w:szCs w:val="22"/>
        </w:rPr>
        <w:t xml:space="preserve">• Your seller email address is passed to Watson Assistant as required by the AskSales API for audit purposes</w:t>
      </w:r>
    </w:p>
    <w:p>
      <w:pPr>
        <w:spacing w:after="80"/>
        <w:ind w:left="360"/>
      </w:pPr>
      <w:r>
        <w:rPr>
          <w:rFonts w:ascii="IBM Plex Sans" w:cs="IBM Plex Sans" w:eastAsia="IBM Plex Sans" w:hAnsi="IBM Plex Sans"/>
          <w:color w:val="161616"/>
          <w:sz w:val="22"/>
          <w:szCs w:val="22"/>
        </w:rPr>
        <w:t xml:space="preserve">• Do not upload documents containing personally identifiable information (PII) about end customers beyond what is necessary for the roadmap</w:t>
      </w:r>
    </w:p>
    <w:p>
      <w:pPr>
        <w:spacing w:after="80"/>
        <w:ind w:left="360"/>
      </w:pPr>
      <w:r>
        <w:rPr>
          <w:rFonts w:ascii="IBM Plex Sans" w:cs="IBM Plex Sans" w:eastAsia="IBM Plex Sans" w:hAnsi="IBM Plex Sans"/>
          <w:color w:val="161616"/>
          <w:sz w:val="22"/>
          <w:szCs w:val="22"/>
        </w:rPr>
        <w:t xml:space="preserve">• The tool operates within IBM's internal infrastructure — data does not leave IBM's cloud environment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tblGrid>
      <w:tr>
        <w:tc>
          <w:tcPr>
            <w:shd w:color="FFF8E1" w:val="solid"/>
          </w:tcPr>
          <w:p>
            <w:pPr>
              <w:spacing w:after="60"/>
            </w:pPr>
            <w:r>
              <w:rPr>
                <w:rFonts w:ascii="IBM Plex Sans" w:cs="IBM Plex Sans" w:eastAsia="IBM Plex Sans" w:hAnsi="IBM Plex Sans"/>
                <w:b/>
                <w:bCs/>
                <w:color w:val="8A3800"/>
                <w:sz w:val="20"/>
                <w:szCs w:val="20"/>
              </w:rPr>
              <w:t xml:space="preserve">⚠ Important</w:t>
            </w:r>
          </w:p>
          <w:p>
            <w:r>
              <w:rPr>
                <w:rFonts w:ascii="IBM Plex Sans" w:cs="IBM Plex Sans" w:eastAsia="IBM Plex Sans" w:hAnsi="IBM Plex Sans"/>
                <w:color w:val="161616"/>
                <w:sz w:val="20"/>
                <w:szCs w:val="20"/>
              </w:rPr>
              <w:t xml:space="preserve">Do not paste client passwords, financial account numbers, or other sensitive PII into the free-text fields. Opportunity notes and client overviews should contain business context only.</w:t>
            </w:r>
          </w:p>
        </w:tc>
      </w:tr>
    </w:tbl>
    <w:p>
      <w:pPr>
        <w:pBdr>
          <w:bottom w:val="single" w:color="0F62FE" w:sz="6"/>
        </w:pBdr>
        <w:spacing w:after="200" w:before="560"/>
      </w:pPr>
      <w:r>
        <w:rPr>
          <w:rFonts w:ascii="IBM Plex Sans" w:cs="IBM Plex Sans" w:eastAsia="IBM Plex Sans" w:hAnsi="IBM Plex Sans"/>
          <w:b/>
          <w:bCs/>
          <w:color w:val="0F62FE"/>
          <w:sz w:val="36"/>
          <w:szCs w:val="36"/>
        </w:rPr>
        <w:t xml:space="preserve">9. Getting Help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tblGrid>
      <w:tr>
        <w:tc>
          <w:tcPr>
            <w:shd w:color="0F62FE" w:val="solid"/>
          </w:tcPr>
          <w:p>
            <w:r>
              <w:rPr>
                <w:rFonts w:ascii="IBM Plex Sans" w:cs="IBM Plex Sans" w:eastAsia="IBM Plex Sans" w:hAnsi="IBM Plex Sans"/>
                <w:b/>
                <w:bCs/>
                <w:color w:val="FFFFFF"/>
                <w:sz w:val="20"/>
                <w:szCs w:val="20"/>
              </w:rPr>
              <w:t xml:space="preserve">Item</w:t>
            </w:r>
          </w:p>
        </w:tc>
        <w:tc>
          <w:tcPr>
            <w:shd w:color="0F62FE" w:val="solid"/>
          </w:tcPr>
          <w:p>
            <w:r>
              <w:rPr>
                <w:rFonts w:ascii="IBM Plex Sans" w:cs="IBM Plex Sans" w:eastAsia="IBM Plex Sans" w:hAnsi="IBM Plex Sans"/>
                <w:b/>
                <w:bCs/>
                <w:color w:val="FFFFFF"/>
                <w:sz w:val="20"/>
                <w:szCs w:val="20"/>
              </w:rPr>
              <w:t xml:space="preserve">Detail</w:t>
            </w:r>
          </w:p>
        </w:tc>
      </w:tr>
      <w:tr>
        <w:tc>
          <w:tcPr>
            <w:tcW w:type="pct" w:w="35%"/>
            <w:shd w:color="F4F4F4" w:val="solid"/>
          </w:tcPr>
          <w:p>
            <w:r>
              <w:rPr>
                <w:rFonts w:ascii="IBM Plex Sans" w:cs="IBM Plex Sans" w:eastAsia="IBM Plex Sans" w:hAnsi="IBM Plex Sans"/>
                <w:color w:val="161616"/>
                <w:sz w:val="20"/>
                <w:szCs w:val="20"/>
              </w:rPr>
              <w:t xml:space="preserve">Technical issues / errors</w:t>
            </w:r>
          </w:p>
        </w:tc>
        <w:tc>
          <w:tcPr>
            <w:tcW w:type="pct" w:w="65%"/>
            <w:shd w:color="F4F4F4" w:val="solid"/>
          </w:tcPr>
          <w:p>
            <w:r>
              <w:rPr>
                <w:rFonts w:ascii="IBM Plex Sans" w:cs="IBM Plex Sans" w:eastAsia="IBM Plex Sans" w:hAnsi="IBM Plex Sans"/>
                <w:color w:val="161616"/>
                <w:sz w:val="20"/>
                <w:szCs w:val="20"/>
              </w:rPr>
              <w:t xml:space="preserve">Contact your IBM Bob administrator or raise a ticket with the platform team</w:t>
            </w:r>
          </w:p>
        </w:tc>
      </w:tr>
      <w:tr>
        <w:tc>
          <w:tcPr>
            <w:tcW w:type="pct" w:w="35%"/>
            <w:shd w:color="FFFFFF" w:val="solid"/>
          </w:tcPr>
          <w:p>
            <w:r>
              <w:rPr>
                <w:rFonts w:ascii="IBM Plex Sans" w:cs="IBM Plex Sans" w:eastAsia="IBM Plex Sans" w:hAnsi="IBM Plex Sans"/>
                <w:color w:val="161616"/>
                <w:sz w:val="20"/>
                <w:szCs w:val="20"/>
              </w:rPr>
              <w:t xml:space="preserve">AskSales content questions</w:t>
            </w:r>
          </w:p>
        </w:tc>
        <w:tc>
          <w:tcPr>
            <w:tcW w:type="pct" w:w="65%"/>
            <w:shd w:color="FFFFFF" w:val="solid"/>
          </w:tcPr>
          <w:p>
            <w:r>
              <w:rPr>
                <w:rFonts w:ascii="IBM Plex Sans" w:cs="IBM Plex Sans" w:eastAsia="IBM Plex Sans" w:hAnsi="IBM Plex Sans"/>
                <w:color w:val="161616"/>
                <w:sz w:val="20"/>
                <w:szCs w:val="20"/>
              </w:rPr>
              <w:t xml:space="preserve">Contact the IBM AskSales team via the #asksales Slack channel</w:t>
            </w:r>
          </w:p>
        </w:tc>
      </w:tr>
      <w:tr>
        <w:tc>
          <w:tcPr>
            <w:tcW w:type="pct" w:w="35%"/>
            <w:shd w:color="F4F4F4" w:val="solid"/>
          </w:tcPr>
          <w:p>
            <w:r>
              <w:rPr>
                <w:rFonts w:ascii="IBM Plex Sans" w:cs="IBM Plex Sans" w:eastAsia="IBM Plex Sans" w:hAnsi="IBM Plex Sans"/>
                <w:color w:val="161616"/>
                <w:sz w:val="20"/>
                <w:szCs w:val="20"/>
              </w:rPr>
              <w:t xml:space="preserve">Watson Assistant / AI responses</w:t>
            </w:r>
          </w:p>
        </w:tc>
        <w:tc>
          <w:tcPr>
            <w:tcW w:type="pct" w:w="65%"/>
            <w:shd w:color="F4F4F4" w:val="solid"/>
          </w:tcPr>
          <w:p>
            <w:r>
              <w:rPr>
                <w:rFonts w:ascii="IBM Plex Sans" w:cs="IBM Plex Sans" w:eastAsia="IBM Plex Sans" w:hAnsi="IBM Plex Sans"/>
                <w:color w:val="161616"/>
                <w:sz w:val="20"/>
                <w:szCs w:val="20"/>
              </w:rPr>
              <w:t xml:space="preserve">If responses are consistently poor, share examples with the platform team for prompt tuning</w:t>
            </w:r>
          </w:p>
        </w:tc>
      </w:tr>
      <w:tr>
        <w:tc>
          <w:tcPr>
            <w:tcW w:type="pct" w:w="35%"/>
            <w:shd w:color="FFFFFF" w:val="solid"/>
          </w:tcPr>
          <w:p>
            <w:r>
              <w:rPr>
                <w:rFonts w:ascii="IBM Plex Sans" w:cs="IBM Plex Sans" w:eastAsia="IBM Plex Sans" w:hAnsi="IBM Plex Sans"/>
                <w:color w:val="161616"/>
                <w:sz w:val="20"/>
                <w:szCs w:val="20"/>
              </w:rPr>
              <w:t xml:space="preserve">ISC data export help</w:t>
            </w:r>
          </w:p>
        </w:tc>
        <w:tc>
          <w:tcPr>
            <w:tcW w:type="pct" w:w="65%"/>
            <w:shd w:color="FFFFFF" w:val="solid"/>
          </w:tcPr>
          <w:p>
            <w:r>
              <w:rPr>
                <w:rFonts w:ascii="IBM Plex Sans" w:cs="IBM Plex Sans" w:eastAsia="IBM Plex Sans" w:hAnsi="IBM Plex Sans"/>
                <w:color w:val="161616"/>
                <w:sz w:val="20"/>
                <w:szCs w:val="20"/>
              </w:rPr>
              <w:t xml:space="preserve">Contact your ISC system administrator or refer to the ISC user guide on w3</w:t>
            </w:r>
          </w:p>
        </w:tc>
      </w:tr>
      <w:tr>
        <w:tc>
          <w:tcPr>
            <w:tcW w:type="pct" w:w="35%"/>
            <w:shd w:color="F4F4F4" w:val="solid"/>
          </w:tcPr>
          <w:p>
            <w:r>
              <w:rPr>
                <w:rFonts w:ascii="IBM Plex Sans" w:cs="IBM Plex Sans" w:eastAsia="IBM Plex Sans" w:hAnsi="IBM Plex Sans"/>
                <w:color w:val="161616"/>
                <w:sz w:val="20"/>
                <w:szCs w:val="20"/>
              </w:rPr>
              <w:t xml:space="preserve">Feature requests</w:t>
            </w:r>
          </w:p>
        </w:tc>
        <w:tc>
          <w:tcPr>
            <w:tcW w:type="pct" w:w="65%"/>
            <w:shd w:color="F4F4F4" w:val="solid"/>
          </w:tcPr>
          <w:p>
            <w:r>
              <w:rPr>
                <w:rFonts w:ascii="IBM Plex Sans" w:cs="IBM Plex Sans" w:eastAsia="IBM Plex Sans" w:hAnsi="IBM Plex Sans"/>
                <w:color w:val="161616"/>
                <w:sz w:val="20"/>
                <w:szCs w:val="20"/>
              </w:rPr>
              <w:t xml:space="preserve">Raise with the platform team — the tool is actively being developed</w:t>
            </w:r>
          </w:p>
        </w:tc>
      </w:tr>
    </w:tbl>
    <w:p>
      <w:pPr>
        <w:spacing w:after="200"/>
      </w:pPr>
    </w:p>
    <w:p>
      <w:pPr>
        <w:pBdr>
          <w:bottom w:val="single" w:color="E0E0E0" w:sz="4"/>
        </w:pBdr>
        <w:spacing w:after="200" w:before="200"/>
      </w:pPr>
    </w:p>
    <w:p>
      <w:pPr>
        <w:pBdr>
          <w:top w:val="single" w:color="E0E0E0" w:sz="4"/>
        </w:pBdr>
        <w:spacing w:before="600"/>
        <w:jc w:val="center"/>
      </w:pPr>
      <w:r>
        <w:rPr>
          <w:rFonts w:ascii="IBM Plex Sans" w:cs="IBM Plex Sans" w:eastAsia="IBM Plex Sans" w:hAnsi="IBM Plex Sans"/>
          <w:i/>
          <w:iCs/>
          <w:color w:val="525252"/>
          <w:sz w:val="18"/>
          <w:szCs w:val="18"/>
        </w:rPr>
        <w:t xml:space="preserve">IBM Sales Guidance Tool — Client Roadmap Generator · Seller User Guide · July 19,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Sales Guidance Tool — Client Roadmap Generator Seller User Guide</dc:title>
  <dc:creator>IBM Bob</dc:creator>
  <dc:description>Step-by-step guide for IBM sellers using the Client Roadmap Generator workflow</dc:description>
  <cp:lastModifiedBy>Un-named</cp:lastModifiedBy>
  <cp:revision>1</cp:revision>
  <dcterms:created xsi:type="dcterms:W3CDTF">2026-07-20T04:13:32.452Z</dcterms:created>
  <dcterms:modified xsi:type="dcterms:W3CDTF">2026-07-20T04:13:32.452Z</dcterms:modified>
</cp:coreProperties>
</file>

<file path=docProps/custom.xml><?xml version="1.0" encoding="utf-8"?>
<Properties xmlns="http://schemas.openxmlformats.org/officeDocument/2006/custom-properties" xmlns:vt="http://schemas.openxmlformats.org/officeDocument/2006/docPropsVTypes"/>
</file>