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left"/>
      </w:pPr>
      <w:r>
        <w:rPr>
          <w:rFonts w:ascii="IBM Plex Sans" w:cs="IBM Plex Sans" w:eastAsia="IBM Plex Sans" w:hAnsi="IBM Plex Sans"/>
          <w:b/>
          <w:bCs/>
          <w:color w:val="0F62FE"/>
          <w:sz w:val="52"/>
          <w:szCs w:val="52"/>
        </w:rPr>
        <w:t xml:space="preserve">IBM Sales Guidance Tool</w:t>
      </w:r>
    </w:p>
    <w:p>
      <w:pPr>
        <w:spacing w:after="120"/>
      </w:pPr>
      <w:r>
        <w:rPr>
          <w:rFonts w:ascii="IBM Plex Sans" w:cs="IBM Plex Sans" w:eastAsia="IBM Plex Sans" w:hAnsi="IBM Plex Sans"/>
          <w:color w:val="525252"/>
          <w:sz w:val="36"/>
          <w:szCs w:val="36"/>
        </w:rPr>
        <w:t xml:space="preserve">Client Roadmap Generator</w:t>
      </w:r>
    </w:p>
    <w:p>
      <w:pPr>
        <w:spacing w:after="480"/>
      </w:pPr>
      <w:r>
        <w:rPr>
          <w:rFonts w:ascii="IBM Plex Sans" w:cs="IBM Plex Sans" w:eastAsia="IBM Plex Sans" w:hAnsi="IBM Plex Sans"/>
          <w:color w:val="525252"/>
          <w:sz w:val="24"/>
          <w:szCs w:val="24"/>
        </w:rPr>
        <w:t xml:space="preserve">Project Overview · Generated July 19, 2026</w:t>
      </w:r>
    </w:p>
    <w:p>
      <w:pPr>
        <w:pBdr>
          <w:bottom w:val="single" w:color="0F62FE" w:sz="6"/>
        </w:pBdr>
        <w:spacing w:after="320"/>
      </w:pPr>
    </w:p>
    <w:p>
      <w:pPr>
        <w:pBdr>
          <w:bottom w:val="single" w:color="E0E0E0" w:sz="4"/>
        </w:pBdr>
        <w:spacing w:after="160" w:before="480"/>
      </w:pPr>
      <w:r>
        <w:rPr>
          <w:rFonts w:ascii="IBM Plex Sans" w:cs="IBM Plex Sans" w:eastAsia="IBM Plex Sans" w:hAnsi="IBM Plex Sans"/>
          <w:b/>
          <w:bCs/>
          <w:color w:val="0F62FE"/>
          <w:sz w:val="32"/>
          <w:szCs w:val="32"/>
        </w:rPr>
        <w:t xml:space="preserve">1. Purpose &amp; Scope</w:t>
      </w:r>
    </w:p>
    <w:p>
      <w:pPr>
        <w:spacing w:after="140"/>
      </w:pPr>
      <w:r>
        <w:rPr>
          <w:rFonts w:ascii="IBM Plex Sans" w:cs="IBM Plex Sans" w:eastAsia="IBM Plex Sans" w:hAnsi="IBM Plex Sans"/>
          <w:color w:val="161616"/>
          <w:sz w:val="22"/>
          <w:szCs w:val="22"/>
        </w:rPr>
        <w:t xml:space="preserve">The IBM Sales Guidance Tool is an AI-assisted workflow designed to help IBM sellers quickly generate structured, actionable Client Roadmaps. The tool is built to run inside IBM Bob and combines seller-provided inputs with IBM AskSales content, Watson Assistant AI, and public data retrieval to produce a comprehensive client brief.</w:t>
      </w:r>
    </w:p>
    <w:p>
      <w:pPr>
        <w:spacing w:after="200"/>
      </w:pPr>
    </w:p>
    <w:p>
      <w:pPr>
        <w:spacing w:after="140"/>
      </w:pPr>
      <w:r>
        <w:rPr>
          <w:rFonts w:ascii="IBM Plex Sans" w:cs="IBM Plex Sans" w:eastAsia="IBM Plex Sans" w:hAnsi="IBM Plex Sans"/>
          <w:color w:val="161616"/>
          <w:sz w:val="22"/>
          <w:szCs w:val="22"/>
        </w:rPr>
        <w:t xml:space="preserve">The output covers four structured sections:</w:t>
      </w:r>
    </w:p>
    <w:p>
      <w:pPr>
        <w:spacing w:after="80"/>
        <w:ind w:left="360"/>
      </w:pPr>
      <w:r>
        <w:rPr>
          <w:rFonts w:ascii="IBM Plex Sans" w:cs="IBM Plex Sans" w:eastAsia="IBM Plex Sans" w:hAnsi="IBM Plex Sans"/>
          <w:color w:val="161616"/>
          <w:sz w:val="22"/>
          <w:szCs w:val="22"/>
        </w:rPr>
        <w:t xml:space="preserve">• Client Overview — background, IBM relationship, strategic priorities</w:t>
      </w:r>
    </w:p>
    <w:p>
      <w:pPr>
        <w:spacing w:after="80"/>
        <w:ind w:left="360"/>
      </w:pPr>
      <w:r>
        <w:rPr>
          <w:rFonts w:ascii="IBM Plex Sans" w:cs="IBM Plex Sans" w:eastAsia="IBM Plex Sans" w:hAnsi="IBM Plex Sans"/>
          <w:color w:val="161616"/>
          <w:sz w:val="22"/>
          <w:szCs w:val="22"/>
        </w:rPr>
        <w:t xml:space="preserve">• IBM Cloud Opportunities — recommended solutions, upsell/cross-sell</w:t>
      </w:r>
    </w:p>
    <w:p>
      <w:pPr>
        <w:spacing w:after="80"/>
        <w:ind w:left="360"/>
      </w:pPr>
      <w:r>
        <w:rPr>
          <w:rFonts w:ascii="IBM Plex Sans" w:cs="IBM Plex Sans" w:eastAsia="IBM Plex Sans" w:hAnsi="IBM Plex Sans"/>
          <w:color w:val="161616"/>
          <w:sz w:val="22"/>
          <w:szCs w:val="22"/>
        </w:rPr>
        <w:t xml:space="preserve">• Obstacles &amp; Risks — competitors, objection handling, blockers</w:t>
      </w:r>
    </w:p>
    <w:p>
      <w:pPr>
        <w:spacing w:after="80"/>
        <w:ind w:left="360"/>
      </w:pPr>
      <w:r>
        <w:rPr>
          <w:rFonts w:ascii="IBM Plex Sans" w:cs="IBM Plex Sans" w:eastAsia="IBM Plex Sans" w:hAnsi="IBM Plex Sans"/>
          <w:color w:val="161616"/>
          <w:sz w:val="22"/>
          <w:szCs w:val="22"/>
        </w:rPr>
        <w:t xml:space="preserve">• Quote &amp; BOM Instructions — product SKUs, pricing guidance, BOM template</w:t>
      </w:r>
    </w:p>
    <w:p>
      <w:pPr>
        <w:spacing w:after="200"/>
      </w:pPr>
    </w:p>
    <w:p>
      <w:pPr>
        <w:pBdr>
          <w:bottom w:val="single" w:color="E0E0E0" w:sz="4"/>
        </w:pBdr>
        <w:spacing w:after="160" w:before="480"/>
      </w:pPr>
      <w:r>
        <w:rPr>
          <w:rFonts w:ascii="IBM Plex Sans" w:cs="IBM Plex Sans" w:eastAsia="IBM Plex Sans" w:hAnsi="IBM Plex Sans"/>
          <w:b/>
          <w:bCs/>
          <w:color w:val="0F62FE"/>
          <w:sz w:val="32"/>
          <w:szCs w:val="32"/>
        </w:rPr>
        <w:t xml:space="preserve">2. System Architecture</w:t>
      </w:r>
    </w:p>
    <w:p>
      <w:pPr>
        <w:spacing w:after="140"/>
      </w:pPr>
      <w:r>
        <w:rPr>
          <w:rFonts w:ascii="IBM Plex Sans" w:cs="IBM Plex Sans" w:eastAsia="IBM Plex Sans" w:hAnsi="IBM Plex Sans"/>
          <w:color w:val="161616"/>
          <w:sz w:val="22"/>
          <w:szCs w:val="22"/>
        </w:rPr>
        <w:t xml:space="preserve">The application is built as a Next.js full-stack web application. All IBM API credentials are held server-side and never exposed to the browser. The frontend communicates exclusively with the Next.js API routes, which proxy all third-party service calls.</w:t>
      </w:r>
    </w:p>
    <w:p>
      <w:pPr>
        <w:spacing w:after="200"/>
      </w:pPr>
    </w:p>
    <w:p>
      <w:pPr>
        <w:spacing w:after="120" w:before="280"/>
      </w:pPr>
      <w:r>
        <w:rPr>
          <w:rFonts w:ascii="IBM Plex Sans" w:cs="IBM Plex Sans" w:eastAsia="IBM Plex Sans" w:hAnsi="IBM Plex Sans"/>
          <w:b/>
          <w:bCs/>
          <w:color w:val="161616"/>
          <w:sz w:val="24"/>
          <w:szCs w:val="24"/>
        </w:rPr>
        <w:t xml:space="preserve">Technology Stack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color="F4F4F4" w:val="solid"/>
          </w:tcPr>
          <w:p>
            <w:r>
              <w:rPr>
                <w:rFonts w:ascii="IBM Plex Sans" w:cs="IBM Plex Sans" w:eastAsia="IBM Plex Sans" w:hAnsi="IBM Plex Sans"/>
                <w:b/>
                <w:bCs/>
                <w:color w:val="161616"/>
                <w:sz w:val="20"/>
                <w:szCs w:val="20"/>
              </w:rPr>
              <w:t xml:space="preserve">Framework</w:t>
            </w:r>
          </w:p>
        </w:tc>
        <w:tc>
          <w:tcPr>
            <w:tcW w:type="pct" w:w="70%"/>
            <w:shd w:color="F4F4F4" w:val="solid"/>
          </w:tcPr>
          <w:p>
            <w:r>
              <w:rPr>
                <w:rFonts w:ascii="IBM Plex Sans" w:cs="IBM Plex Sans" w:eastAsia="IBM Plex Sans" w:hAnsi="IBM Plex Sans"/>
                <w:color w:val="161616"/>
                <w:sz w:val="20"/>
                <w:szCs w:val="20"/>
              </w:rPr>
              <w:t xml:space="preserve">Next.js 14 (React + API Routes)</w:t>
            </w:r>
          </w:p>
        </w:tc>
      </w:tr>
      <w:tr>
        <w:tc>
          <w:tcPr>
            <w:tcW w:type="pct" w:w="30%"/>
          </w:tcPr>
          <w:p>
            <w:r>
              <w:rPr>
                <w:rFonts w:ascii="IBM Plex Sans" w:cs="IBM Plex Sans" w:eastAsia="IBM Plex Sans" w:hAnsi="IBM Plex Sans"/>
                <w:b/>
                <w:bCs/>
                <w:color w:val="161616"/>
                <w:sz w:val="20"/>
                <w:szCs w:val="20"/>
              </w:rPr>
              <w:t xml:space="preserve">Language</w:t>
            </w:r>
          </w:p>
        </w:tc>
        <w:tc>
          <w:tcPr>
            <w:tcW w:type="pct" w:w="70%"/>
          </w:tcPr>
          <w:p>
            <w:r>
              <w:rPr>
                <w:rFonts w:ascii="IBM Plex Sans" w:cs="IBM Plex Sans" w:eastAsia="IBM Plex Sans" w:hAnsi="IBM Plex Sans"/>
                <w:color w:val="161616"/>
                <w:sz w:val="20"/>
                <w:szCs w:val="20"/>
              </w:rPr>
              <w:t xml:space="preserve">TypeScript</w:t>
            </w:r>
          </w:p>
        </w:tc>
      </w:tr>
      <w:tr>
        <w:tc>
          <w:tcPr>
            <w:tcW w:type="pct" w:w="30%"/>
            <w:shd w:color="F4F4F4" w:val="solid"/>
          </w:tcPr>
          <w:p>
            <w:r>
              <w:rPr>
                <w:rFonts w:ascii="IBM Plex Sans" w:cs="IBM Plex Sans" w:eastAsia="IBM Plex Sans" w:hAnsi="IBM Plex Sans"/>
                <w:b/>
                <w:bCs/>
                <w:color w:val="161616"/>
                <w:sz w:val="20"/>
                <w:szCs w:val="20"/>
              </w:rPr>
              <w:t xml:space="preserve">Styling</w:t>
            </w:r>
          </w:p>
        </w:tc>
        <w:tc>
          <w:tcPr>
            <w:tcW w:type="pct" w:w="70%"/>
            <w:shd w:color="F4F4F4" w:val="solid"/>
          </w:tcPr>
          <w:p>
            <w:r>
              <w:rPr>
                <w:rFonts w:ascii="IBM Plex Sans" w:cs="IBM Plex Sans" w:eastAsia="IBM Plex Sans" w:hAnsi="IBM Plex Sans"/>
                <w:color w:val="161616"/>
                <w:sz w:val="20"/>
                <w:szCs w:val="20"/>
              </w:rPr>
              <w:t xml:space="preserve">Tailwind CSS (IBM Carbon-inspired palette)</w:t>
            </w:r>
          </w:p>
        </w:tc>
      </w:tr>
      <w:tr>
        <w:tc>
          <w:tcPr>
            <w:tcW w:type="pct" w:w="30%"/>
          </w:tcPr>
          <w:p>
            <w:r>
              <w:rPr>
                <w:rFonts w:ascii="IBM Plex Sans" w:cs="IBM Plex Sans" w:eastAsia="IBM Plex Sans" w:hAnsi="IBM Plex Sans"/>
                <w:b/>
                <w:bCs/>
                <w:color w:val="161616"/>
                <w:sz w:val="20"/>
                <w:szCs w:val="20"/>
              </w:rPr>
              <w:t xml:space="preserve">AI Engine</w:t>
            </w:r>
          </w:p>
        </w:tc>
        <w:tc>
          <w:tcPr>
            <w:tcW w:type="pct" w:w="70%"/>
          </w:tcPr>
          <w:p>
            <w:r>
              <w:rPr>
                <w:rFonts w:ascii="IBM Plex Sans" w:cs="IBM Plex Sans" w:eastAsia="IBM Plex Sans" w:hAnsi="IBM Plex Sans"/>
                <w:color w:val="161616"/>
                <w:sz w:val="20"/>
                <w:szCs w:val="20"/>
              </w:rPr>
              <w:t xml:space="preserve">IBM Watson Assistant v2 (Actions Skill)</w:t>
            </w:r>
          </w:p>
        </w:tc>
      </w:tr>
      <w:tr>
        <w:tc>
          <w:tcPr>
            <w:tcW w:type="pct" w:w="30%"/>
            <w:shd w:color="F4F4F4" w:val="solid"/>
          </w:tcPr>
          <w:p>
            <w:r>
              <w:rPr>
                <w:rFonts w:ascii="IBM Plex Sans" w:cs="IBM Plex Sans" w:eastAsia="IBM Plex Sans" w:hAnsi="IBM Plex Sans"/>
                <w:b/>
                <w:bCs/>
                <w:color w:val="161616"/>
                <w:sz w:val="20"/>
                <w:szCs w:val="20"/>
              </w:rPr>
              <w:t xml:space="preserve">Sales Content</w:t>
            </w:r>
          </w:p>
        </w:tc>
        <w:tc>
          <w:tcPr>
            <w:tcW w:type="pct" w:w="70%"/>
            <w:shd w:color="F4F4F4" w:val="solid"/>
          </w:tcPr>
          <w:p>
            <w:r>
              <w:rPr>
                <w:rFonts w:ascii="IBM Plex Sans" w:cs="IBM Plex Sans" w:eastAsia="IBM Plex Sans" w:hAnsi="IBM Plex Sans"/>
                <w:color w:val="161616"/>
                <w:sz w:val="20"/>
                <w:szCs w:val="20"/>
              </w:rPr>
              <w:t xml:space="preserve">IBM AskSales API (includes Seismic via backend)</w:t>
            </w:r>
          </w:p>
        </w:tc>
      </w:tr>
      <w:tr>
        <w:tc>
          <w:tcPr>
            <w:tcW w:type="pct" w:w="30%"/>
          </w:tcPr>
          <w:p>
            <w:r>
              <w:rPr>
                <w:rFonts w:ascii="IBM Plex Sans" w:cs="IBM Plex Sans" w:eastAsia="IBM Plex Sans" w:hAnsi="IBM Plex Sans"/>
                <w:b/>
                <w:bCs/>
                <w:color w:val="161616"/>
                <w:sz w:val="20"/>
                <w:szCs w:val="20"/>
              </w:rPr>
              <w:t xml:space="preserve">Deal Guidance</w:t>
            </w:r>
          </w:p>
        </w:tc>
        <w:tc>
          <w:tcPr>
            <w:tcW w:type="pct" w:w="70%"/>
          </w:tcPr>
          <w:p>
            <w:r>
              <w:rPr>
                <w:rFonts w:ascii="IBM Plex Sans" w:cs="IBM Plex Sans" w:eastAsia="IBM Plex Sans" w:hAnsi="IBM Plex Sans"/>
                <w:color w:val="161616"/>
                <w:sz w:val="20"/>
                <w:szCs w:val="20"/>
              </w:rPr>
              <w:t xml:space="preserve">WatsonX.ai (IBM Granite model)</w:t>
            </w:r>
          </w:p>
        </w:tc>
      </w:tr>
      <w:tr>
        <w:tc>
          <w:tcPr>
            <w:tcW w:type="pct" w:w="30%"/>
            <w:shd w:color="F4F4F4" w:val="solid"/>
          </w:tcPr>
          <w:p>
            <w:r>
              <w:rPr>
                <w:rFonts w:ascii="IBM Plex Sans" w:cs="IBM Plex Sans" w:eastAsia="IBM Plex Sans" w:hAnsi="IBM Plex Sans"/>
                <w:b/>
                <w:bCs/>
                <w:color w:val="161616"/>
                <w:sz w:val="20"/>
                <w:szCs w:val="20"/>
              </w:rPr>
              <w:t xml:space="preserve">Runtime</w:t>
            </w:r>
          </w:p>
        </w:tc>
        <w:tc>
          <w:tcPr>
            <w:tcW w:type="pct" w:w="70%"/>
            <w:shd w:color="F4F4F4" w:val="solid"/>
          </w:tcPr>
          <w:p>
            <w:r>
              <w:rPr>
                <w:rFonts w:ascii="IBM Plex Sans" w:cs="IBM Plex Sans" w:eastAsia="IBM Plex Sans" w:hAnsi="IBM Plex Sans"/>
                <w:color w:val="161616"/>
                <w:sz w:val="20"/>
                <w:szCs w:val="20"/>
              </w:rPr>
              <w:t xml:space="preserve">Node.js v24 LTS</w:t>
            </w:r>
          </w:p>
        </w:tc>
      </w:tr>
    </w:tbl>
    <w:p>
      <w:pPr>
        <w:spacing w:after="200"/>
      </w:pPr>
    </w:p>
    <w:p>
      <w:pPr>
        <w:pBdr>
          <w:bottom w:val="single" w:color="E0E0E0" w:sz="4"/>
        </w:pBdr>
        <w:spacing w:after="160" w:before="480"/>
      </w:pPr>
      <w:r>
        <w:rPr>
          <w:rFonts w:ascii="IBM Plex Sans" w:cs="IBM Plex Sans" w:eastAsia="IBM Plex Sans" w:hAnsi="IBM Plex Sans"/>
          <w:b/>
          <w:bCs/>
          <w:color w:val="0F62FE"/>
          <w:sz w:val="32"/>
          <w:szCs w:val="32"/>
        </w:rPr>
        <w:t xml:space="preserve">3. IBM Watson Assistant Integration</w:t>
      </w:r>
    </w:p>
    <w:p>
      <w:pPr>
        <w:spacing w:after="140"/>
      </w:pPr>
      <w:r>
        <w:rPr>
          <w:rFonts w:ascii="IBM Plex Sans" w:cs="IBM Plex Sans" w:eastAsia="IBM Plex Sans" w:hAnsi="IBM Plex Sans"/>
          <w:color w:val="161616"/>
          <w:sz w:val="22"/>
          <w:szCs w:val="22"/>
        </w:rPr>
        <w:t xml:space="preserve">The chatbot and roadmap generation are powered by IBM Watson Assistant v2 using the Actions Skill. Authentication uses HTTP Basic auth (base64-encoded apikey credential) as documented in the AskSales API reference.</w:t>
      </w:r>
    </w:p>
    <w:p>
      <w:pPr>
        <w:spacing w:after="200"/>
      </w:pPr>
    </w:p>
    <w:p>
      <w:pPr>
        <w:spacing w:after="120" w:before="280"/>
      </w:pPr>
      <w:r>
        <w:rPr>
          <w:rFonts w:ascii="IBM Plex Sans" w:cs="IBM Plex Sans" w:eastAsia="IBM Plex Sans" w:hAnsi="IBM Plex Sans"/>
          <w:b/>
          <w:bCs/>
          <w:color w:val="161616"/>
          <w:sz w:val="24"/>
          <w:szCs w:val="24"/>
        </w:rPr>
        <w:t xml:space="preserve">Configured Credentials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color="F4F4F4" w:val="solid"/>
          </w:tcPr>
          <w:p>
            <w:r>
              <w:rPr>
                <w:rFonts w:ascii="IBM Plex Sans" w:cs="IBM Plex Sans" w:eastAsia="IBM Plex Sans" w:hAnsi="IBM Plex Sans"/>
                <w:b/>
                <w:bCs/>
                <w:color w:val="161616"/>
                <w:sz w:val="20"/>
                <w:szCs w:val="20"/>
              </w:rPr>
              <w:t xml:space="preserve">Service Instance URL</w:t>
            </w:r>
          </w:p>
        </w:tc>
        <w:tc>
          <w:tcPr>
            <w:tcW w:type="pct" w:w="70%"/>
            <w:shd w:color="F4F4F4" w:val="solid"/>
          </w:tcPr>
          <w:p>
            <w:r>
              <w:rPr>
                <w:rFonts w:ascii="IBM Plex Sans" w:cs="IBM Plex Sans" w:eastAsia="IBM Plex Sans" w:hAnsi="IBM Plex Sans"/>
                <w:color w:val="161616"/>
                <w:sz w:val="20"/>
                <w:szCs w:val="20"/>
              </w:rPr>
              <w:t xml:space="preserve">api.direct.us-east-1.aws.watsonassistant.ibm.com/instances/20250911-...</w:t>
            </w:r>
          </w:p>
        </w:tc>
      </w:tr>
      <w:tr>
        <w:tc>
          <w:tcPr>
            <w:tcW w:type="pct" w:w="30%"/>
          </w:tcPr>
          <w:p>
            <w:r>
              <w:rPr>
                <w:rFonts w:ascii="IBM Plex Sans" w:cs="IBM Plex Sans" w:eastAsia="IBM Plex Sans" w:hAnsi="IBM Plex Sans"/>
                <w:b/>
                <w:bCs/>
                <w:color w:val="161616"/>
                <w:sz w:val="20"/>
                <w:szCs w:val="20"/>
              </w:rPr>
              <w:t xml:space="preserve">Assistant ID</w:t>
            </w:r>
          </w:p>
        </w:tc>
        <w:tc>
          <w:tcPr>
            <w:tcW w:type="pct" w:w="70%"/>
          </w:tcPr>
          <w:p>
            <w:r>
              <w:rPr>
                <w:rFonts w:ascii="IBM Plex Sans" w:cs="IBM Plex Sans" w:eastAsia="IBM Plex Sans" w:hAnsi="IBM Plex Sans"/>
                <w:color w:val="161616"/>
                <w:sz w:val="20"/>
                <w:szCs w:val="20"/>
              </w:rPr>
              <w:t xml:space="preserve">a99f67bd-26da-4ca3-b338-cbbb03bb3e57</w:t>
            </w:r>
          </w:p>
        </w:tc>
      </w:tr>
      <w:tr>
        <w:tc>
          <w:tcPr>
            <w:tcW w:type="pct" w:w="30%"/>
            <w:shd w:color="F4F4F4" w:val="solid"/>
          </w:tcPr>
          <w:p>
            <w:r>
              <w:rPr>
                <w:rFonts w:ascii="IBM Plex Sans" w:cs="IBM Plex Sans" w:eastAsia="IBM Plex Sans" w:hAnsi="IBM Plex Sans"/>
                <w:b/>
                <w:bCs/>
                <w:color w:val="161616"/>
                <w:sz w:val="20"/>
                <w:szCs w:val="20"/>
              </w:rPr>
              <w:t xml:space="preserve">Action Skill ID</w:t>
            </w:r>
          </w:p>
        </w:tc>
        <w:tc>
          <w:tcPr>
            <w:tcW w:type="pct" w:w="70%"/>
            <w:shd w:color="F4F4F4" w:val="solid"/>
          </w:tcPr>
          <w:p>
            <w:r>
              <w:rPr>
                <w:rFonts w:ascii="IBM Plex Sans" w:cs="IBM Plex Sans" w:eastAsia="IBM Plex Sans" w:hAnsi="IBM Plex Sans"/>
                <w:color w:val="161616"/>
                <w:sz w:val="20"/>
                <w:szCs w:val="20"/>
              </w:rPr>
              <w:t xml:space="preserve">85e69230-e195-49ba-9d7b-450b820991a3</w:t>
            </w:r>
          </w:p>
        </w:tc>
      </w:tr>
      <w:tr>
        <w:tc>
          <w:tcPr>
            <w:tcW w:type="pct" w:w="30%"/>
          </w:tcPr>
          <w:p>
            <w:r>
              <w:rPr>
                <w:rFonts w:ascii="IBM Plex Sans" w:cs="IBM Plex Sans" w:eastAsia="IBM Plex Sans" w:hAnsi="IBM Plex Sans"/>
                <w:b/>
                <w:bCs/>
                <w:color w:val="161616"/>
                <w:sz w:val="20"/>
                <w:szCs w:val="20"/>
              </w:rPr>
              <w:t xml:space="preserve">Draft Environment ID</w:t>
            </w:r>
          </w:p>
        </w:tc>
        <w:tc>
          <w:tcPr>
            <w:tcW w:type="pct" w:w="70%"/>
          </w:tcPr>
          <w:p>
            <w:r>
              <w:rPr>
                <w:rFonts w:ascii="IBM Plex Sans" w:cs="IBM Plex Sans" w:eastAsia="IBM Plex Sans" w:hAnsi="IBM Plex Sans"/>
                <w:color w:val="161616"/>
                <w:sz w:val="20"/>
                <w:szCs w:val="20"/>
              </w:rPr>
              <w:t xml:space="preserve">4ec3f873-5e08-4a8f-b7d4-dd528622e808</w:t>
            </w:r>
          </w:p>
        </w:tc>
      </w:tr>
      <w:tr>
        <w:tc>
          <w:tcPr>
            <w:tcW w:type="pct" w:w="30%"/>
            <w:shd w:color="F4F4F4" w:val="solid"/>
          </w:tcPr>
          <w:p>
            <w:r>
              <w:rPr>
                <w:rFonts w:ascii="IBM Plex Sans" w:cs="IBM Plex Sans" w:eastAsia="IBM Plex Sans" w:hAnsi="IBM Plex Sans"/>
                <w:b/>
                <w:bCs/>
                <w:color w:val="161616"/>
                <w:sz w:val="20"/>
                <w:szCs w:val="20"/>
              </w:rPr>
              <w:t xml:space="preserve">Production Environment ID</w:t>
            </w:r>
          </w:p>
        </w:tc>
        <w:tc>
          <w:tcPr>
            <w:tcW w:type="pct" w:w="70%"/>
            <w:shd w:color="F4F4F4" w:val="solid"/>
          </w:tcPr>
          <w:p>
            <w:r>
              <w:rPr>
                <w:rFonts w:ascii="IBM Plex Sans" w:cs="IBM Plex Sans" w:eastAsia="IBM Plex Sans" w:hAnsi="IBM Plex Sans"/>
                <w:color w:val="161616"/>
                <w:sz w:val="20"/>
                <w:szCs w:val="20"/>
              </w:rPr>
              <w:t xml:space="preserve">cea0be1c-1e71-4bf7-88de-ffc63fd0dee6</w:t>
            </w:r>
          </w:p>
        </w:tc>
      </w:tr>
      <w:tr>
        <w:tc>
          <w:tcPr>
            <w:tcW w:type="pct" w:w="30%"/>
          </w:tcPr>
          <w:p>
            <w:r>
              <w:rPr>
                <w:rFonts w:ascii="IBM Plex Sans" w:cs="IBM Plex Sans" w:eastAsia="IBM Plex Sans" w:hAnsi="IBM Plex Sans"/>
                <w:b/>
                <w:bCs/>
                <w:color w:val="161616"/>
                <w:sz w:val="20"/>
                <w:szCs w:val="20"/>
              </w:rPr>
              <w:t xml:space="preserve">API Key</w:t>
            </w:r>
          </w:p>
        </w:tc>
        <w:tc>
          <w:tcPr>
            <w:tcW w:type="pct" w:w="70%"/>
          </w:tcPr>
          <w:p>
            <w:r>
              <w:rPr>
                <w:rFonts w:ascii="IBM Plex Sans" w:cs="IBM Plex Sans" w:eastAsia="IBM Plex Sans" w:hAnsi="IBM Plex Sans"/>
                <w:color w:val="161616"/>
                <w:sz w:val="20"/>
                <w:szCs w:val="20"/>
              </w:rPr>
              <w:t xml:space="preserve">⚠ Pending — retrieve from IBM 1Password vault</w:t>
            </w:r>
          </w:p>
        </w:tc>
      </w:tr>
    </w:tbl>
    <w:p>
      <w:pPr>
        <w:spacing w:after="200"/>
      </w:pPr>
    </w:p>
    <w:p>
      <w:pPr>
        <w:spacing w:after="140"/>
      </w:pPr>
      <w:r>
        <w:rPr>
          <w:rFonts w:ascii="IBM Plex Sans" w:cs="IBM Plex Sans" w:eastAsia="IBM Plex Sans" w:hAnsi="IBM Plex Sans"/>
          <w:color w:val="161616"/>
          <w:sz w:val="22"/>
          <w:szCs w:val="22"/>
        </w:rPr>
        <w:t xml:space="preserve">Required skill_variables passed on every message:</w:t>
      </w:r>
    </w:p>
    <w:p>
      <w:pPr>
        <w:spacing w:after="80"/>
        <w:ind w:left="360"/>
      </w:pPr>
      <w:r>
        <w:rPr>
          <w:rFonts w:ascii="IBM Plex Sans" w:cs="IBM Plex Sans" w:eastAsia="IBM Plex Sans" w:hAnsi="IBM Plex Sans"/>
          <w:color w:val="161616"/>
          <w:sz w:val="22"/>
          <w:szCs w:val="22"/>
        </w:rPr>
        <w:t xml:space="preserve">• source_system: "IBM-Bob"</w:t>
      </w:r>
    </w:p>
    <w:p>
      <w:pPr>
        <w:spacing w:after="80"/>
        <w:ind w:left="360"/>
      </w:pPr>
      <w:r>
        <w:rPr>
          <w:rFonts w:ascii="IBM Plex Sans" w:cs="IBM Plex Sans" w:eastAsia="IBM Plex Sans" w:hAnsi="IBM Plex Sans"/>
          <w:color w:val="161616"/>
          <w:sz w:val="22"/>
          <w:szCs w:val="22"/>
        </w:rPr>
        <w:t xml:space="preserve">• email_address: &lt;seller IBM email&gt;</w:t>
      </w:r>
    </w:p>
    <w:p>
      <w:pPr>
        <w:spacing w:after="80"/>
        <w:ind w:left="360"/>
      </w:pPr>
      <w:r>
        <w:rPr>
          <w:rFonts w:ascii="IBM Plex Sans" w:cs="IBM Plex Sans" w:eastAsia="IBM Plex Sans" w:hAnsi="IBM Plex Sans"/>
          <w:color w:val="161616"/>
          <w:sz w:val="22"/>
          <w:szCs w:val="22"/>
        </w:rPr>
        <w:t xml:space="preserve">• user_id: &lt;seller IBM email&gt; (top-level field)</w:t>
      </w:r>
    </w:p>
    <w:p>
      <w:pPr>
        <w:spacing w:after="200"/>
      </w:pPr>
    </w:p>
    <w:p>
      <w:pPr>
        <w:pBdr>
          <w:bottom w:val="single" w:color="E0E0E0" w:sz="4"/>
        </w:pBdr>
        <w:spacing w:after="160" w:before="480"/>
      </w:pPr>
      <w:r>
        <w:rPr>
          <w:rFonts w:ascii="IBM Plex Sans" w:cs="IBM Plex Sans" w:eastAsia="IBM Plex Sans" w:hAnsi="IBM Plex Sans"/>
          <w:b/>
          <w:bCs/>
          <w:color w:val="0F62FE"/>
          <w:sz w:val="32"/>
          <w:szCs w:val="32"/>
        </w:rPr>
        <w:t xml:space="preserve">4. Data Sources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color="F4F4F4" w:val="solid"/>
          </w:tcPr>
          <w:p>
            <w:r>
              <w:rPr>
                <w:rFonts w:ascii="IBM Plex Sans" w:cs="IBM Plex Sans" w:eastAsia="IBM Plex Sans" w:hAnsi="IBM Plex Sans"/>
                <w:b/>
                <w:bCs/>
                <w:color w:val="161616"/>
                <w:sz w:val="20"/>
                <w:szCs w:val="20"/>
              </w:rPr>
              <w:t xml:space="preserve">IBM AskSales API</w:t>
            </w:r>
          </w:p>
        </w:tc>
        <w:tc>
          <w:tcPr>
            <w:tcW w:type="pct" w:w="70%"/>
            <w:shd w:color="F4F4F4" w:val="solid"/>
          </w:tcPr>
          <w:p>
            <w:r>
              <w:rPr>
                <w:rFonts w:ascii="IBM Plex Sans" w:cs="IBM Plex Sans" w:eastAsia="IBM Plex Sans" w:hAnsi="IBM Plex Sans"/>
                <w:color w:val="161616"/>
                <w:sz w:val="20"/>
                <w:szCs w:val="20"/>
              </w:rPr>
              <w:t xml:space="preserve">Direct API integration — covers Seismic content via AskSales backend</w:t>
            </w:r>
          </w:p>
        </w:tc>
      </w:tr>
      <w:tr>
        <w:tc>
          <w:tcPr>
            <w:tcW w:type="pct" w:w="30%"/>
          </w:tcPr>
          <w:p>
            <w:r>
              <w:rPr>
                <w:rFonts w:ascii="IBM Plex Sans" w:cs="IBM Plex Sans" w:eastAsia="IBM Plex Sans" w:hAnsi="IBM Plex Sans"/>
                <w:b/>
                <w:bCs/>
                <w:color w:val="161616"/>
                <w:sz w:val="20"/>
                <w:szCs w:val="20"/>
              </w:rPr>
              <w:t xml:space="preserve">Seller-uploaded files</w:t>
            </w:r>
          </w:p>
        </w:tc>
        <w:tc>
          <w:tcPr>
            <w:tcW w:type="pct" w:w="70%"/>
          </w:tcPr>
          <w:p>
            <w:r>
              <w:rPr>
                <w:rFonts w:ascii="IBM Plex Sans" w:cs="IBM Plex Sans" w:eastAsia="IBM Plex Sans" w:hAnsi="IBM Plex Sans"/>
                <w:color w:val="161616"/>
                <w:sz w:val="20"/>
                <w:szCs w:val="20"/>
              </w:rPr>
              <w:t xml:space="preserve">.docx, .pdf, .xlsx, .csv — parsed server-side into plain text</w:t>
            </w:r>
          </w:p>
        </w:tc>
      </w:tr>
      <w:tr>
        <w:tc>
          <w:tcPr>
            <w:tcW w:type="pct" w:w="30%"/>
            <w:shd w:color="F4F4F4" w:val="solid"/>
          </w:tcPr>
          <w:p>
            <w:r>
              <w:rPr>
                <w:rFonts w:ascii="IBM Plex Sans" w:cs="IBM Plex Sans" w:eastAsia="IBM Plex Sans" w:hAnsi="IBM Plex Sans"/>
                <w:b/>
                <w:bCs/>
                <w:color w:val="161616"/>
                <w:sz w:val="20"/>
                <w:szCs w:val="20"/>
              </w:rPr>
              <w:t xml:space="preserve">ISC Data</w:t>
            </w:r>
          </w:p>
        </w:tc>
        <w:tc>
          <w:tcPr>
            <w:tcW w:type="pct" w:w="70%"/>
            <w:shd w:color="F4F4F4" w:val="solid"/>
          </w:tcPr>
          <w:p>
            <w:r>
              <w:rPr>
                <w:rFonts w:ascii="IBM Plex Sans" w:cs="IBM Plex Sans" w:eastAsia="IBM Plex Sans" w:hAnsi="IBM Plex Sans"/>
                <w:color w:val="161616"/>
                <w:sz w:val="20"/>
                <w:szCs w:val="20"/>
              </w:rPr>
              <w:t xml:space="preserve">Seller manually exports from ISC and uploads — no API integration required</w:t>
            </w:r>
          </w:p>
        </w:tc>
      </w:tr>
      <w:tr>
        <w:tc>
          <w:tcPr>
            <w:tcW w:type="pct" w:w="30%"/>
          </w:tcPr>
          <w:p>
            <w:r>
              <w:rPr>
                <w:rFonts w:ascii="IBM Plex Sans" w:cs="IBM Plex Sans" w:eastAsia="IBM Plex Sans" w:hAnsi="IBM Plex Sans"/>
                <w:b/>
                <w:bCs/>
                <w:color w:val="161616"/>
                <w:sz w:val="20"/>
                <w:szCs w:val="20"/>
              </w:rPr>
              <w:t xml:space="preserve">Public / External data</w:t>
            </w:r>
          </w:p>
        </w:tc>
        <w:tc>
          <w:tcPr>
            <w:tcW w:type="pct" w:w="70%"/>
          </w:tcPr>
          <w:p>
            <w:r>
              <w:rPr>
                <w:rFonts w:ascii="IBM Plex Sans" w:cs="IBM Plex Sans" w:eastAsia="IBM Plex Sans" w:hAnsi="IBM Plex Sans"/>
                <w:color w:val="161616"/>
                <w:sz w:val="20"/>
                <w:szCs w:val="20"/>
              </w:rPr>
              <w:t xml:space="preserve">IBM Bob native RAG — handles automatically within Bob workflow</w:t>
            </w:r>
          </w:p>
        </w:tc>
      </w:tr>
      <w:tr>
        <w:tc>
          <w:tcPr>
            <w:tcW w:type="pct" w:w="30%"/>
            <w:shd w:color="F4F4F4" w:val="solid"/>
          </w:tcPr>
          <w:p>
            <w:r>
              <w:rPr>
                <w:rFonts w:ascii="IBM Plex Sans" w:cs="IBM Plex Sans" w:eastAsia="IBM Plex Sans" w:hAnsi="IBM Plex Sans"/>
                <w:b/>
                <w:bCs/>
                <w:color w:val="161616"/>
                <w:sz w:val="20"/>
                <w:szCs w:val="20"/>
              </w:rPr>
              <w:t xml:space="preserve">CRM</w:t>
            </w:r>
          </w:p>
        </w:tc>
        <w:tc>
          <w:tcPr>
            <w:tcW w:type="pct" w:w="70%"/>
            <w:shd w:color="F4F4F4" w:val="solid"/>
          </w:tcPr>
          <w:p>
            <w:r>
              <w:rPr>
                <w:rFonts w:ascii="IBM Plex Sans" w:cs="IBM Plex Sans" w:eastAsia="IBM Plex Sans" w:hAnsi="IBM Plex Sans"/>
                <w:color w:val="161616"/>
                <w:sz w:val="20"/>
                <w:szCs w:val="20"/>
              </w:rPr>
              <w:t xml:space="preserve">REST API integration (configured via CRM_API_URL / CRM_API_KEY)</w:t>
            </w:r>
          </w:p>
        </w:tc>
      </w:tr>
    </w:tbl>
    <w:p>
      <w:pPr>
        <w:spacing w:after="200"/>
      </w:pPr>
    </w:p>
    <w:p>
      <w:pPr>
        <w:pBdr>
          <w:bottom w:val="single" w:color="E0E0E0" w:sz="4"/>
        </w:pBdr>
        <w:spacing w:after="160" w:before="480"/>
      </w:pPr>
      <w:r>
        <w:rPr>
          <w:rFonts w:ascii="IBM Plex Sans" w:cs="IBM Plex Sans" w:eastAsia="IBM Plex Sans" w:hAnsi="IBM Plex Sans"/>
          <w:b/>
          <w:bCs/>
          <w:color w:val="0F62FE"/>
          <w:sz w:val="32"/>
          <w:szCs w:val="32"/>
        </w:rPr>
        <w:t xml:space="preserve">5. Seller Workflow</w:t>
      </w:r>
    </w:p>
    <w:p>
      <w:pPr>
        <w:spacing w:after="140"/>
      </w:pPr>
      <w:r>
        <w:rPr>
          <w:rFonts w:ascii="IBM Plex Sans" w:cs="IBM Plex Sans" w:eastAsia="IBM Plex Sans" w:hAnsi="IBM Plex Sans"/>
          <w:color w:val="161616"/>
          <w:sz w:val="22"/>
          <w:szCs w:val="22"/>
        </w:rPr>
        <w:t xml:space="preserve">The seller interacts with a multi-step guided input form embedded inside IBM Bob. The workflow collects the following inputs in sequence:</w:t>
      </w:r>
    </w:p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color="F4F4F4" w:val="solid"/>
          </w:tcPr>
          <w:p>
            <w:r>
              <w:rPr>
                <w:rFonts w:ascii="IBM Plex Sans" w:cs="IBM Plex Sans" w:eastAsia="IBM Plex Sans" w:hAnsi="IBM Plex Sans"/>
                <w:b/>
                <w:bCs/>
                <w:color w:val="161616"/>
                <w:sz w:val="20"/>
                <w:szCs w:val="20"/>
              </w:rPr>
              <w:t xml:space="preserve">Step 1</w:t>
            </w:r>
          </w:p>
        </w:tc>
        <w:tc>
          <w:tcPr>
            <w:tcW w:type="pct" w:w="70%"/>
            <w:shd w:color="F4F4F4" w:val="solid"/>
          </w:tcPr>
          <w:p>
            <w:r>
              <w:rPr>
                <w:rFonts w:ascii="IBM Plex Sans" w:cs="IBM Plex Sans" w:eastAsia="IBM Plex Sans" w:hAnsi="IBM Plex Sans"/>
                <w:color w:val="161616"/>
                <w:sz w:val="20"/>
                <w:szCs w:val="20"/>
              </w:rPr>
              <w:t xml:space="preserve">Client / Account Name (required)</w:t>
            </w:r>
          </w:p>
        </w:tc>
      </w:tr>
      <w:tr>
        <w:tc>
          <w:tcPr>
            <w:tcW w:type="pct" w:w="30%"/>
          </w:tcPr>
          <w:p>
            <w:r>
              <w:rPr>
                <w:rFonts w:ascii="IBM Plex Sans" w:cs="IBM Plex Sans" w:eastAsia="IBM Plex Sans" w:hAnsi="IBM Plex Sans"/>
                <w:b/>
                <w:bCs/>
                <w:color w:val="161616"/>
                <w:sz w:val="20"/>
                <w:szCs w:val="20"/>
              </w:rPr>
              <w:t xml:space="preserve">Step 2</w:t>
            </w:r>
          </w:p>
        </w:tc>
        <w:tc>
          <w:tcPr>
            <w:tcW w:type="pct" w:w="70%"/>
          </w:tcPr>
          <w:p>
            <w:r>
              <w:rPr>
                <w:rFonts w:ascii="IBM Plex Sans" w:cs="IBM Plex Sans" w:eastAsia="IBM Plex Sans" w:hAnsi="IBM Plex Sans"/>
                <w:color w:val="161616"/>
                <w:sz w:val="20"/>
                <w:szCs w:val="20"/>
              </w:rPr>
              <w:t xml:space="preserve">Client Overview — .docx, .pdf, or free text (required)</w:t>
            </w:r>
          </w:p>
        </w:tc>
      </w:tr>
      <w:tr>
        <w:tc>
          <w:tcPr>
            <w:tcW w:type="pct" w:w="30%"/>
            <w:shd w:color="F4F4F4" w:val="solid"/>
          </w:tcPr>
          <w:p>
            <w:r>
              <w:rPr>
                <w:rFonts w:ascii="IBM Plex Sans" w:cs="IBM Plex Sans" w:eastAsia="IBM Plex Sans" w:hAnsi="IBM Plex Sans"/>
                <w:b/>
                <w:bCs/>
                <w:color w:val="161616"/>
                <w:sz w:val="20"/>
                <w:szCs w:val="20"/>
              </w:rPr>
              <w:t xml:space="preserve">Step 3</w:t>
            </w:r>
          </w:p>
        </w:tc>
        <w:tc>
          <w:tcPr>
            <w:tcW w:type="pct" w:w="70%"/>
            <w:shd w:color="F4F4F4" w:val="solid"/>
          </w:tcPr>
          <w:p>
            <w:r>
              <w:rPr>
                <w:rFonts w:ascii="IBM Plex Sans" w:cs="IBM Plex Sans" w:eastAsia="IBM Plex Sans" w:hAnsi="IBM Plex Sans"/>
                <w:color w:val="161616"/>
                <w:sz w:val="20"/>
                <w:szCs w:val="20"/>
              </w:rPr>
              <w:t xml:space="preserve">Current IBM Cloud Usage — .xlsx or .csv (optional)</w:t>
            </w:r>
          </w:p>
        </w:tc>
      </w:tr>
      <w:tr>
        <w:tc>
          <w:tcPr>
            <w:tcW w:type="pct" w:w="30%"/>
          </w:tcPr>
          <w:p>
            <w:r>
              <w:rPr>
                <w:rFonts w:ascii="IBM Plex Sans" w:cs="IBM Plex Sans" w:eastAsia="IBM Plex Sans" w:hAnsi="IBM Plex Sans"/>
                <w:b/>
                <w:bCs/>
                <w:color w:val="161616"/>
                <w:sz w:val="20"/>
                <w:szCs w:val="20"/>
              </w:rPr>
              <w:t xml:space="preserve">Step 4</w:t>
            </w:r>
          </w:p>
        </w:tc>
        <w:tc>
          <w:tcPr>
            <w:tcW w:type="pct" w:w="70%"/>
          </w:tcPr>
          <w:p>
            <w:r>
              <w:rPr>
                <w:rFonts w:ascii="IBM Plex Sans" w:cs="IBM Plex Sans" w:eastAsia="IBM Plex Sans" w:hAnsi="IBM Plex Sans"/>
                <w:color w:val="161616"/>
                <w:sz w:val="20"/>
                <w:szCs w:val="20"/>
              </w:rPr>
              <w:t xml:space="preserve">ISC Account Data — seller exports from ISC, uploads .xlsx/.csv (optional)</w:t>
            </w:r>
          </w:p>
        </w:tc>
      </w:tr>
      <w:tr>
        <w:tc>
          <w:tcPr>
            <w:tcW w:type="pct" w:w="30%"/>
            <w:shd w:color="F4F4F4" w:val="solid"/>
          </w:tcPr>
          <w:p>
            <w:r>
              <w:rPr>
                <w:rFonts w:ascii="IBM Plex Sans" w:cs="IBM Plex Sans" w:eastAsia="IBM Plex Sans" w:hAnsi="IBM Plex Sans"/>
                <w:b/>
                <w:bCs/>
                <w:color w:val="161616"/>
                <w:sz w:val="20"/>
                <w:szCs w:val="20"/>
              </w:rPr>
              <w:t xml:space="preserve">Step 5</w:t>
            </w:r>
          </w:p>
        </w:tc>
        <w:tc>
          <w:tcPr>
            <w:tcW w:type="pct" w:w="70%"/>
            <w:shd w:color="F4F4F4" w:val="solid"/>
          </w:tcPr>
          <w:p>
            <w:r>
              <w:rPr>
                <w:rFonts w:ascii="IBM Plex Sans" w:cs="IBM Plex Sans" w:eastAsia="IBM Plex Sans" w:hAnsi="IBM Plex Sans"/>
                <w:color w:val="161616"/>
                <w:sz w:val="20"/>
                <w:szCs w:val="20"/>
              </w:rPr>
              <w:t xml:space="preserve">Existing BOM Example — .xlsx or .docx (optional)</w:t>
            </w:r>
          </w:p>
        </w:tc>
      </w:tr>
      <w:tr>
        <w:tc>
          <w:tcPr>
            <w:tcW w:type="pct" w:w="30%"/>
          </w:tcPr>
          <w:p>
            <w:r>
              <w:rPr>
                <w:rFonts w:ascii="IBM Plex Sans" w:cs="IBM Plex Sans" w:eastAsia="IBM Plex Sans" w:hAnsi="IBM Plex Sans"/>
                <w:b/>
                <w:bCs/>
                <w:color w:val="161616"/>
                <w:sz w:val="20"/>
                <w:szCs w:val="20"/>
              </w:rPr>
              <w:t xml:space="preserve">Step 6</w:t>
            </w:r>
          </w:p>
        </w:tc>
        <w:tc>
          <w:tcPr>
            <w:tcW w:type="pct" w:w="70%"/>
          </w:tcPr>
          <w:p>
            <w:r>
              <w:rPr>
                <w:rFonts w:ascii="IBM Plex Sans" w:cs="IBM Plex Sans" w:eastAsia="IBM Plex Sans" w:hAnsi="IBM Plex Sans"/>
                <w:color w:val="161616"/>
                <w:sz w:val="20"/>
                <w:szCs w:val="20"/>
              </w:rPr>
              <w:t xml:space="preserve">Competitive Install Info — .xlsx or free text (optional)</w:t>
            </w:r>
          </w:p>
        </w:tc>
      </w:tr>
      <w:tr>
        <w:tc>
          <w:tcPr>
            <w:tcW w:type="pct" w:w="30%"/>
            <w:shd w:color="F4F4F4" w:val="solid"/>
          </w:tcPr>
          <w:p>
            <w:r>
              <w:rPr>
                <w:rFonts w:ascii="IBM Plex Sans" w:cs="IBM Plex Sans" w:eastAsia="IBM Plex Sans" w:hAnsi="IBM Plex Sans"/>
                <w:b/>
                <w:bCs/>
                <w:color w:val="161616"/>
                <w:sz w:val="20"/>
                <w:szCs w:val="20"/>
              </w:rPr>
              <w:t xml:space="preserve">Step 7</w:t>
            </w:r>
          </w:p>
        </w:tc>
        <w:tc>
          <w:tcPr>
            <w:tcW w:type="pct" w:w="70%"/>
            <w:shd w:color="F4F4F4" w:val="solid"/>
          </w:tcPr>
          <w:p>
            <w:r>
              <w:rPr>
                <w:rFonts w:ascii="IBM Plex Sans" w:cs="IBM Plex Sans" w:eastAsia="IBM Plex Sans" w:hAnsi="IBM Plex Sans"/>
                <w:color w:val="161616"/>
                <w:sz w:val="20"/>
                <w:szCs w:val="20"/>
              </w:rPr>
              <w:t xml:space="preserve">Opportunity Notes — free text (required)</w:t>
            </w:r>
          </w:p>
        </w:tc>
      </w:tr>
    </w:tbl>
    <w:p>
      <w:pPr>
        <w:spacing w:after="200"/>
      </w:pPr>
    </w:p>
    <w:p>
      <w:pPr>
        <w:spacing w:after="140"/>
      </w:pPr>
      <w:r>
        <w:rPr>
          <w:rFonts w:ascii="IBM Plex Sans" w:cs="IBM Plex Sans" w:eastAsia="IBM Plex Sans" w:hAnsi="IBM Plex Sans"/>
          <w:color w:val="161616"/>
          <w:sz w:val="22"/>
          <w:szCs w:val="22"/>
        </w:rPr>
        <w:t xml:space="preserve">On submission, the orchestrator calls IBM AskSales, passes all context to Watson Assistant, and returns a 4-section roadmap rendered on screen. A "Download as Word" button exports the full roadmap as a formatted .docx file.</w:t>
      </w:r>
    </w:p>
    <w:p>
      <w:pPr>
        <w:spacing w:after="200"/>
      </w:pPr>
    </w:p>
    <w:p>
      <w:pPr>
        <w:pBdr>
          <w:bottom w:val="single" w:color="E0E0E0" w:sz="4"/>
        </w:pBdr>
        <w:spacing w:after="160" w:before="480"/>
      </w:pPr>
      <w:r>
        <w:rPr>
          <w:rFonts w:ascii="IBM Plex Sans" w:cs="IBM Plex Sans" w:eastAsia="IBM Plex Sans" w:hAnsi="IBM Plex Sans"/>
          <w:b/>
          <w:bCs/>
          <w:color w:val="0F62FE"/>
          <w:sz w:val="32"/>
          <w:szCs w:val="32"/>
        </w:rPr>
        <w:t xml:space="preserve">6. API Routes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color="F4F4F4" w:val="solid"/>
          </w:tcPr>
          <w:p>
            <w:r>
              <w:rPr>
                <w:rFonts w:ascii="IBM Plex Sans" w:cs="IBM Plex Sans" w:eastAsia="IBM Plex Sans" w:hAnsi="IBM Plex Sans"/>
                <w:b/>
                <w:bCs/>
                <w:color w:val="161616"/>
                <w:sz w:val="20"/>
                <w:szCs w:val="20"/>
              </w:rPr>
              <w:t xml:space="preserve">POST /api/roadmap</w:t>
            </w:r>
          </w:p>
        </w:tc>
        <w:tc>
          <w:tcPr>
            <w:tcW w:type="pct" w:w="70%"/>
            <w:shd w:color="F4F4F4" w:val="solid"/>
          </w:tcPr>
          <w:p>
            <w:r>
              <w:rPr>
                <w:rFonts w:ascii="IBM Plex Sans" w:cs="IBM Plex Sans" w:eastAsia="IBM Plex Sans" w:hAnsi="IBM Plex Sans"/>
                <w:color w:val="161616"/>
                <w:sz w:val="20"/>
                <w:szCs w:val="20"/>
              </w:rPr>
              <w:t xml:space="preserve">Main orchestrator — all inputs in, structured roadmap out</w:t>
            </w:r>
          </w:p>
        </w:tc>
      </w:tr>
      <w:tr>
        <w:tc>
          <w:tcPr>
            <w:tcW w:type="pct" w:w="30%"/>
          </w:tcPr>
          <w:p>
            <w:r>
              <w:rPr>
                <w:rFonts w:ascii="IBM Plex Sans" w:cs="IBM Plex Sans" w:eastAsia="IBM Plex Sans" w:hAnsi="IBM Plex Sans"/>
                <w:b/>
                <w:bCs/>
                <w:color w:val="161616"/>
                <w:sz w:val="20"/>
                <w:szCs w:val="20"/>
              </w:rPr>
              <w:t xml:space="preserve">POST /api/upload</w:t>
            </w:r>
          </w:p>
        </w:tc>
        <w:tc>
          <w:tcPr>
            <w:tcW w:type="pct" w:w="70%"/>
          </w:tcPr>
          <w:p>
            <w:r>
              <w:rPr>
                <w:rFonts w:ascii="IBM Plex Sans" w:cs="IBM Plex Sans" w:eastAsia="IBM Plex Sans" w:hAnsi="IBM Plex Sans"/>
                <w:color w:val="161616"/>
                <w:sz w:val="20"/>
                <w:szCs w:val="20"/>
              </w:rPr>
              <w:t xml:space="preserve">File upload + parsing (.docx, .pdf, .xlsx, .csv)</w:t>
            </w:r>
          </w:p>
        </w:tc>
      </w:tr>
      <w:tr>
        <w:tc>
          <w:tcPr>
            <w:tcW w:type="pct" w:w="30%"/>
            <w:shd w:color="F4F4F4" w:val="solid"/>
          </w:tcPr>
          <w:p>
            <w:r>
              <w:rPr>
                <w:rFonts w:ascii="IBM Plex Sans" w:cs="IBM Plex Sans" w:eastAsia="IBM Plex Sans" w:hAnsi="IBM Plex Sans"/>
                <w:b/>
                <w:bCs/>
                <w:color w:val="161616"/>
                <w:sz w:val="20"/>
                <w:szCs w:val="20"/>
              </w:rPr>
              <w:t xml:space="preserve">POST /api/chat</w:t>
            </w:r>
          </w:p>
        </w:tc>
        <w:tc>
          <w:tcPr>
            <w:tcW w:type="pct" w:w="70%"/>
            <w:shd w:color="F4F4F4" w:val="solid"/>
          </w:tcPr>
          <w:p>
            <w:r>
              <w:rPr>
                <w:rFonts w:ascii="IBM Plex Sans" w:cs="IBM Plex Sans" w:eastAsia="IBM Plex Sans" w:hAnsi="IBM Plex Sans"/>
                <w:color w:val="161616"/>
                <w:sz w:val="20"/>
                <w:szCs w:val="20"/>
              </w:rPr>
              <w:t xml:space="preserve">Watson Assistant stateful chat with session management</w:t>
            </w:r>
          </w:p>
        </w:tc>
      </w:tr>
      <w:tr>
        <w:tc>
          <w:tcPr>
            <w:tcW w:type="pct" w:w="30%"/>
          </w:tcPr>
          <w:p>
            <w:r>
              <w:rPr>
                <w:rFonts w:ascii="IBM Plex Sans" w:cs="IBM Plex Sans" w:eastAsia="IBM Plex Sans" w:hAnsi="IBM Plex Sans"/>
                <w:b/>
                <w:bCs/>
                <w:color w:val="161616"/>
                <w:sz w:val="20"/>
                <w:szCs w:val="20"/>
              </w:rPr>
              <w:t xml:space="preserve">GET /api/asksales</w:t>
            </w:r>
          </w:p>
        </w:tc>
        <w:tc>
          <w:tcPr>
            <w:tcW w:type="pct" w:w="70%"/>
          </w:tcPr>
          <w:p>
            <w:r>
              <w:rPr>
                <w:rFonts w:ascii="IBM Plex Sans" w:cs="IBM Plex Sans" w:eastAsia="IBM Plex Sans" w:hAnsi="IBM Plex Sans"/>
                <w:color w:val="161616"/>
                <w:sz w:val="20"/>
                <w:szCs w:val="20"/>
              </w:rPr>
              <w:t xml:space="preserve">IBM AskSales proxy (search, query, playbook, competitive)</w:t>
            </w:r>
          </w:p>
        </w:tc>
      </w:tr>
      <w:tr>
        <w:tc>
          <w:tcPr>
            <w:tcW w:type="pct" w:w="30%"/>
            <w:shd w:color="F4F4F4" w:val="solid"/>
          </w:tcPr>
          <w:p>
            <w:r>
              <w:rPr>
                <w:rFonts w:ascii="IBM Plex Sans" w:cs="IBM Plex Sans" w:eastAsia="IBM Plex Sans" w:hAnsi="IBM Plex Sans"/>
                <w:b/>
                <w:bCs/>
                <w:color w:val="161616"/>
                <w:sz w:val="20"/>
                <w:szCs w:val="20"/>
              </w:rPr>
              <w:t xml:space="preserve">POST /api/guidance</w:t>
            </w:r>
          </w:p>
        </w:tc>
        <w:tc>
          <w:tcPr>
            <w:tcW w:type="pct" w:w="70%"/>
            <w:shd w:color="F4F4F4" w:val="solid"/>
          </w:tcPr>
          <w:p>
            <w:r>
              <w:rPr>
                <w:rFonts w:ascii="IBM Plex Sans" w:cs="IBM Plex Sans" w:eastAsia="IBM Plex Sans" w:hAnsi="IBM Plex Sans"/>
                <w:color w:val="161616"/>
                <w:sz w:val="20"/>
                <w:szCs w:val="20"/>
              </w:rPr>
              <w:t xml:space="preserve">Deal guidance — AskSales + WatsonX recommendations</w:t>
            </w:r>
          </w:p>
        </w:tc>
      </w:tr>
      <w:tr>
        <w:tc>
          <w:tcPr>
            <w:tcW w:type="pct" w:w="30%"/>
          </w:tcPr>
          <w:p>
            <w:r>
              <w:rPr>
                <w:rFonts w:ascii="IBM Plex Sans" w:cs="IBM Plex Sans" w:eastAsia="IBM Plex Sans" w:hAnsi="IBM Plex Sans"/>
                <w:b/>
                <w:bCs/>
                <w:color w:val="161616"/>
                <w:sz w:val="20"/>
                <w:szCs w:val="20"/>
              </w:rPr>
              <w:t xml:space="preserve">GET /api/crm</w:t>
            </w:r>
          </w:p>
        </w:tc>
        <w:tc>
          <w:tcPr>
            <w:tcW w:type="pct" w:w="70%"/>
          </w:tcPr>
          <w:p>
            <w:r>
              <w:rPr>
                <w:rFonts w:ascii="IBM Plex Sans" w:cs="IBM Plex Sans" w:eastAsia="IBM Plex Sans" w:hAnsi="IBM Plex Sans"/>
                <w:color w:val="161616"/>
                <w:sz w:val="20"/>
                <w:szCs w:val="20"/>
              </w:rPr>
              <w:t xml:space="preserve">CRM deal data retrieval and normalisation</w:t>
            </w:r>
          </w:p>
        </w:tc>
      </w:tr>
    </w:tbl>
    <w:p>
      <w:pPr>
        <w:spacing w:after="200"/>
      </w:pPr>
    </w:p>
    <w:p>
      <w:pPr>
        <w:pBdr>
          <w:bottom w:val="single" w:color="E0E0E0" w:sz="4"/>
        </w:pBdr>
        <w:spacing w:after="160" w:before="480"/>
      </w:pPr>
      <w:r>
        <w:rPr>
          <w:rFonts w:ascii="IBM Plex Sans" w:cs="IBM Plex Sans" w:eastAsia="IBM Plex Sans" w:hAnsi="IBM Plex Sans"/>
          <w:b/>
          <w:bCs/>
          <w:color w:val="0F62FE"/>
          <w:sz w:val="32"/>
          <w:szCs w:val="32"/>
        </w:rPr>
        <w:t xml:space="preserve">7. Project File Structure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color="F4F4F4" w:val="solid"/>
          </w:tcPr>
          <w:p>
            <w:r>
              <w:rPr>
                <w:rFonts w:ascii="IBM Plex Sans" w:cs="IBM Plex Sans" w:eastAsia="IBM Plex Sans" w:hAnsi="IBM Plex Sans"/>
                <w:b/>
                <w:bCs/>
                <w:color w:val="161616"/>
                <w:sz w:val="20"/>
                <w:szCs w:val="20"/>
              </w:rPr>
              <w:t xml:space="preserve">src/types/index.ts</w:t>
            </w:r>
          </w:p>
        </w:tc>
        <w:tc>
          <w:tcPr>
            <w:tcW w:type="pct" w:w="70%"/>
            <w:shd w:color="F4F4F4" w:val="solid"/>
          </w:tcPr>
          <w:p>
            <w:r>
              <w:rPr>
                <w:rFonts w:ascii="IBM Plex Sans" w:cs="IBM Plex Sans" w:eastAsia="IBM Plex Sans" w:hAnsi="IBM Plex Sans"/>
                <w:color w:val="161616"/>
                <w:sz w:val="20"/>
                <w:szCs w:val="20"/>
              </w:rPr>
              <w:t xml:space="preserve">All shared TypeScript types and interfaces</w:t>
            </w:r>
          </w:p>
        </w:tc>
      </w:tr>
      <w:tr>
        <w:tc>
          <w:tcPr>
            <w:tcW w:type="pct" w:w="30%"/>
          </w:tcPr>
          <w:p>
            <w:r>
              <w:rPr>
                <w:rFonts w:ascii="IBM Plex Sans" w:cs="IBM Plex Sans" w:eastAsia="IBM Plex Sans" w:hAnsi="IBM Plex Sans"/>
                <w:b/>
                <w:bCs/>
                <w:color w:val="161616"/>
                <w:sz w:val="20"/>
                <w:szCs w:val="20"/>
              </w:rPr>
              <w:t xml:space="preserve">src/services/ai/watson-assistant.ts</w:t>
            </w:r>
          </w:p>
        </w:tc>
        <w:tc>
          <w:tcPr>
            <w:tcW w:type="pct" w:w="70%"/>
          </w:tcPr>
          <w:p>
            <w:r>
              <w:rPr>
                <w:rFonts w:ascii="IBM Plex Sans" w:cs="IBM Plex Sans" w:eastAsia="IBM Plex Sans" w:hAnsi="IBM Plex Sans"/>
                <w:color w:val="161616"/>
                <w:sz w:val="20"/>
                <w:szCs w:val="20"/>
              </w:rPr>
              <w:t xml:space="preserve">Watson Assistant v2 service (mock mode when no API key)</w:t>
            </w:r>
          </w:p>
        </w:tc>
      </w:tr>
      <w:tr>
        <w:tc>
          <w:tcPr>
            <w:tcW w:type="pct" w:w="30%"/>
            <w:shd w:color="F4F4F4" w:val="solid"/>
          </w:tcPr>
          <w:p>
            <w:r>
              <w:rPr>
                <w:rFonts w:ascii="IBM Plex Sans" w:cs="IBM Plex Sans" w:eastAsia="IBM Plex Sans" w:hAnsi="IBM Plex Sans"/>
                <w:b/>
                <w:bCs/>
                <w:color w:val="161616"/>
                <w:sz w:val="20"/>
                <w:szCs w:val="20"/>
              </w:rPr>
              <w:t xml:space="preserve">src/services/ai/watsonx.ts</w:t>
            </w:r>
          </w:p>
        </w:tc>
        <w:tc>
          <w:tcPr>
            <w:tcW w:type="pct" w:w="70%"/>
            <w:shd w:color="F4F4F4" w:val="solid"/>
          </w:tcPr>
          <w:p>
            <w:r>
              <w:rPr>
                <w:rFonts w:ascii="IBM Plex Sans" w:cs="IBM Plex Sans" w:eastAsia="IBM Plex Sans" w:hAnsi="IBM Plex Sans"/>
                <w:color w:val="161616"/>
                <w:sz w:val="20"/>
                <w:szCs w:val="20"/>
              </w:rPr>
              <w:t xml:space="preserve">WatsonX.ai service for deal guidance generation</w:t>
            </w:r>
          </w:p>
        </w:tc>
      </w:tr>
      <w:tr>
        <w:tc>
          <w:tcPr>
            <w:tcW w:type="pct" w:w="30%"/>
          </w:tcPr>
          <w:p>
            <w:r>
              <w:rPr>
                <w:rFonts w:ascii="IBM Plex Sans" w:cs="IBM Plex Sans" w:eastAsia="IBM Plex Sans" w:hAnsi="IBM Plex Sans"/>
                <w:b/>
                <w:bCs/>
                <w:color w:val="161616"/>
                <w:sz w:val="20"/>
                <w:szCs w:val="20"/>
              </w:rPr>
              <w:t xml:space="preserve">src/services/asksales/client.ts</w:t>
            </w:r>
          </w:p>
        </w:tc>
        <w:tc>
          <w:tcPr>
            <w:tcW w:type="pct" w:w="70%"/>
          </w:tcPr>
          <w:p>
            <w:r>
              <w:rPr>
                <w:rFonts w:ascii="IBM Plex Sans" w:cs="IBM Plex Sans" w:eastAsia="IBM Plex Sans" w:hAnsi="IBM Plex Sans"/>
                <w:color w:val="161616"/>
                <w:sz w:val="20"/>
                <w:szCs w:val="20"/>
              </w:rPr>
              <w:t xml:space="preserve">IBM AskSales HTTP client</w:t>
            </w:r>
          </w:p>
        </w:tc>
      </w:tr>
      <w:tr>
        <w:tc>
          <w:tcPr>
            <w:tcW w:type="pct" w:w="30%"/>
            <w:shd w:color="F4F4F4" w:val="solid"/>
          </w:tcPr>
          <w:p>
            <w:r>
              <w:rPr>
                <w:rFonts w:ascii="IBM Plex Sans" w:cs="IBM Plex Sans" w:eastAsia="IBM Plex Sans" w:hAnsi="IBM Plex Sans"/>
                <w:b/>
                <w:bCs/>
                <w:color w:val="161616"/>
                <w:sz w:val="20"/>
                <w:szCs w:val="20"/>
              </w:rPr>
              <w:t xml:space="preserve">src/services/crm/client.ts</w:t>
            </w:r>
          </w:p>
        </w:tc>
        <w:tc>
          <w:tcPr>
            <w:tcW w:type="pct" w:w="70%"/>
            <w:shd w:color="F4F4F4" w:val="solid"/>
          </w:tcPr>
          <w:p>
            <w:r>
              <w:rPr>
                <w:rFonts w:ascii="IBM Plex Sans" w:cs="IBM Plex Sans" w:eastAsia="IBM Plex Sans" w:hAnsi="IBM Plex Sans"/>
                <w:color w:val="161616"/>
                <w:sz w:val="20"/>
                <w:szCs w:val="20"/>
              </w:rPr>
              <w:t xml:space="preserve">CRM API client and deal normalisation</w:t>
            </w:r>
          </w:p>
        </w:tc>
      </w:tr>
      <w:tr>
        <w:tc>
          <w:tcPr>
            <w:tcW w:type="pct" w:w="30%"/>
          </w:tcPr>
          <w:p>
            <w:r>
              <w:rPr>
                <w:rFonts w:ascii="IBM Plex Sans" w:cs="IBM Plex Sans" w:eastAsia="IBM Plex Sans" w:hAnsi="IBM Plex Sans"/>
                <w:b/>
                <w:bCs/>
                <w:color w:val="161616"/>
                <w:sz w:val="20"/>
                <w:szCs w:val="20"/>
              </w:rPr>
              <w:t xml:space="preserve">src/services/files/parser.ts</w:t>
            </w:r>
          </w:p>
        </w:tc>
        <w:tc>
          <w:tcPr>
            <w:tcW w:type="pct" w:w="70%"/>
          </w:tcPr>
          <w:p>
            <w:r>
              <w:rPr>
                <w:rFonts w:ascii="IBM Plex Sans" w:cs="IBM Plex Sans" w:eastAsia="IBM Plex Sans" w:hAnsi="IBM Plex Sans"/>
                <w:color w:val="161616"/>
                <w:sz w:val="20"/>
                <w:szCs w:val="20"/>
              </w:rPr>
              <w:t xml:space="preserve">File parsing service (.docx, .pdf, .xlsx, .csv)</w:t>
            </w:r>
          </w:p>
        </w:tc>
      </w:tr>
      <w:tr>
        <w:tc>
          <w:tcPr>
            <w:tcW w:type="pct" w:w="30%"/>
            <w:shd w:color="F4F4F4" w:val="solid"/>
          </w:tcPr>
          <w:p>
            <w:r>
              <w:rPr>
                <w:rFonts w:ascii="IBM Plex Sans" w:cs="IBM Plex Sans" w:eastAsia="IBM Plex Sans" w:hAnsi="IBM Plex Sans"/>
                <w:b/>
                <w:bCs/>
                <w:color w:val="161616"/>
                <w:sz w:val="20"/>
                <w:szCs w:val="20"/>
              </w:rPr>
              <w:t xml:space="preserve">src/services/files/docx-export.ts</w:t>
            </w:r>
          </w:p>
        </w:tc>
        <w:tc>
          <w:tcPr>
            <w:tcW w:type="pct" w:w="70%"/>
            <w:shd w:color="F4F4F4" w:val="solid"/>
          </w:tcPr>
          <w:p>
            <w:r>
              <w:rPr>
                <w:rFonts w:ascii="IBM Plex Sans" w:cs="IBM Plex Sans" w:eastAsia="IBM Plex Sans" w:hAnsi="IBM Plex Sans"/>
                <w:color w:val="161616"/>
                <w:sz w:val="20"/>
                <w:szCs w:val="20"/>
              </w:rPr>
              <w:t xml:space="preserve">Word document generation service</w:t>
            </w:r>
          </w:p>
        </w:tc>
      </w:tr>
      <w:tr>
        <w:tc>
          <w:tcPr>
            <w:tcW w:type="pct" w:w="30%"/>
          </w:tcPr>
          <w:p>
            <w:r>
              <w:rPr>
                <w:rFonts w:ascii="IBM Plex Sans" w:cs="IBM Plex Sans" w:eastAsia="IBM Plex Sans" w:hAnsi="IBM Plex Sans"/>
                <w:b/>
                <w:bCs/>
                <w:color w:val="161616"/>
                <w:sz w:val="20"/>
                <w:szCs w:val="20"/>
              </w:rPr>
              <w:t xml:space="preserve">src/hooks/useAskSales.ts</w:t>
            </w:r>
          </w:p>
        </w:tc>
        <w:tc>
          <w:tcPr>
            <w:tcW w:type="pct" w:w="70%"/>
          </w:tcPr>
          <w:p>
            <w:r>
              <w:rPr>
                <w:rFonts w:ascii="IBM Plex Sans" w:cs="IBM Plex Sans" w:eastAsia="IBM Plex Sans" w:hAnsi="IBM Plex Sans"/>
                <w:color w:val="161616"/>
                <w:sz w:val="20"/>
                <w:szCs w:val="20"/>
              </w:rPr>
              <w:t xml:space="preserve">React hook — AskSales queries from frontend</w:t>
            </w:r>
          </w:p>
        </w:tc>
      </w:tr>
      <w:tr>
        <w:tc>
          <w:tcPr>
            <w:tcW w:type="pct" w:w="30%"/>
            <w:shd w:color="F4F4F4" w:val="solid"/>
          </w:tcPr>
          <w:p>
            <w:r>
              <w:rPr>
                <w:rFonts w:ascii="IBM Plex Sans" w:cs="IBM Plex Sans" w:eastAsia="IBM Plex Sans" w:hAnsi="IBM Plex Sans"/>
                <w:b/>
                <w:bCs/>
                <w:color w:val="161616"/>
                <w:sz w:val="20"/>
                <w:szCs w:val="20"/>
              </w:rPr>
              <w:t xml:space="preserve">src/hooks/useChat.ts</w:t>
            </w:r>
          </w:p>
        </w:tc>
        <w:tc>
          <w:tcPr>
            <w:tcW w:type="pct" w:w="70%"/>
            <w:shd w:color="F4F4F4" w:val="solid"/>
          </w:tcPr>
          <w:p>
            <w:r>
              <w:rPr>
                <w:rFonts w:ascii="IBM Plex Sans" w:cs="IBM Plex Sans" w:eastAsia="IBM Plex Sans" w:hAnsi="IBM Plex Sans"/>
                <w:color w:val="161616"/>
                <w:sz w:val="20"/>
                <w:szCs w:val="20"/>
              </w:rPr>
              <w:t xml:space="preserve">React hook — Watson Assistant chat with session management</w:t>
            </w:r>
          </w:p>
        </w:tc>
      </w:tr>
      <w:tr>
        <w:tc>
          <w:tcPr>
            <w:tcW w:type="pct" w:w="30%"/>
          </w:tcPr>
          <w:p>
            <w:r>
              <w:rPr>
                <w:rFonts w:ascii="IBM Plex Sans" w:cs="IBM Plex Sans" w:eastAsia="IBM Plex Sans" w:hAnsi="IBM Plex Sans"/>
                <w:b/>
                <w:bCs/>
                <w:color w:val="161616"/>
                <w:sz w:val="20"/>
                <w:szCs w:val="20"/>
              </w:rPr>
              <w:t xml:space="preserve">src/hooks/useGuidance.ts</w:t>
            </w:r>
          </w:p>
        </w:tc>
        <w:tc>
          <w:tcPr>
            <w:tcW w:type="pct" w:w="70%"/>
          </w:tcPr>
          <w:p>
            <w:r>
              <w:rPr>
                <w:rFonts w:ascii="IBM Plex Sans" w:cs="IBM Plex Sans" w:eastAsia="IBM Plex Sans" w:hAnsi="IBM Plex Sans"/>
                <w:color w:val="161616"/>
                <w:sz w:val="20"/>
                <w:szCs w:val="20"/>
              </w:rPr>
              <w:t xml:space="preserve">React hook — deal guidance requests</w:t>
            </w:r>
          </w:p>
        </w:tc>
      </w:tr>
      <w:tr>
        <w:tc>
          <w:tcPr>
            <w:tcW w:type="pct" w:w="30%"/>
            <w:shd w:color="F4F4F4" w:val="solid"/>
          </w:tcPr>
          <w:p>
            <w:r>
              <w:rPr>
                <w:rFonts w:ascii="IBM Plex Sans" w:cs="IBM Plex Sans" w:eastAsia="IBM Plex Sans" w:hAnsi="IBM Plex Sans"/>
                <w:b/>
                <w:bCs/>
                <w:color w:val="161616"/>
                <w:sz w:val="20"/>
                <w:szCs w:val="20"/>
              </w:rPr>
              <w:t xml:space="preserve">src/components/RoadmapWorkflow/</w:t>
            </w:r>
          </w:p>
        </w:tc>
        <w:tc>
          <w:tcPr>
            <w:tcW w:type="pct" w:w="70%"/>
            <w:shd w:color="F4F4F4" w:val="solid"/>
          </w:tcPr>
          <w:p>
            <w:r>
              <w:rPr>
                <w:rFonts w:ascii="IBM Plex Sans" w:cs="IBM Plex Sans" w:eastAsia="IBM Plex Sans" w:hAnsi="IBM Plex Sans"/>
                <w:color w:val="161616"/>
                <w:sz w:val="20"/>
                <w:szCs w:val="20"/>
              </w:rPr>
              <w:t xml:space="preserve">Multi-step guided input form (Bob workflow UI)</w:t>
            </w:r>
          </w:p>
        </w:tc>
      </w:tr>
      <w:tr>
        <w:tc>
          <w:tcPr>
            <w:tcW w:type="pct" w:w="30%"/>
          </w:tcPr>
          <w:p>
            <w:r>
              <w:rPr>
                <w:rFonts w:ascii="IBM Plex Sans" w:cs="IBM Plex Sans" w:eastAsia="IBM Plex Sans" w:hAnsi="IBM Plex Sans"/>
                <w:b/>
                <w:bCs/>
                <w:color w:val="161616"/>
                <w:sz w:val="20"/>
                <w:szCs w:val="20"/>
              </w:rPr>
              <w:t xml:space="preserve">src/components/RoadmapOutput/</w:t>
            </w:r>
          </w:p>
        </w:tc>
        <w:tc>
          <w:tcPr>
            <w:tcW w:type="pct" w:w="70%"/>
          </w:tcPr>
          <w:p>
            <w:r>
              <w:rPr>
                <w:rFonts w:ascii="IBM Plex Sans" w:cs="IBM Plex Sans" w:eastAsia="IBM Plex Sans" w:hAnsi="IBM Plex Sans"/>
                <w:color w:val="161616"/>
                <w:sz w:val="20"/>
                <w:szCs w:val="20"/>
              </w:rPr>
              <w:t xml:space="preserve">4-section roadmap renderer + download button</w:t>
            </w:r>
          </w:p>
        </w:tc>
      </w:tr>
      <w:tr>
        <w:tc>
          <w:tcPr>
            <w:tcW w:type="pct" w:w="30%"/>
            <w:shd w:color="F4F4F4" w:val="solid"/>
          </w:tcPr>
          <w:p>
            <w:r>
              <w:rPr>
                <w:rFonts w:ascii="IBM Plex Sans" w:cs="IBM Plex Sans" w:eastAsia="IBM Plex Sans" w:hAnsi="IBM Plex Sans"/>
                <w:b/>
                <w:bCs/>
                <w:color w:val="161616"/>
                <w:sz w:val="20"/>
                <w:szCs w:val="20"/>
              </w:rPr>
              <w:t xml:space="preserve">src/components/ChatBot/</w:t>
            </w:r>
          </w:p>
        </w:tc>
        <w:tc>
          <w:tcPr>
            <w:tcW w:type="pct" w:w="70%"/>
            <w:shd w:color="F4F4F4" w:val="solid"/>
          </w:tcPr>
          <w:p>
            <w:r>
              <w:rPr>
                <w:rFonts w:ascii="IBM Plex Sans" w:cs="IBM Plex Sans" w:eastAsia="IBM Plex Sans" w:hAnsi="IBM Plex Sans"/>
                <w:color w:val="161616"/>
                <w:sz w:val="20"/>
                <w:szCs w:val="20"/>
              </w:rPr>
              <w:t xml:space="preserve">AI assistant chat interface</w:t>
            </w:r>
          </w:p>
        </w:tc>
      </w:tr>
      <w:tr>
        <w:tc>
          <w:tcPr>
            <w:tcW w:type="pct" w:w="30%"/>
          </w:tcPr>
          <w:p>
            <w:r>
              <w:rPr>
                <w:rFonts w:ascii="IBM Plex Sans" w:cs="IBM Plex Sans" w:eastAsia="IBM Plex Sans" w:hAnsi="IBM Plex Sans"/>
                <w:b/>
                <w:bCs/>
                <w:color w:val="161616"/>
                <w:sz w:val="20"/>
                <w:szCs w:val="20"/>
              </w:rPr>
              <w:t xml:space="preserve">src/components/DealForm/</w:t>
            </w:r>
          </w:p>
        </w:tc>
        <w:tc>
          <w:tcPr>
            <w:tcW w:type="pct" w:w="70%"/>
          </w:tcPr>
          <w:p>
            <w:r>
              <w:rPr>
                <w:rFonts w:ascii="IBM Plex Sans" w:cs="IBM Plex Sans" w:eastAsia="IBM Plex Sans" w:hAnsi="IBM Plex Sans"/>
                <w:color w:val="161616"/>
                <w:sz w:val="20"/>
                <w:szCs w:val="20"/>
              </w:rPr>
              <w:t xml:space="preserve">Deal input form</w:t>
            </w:r>
          </w:p>
        </w:tc>
      </w:tr>
      <w:tr>
        <w:tc>
          <w:tcPr>
            <w:tcW w:type="pct" w:w="30%"/>
            <w:shd w:color="F4F4F4" w:val="solid"/>
          </w:tcPr>
          <w:p>
            <w:r>
              <w:rPr>
                <w:rFonts w:ascii="IBM Plex Sans" w:cs="IBM Plex Sans" w:eastAsia="IBM Plex Sans" w:hAnsi="IBM Plex Sans"/>
                <w:b/>
                <w:bCs/>
                <w:color w:val="161616"/>
                <w:sz w:val="20"/>
                <w:szCs w:val="20"/>
              </w:rPr>
              <w:t xml:space="preserve">src/app/roadmap/page.tsx</w:t>
            </w:r>
          </w:p>
        </w:tc>
        <w:tc>
          <w:tcPr>
            <w:tcW w:type="pct" w:w="70%"/>
            <w:shd w:color="F4F4F4" w:val="solid"/>
          </w:tcPr>
          <w:p>
            <w:r>
              <w:rPr>
                <w:rFonts w:ascii="IBM Plex Sans" w:cs="IBM Plex Sans" w:eastAsia="IBM Plex Sans" w:hAnsi="IBM Plex Sans"/>
                <w:color w:val="161616"/>
                <w:sz w:val="20"/>
                <w:szCs w:val="20"/>
              </w:rPr>
              <w:t xml:space="preserve">Client Roadmap Generator page</w:t>
            </w:r>
          </w:p>
        </w:tc>
      </w:tr>
      <w:tr>
        <w:tc>
          <w:tcPr>
            <w:tcW w:type="pct" w:w="30%"/>
          </w:tcPr>
          <w:p>
            <w:r>
              <w:rPr>
                <w:rFonts w:ascii="IBM Plex Sans" w:cs="IBM Plex Sans" w:eastAsia="IBM Plex Sans" w:hAnsi="IBM Plex Sans"/>
                <w:b/>
                <w:bCs/>
                <w:color w:val="161616"/>
                <w:sz w:val="20"/>
                <w:szCs w:val="20"/>
              </w:rPr>
              <w:t xml:space="preserve">src/app/guidance/page.tsx</w:t>
            </w:r>
          </w:p>
        </w:tc>
        <w:tc>
          <w:tcPr>
            <w:tcW w:type="pct" w:w="70%"/>
          </w:tcPr>
          <w:p>
            <w:r>
              <w:rPr>
                <w:rFonts w:ascii="IBM Plex Sans" w:cs="IBM Plex Sans" w:eastAsia="IBM Plex Sans" w:hAnsi="IBM Plex Sans"/>
                <w:color w:val="161616"/>
                <w:sz w:val="20"/>
                <w:szCs w:val="20"/>
              </w:rPr>
              <w:t xml:space="preserve">Deal Guidance page</w:t>
            </w:r>
          </w:p>
        </w:tc>
      </w:tr>
      <w:tr>
        <w:tc>
          <w:tcPr>
            <w:tcW w:type="pct" w:w="30%"/>
            <w:shd w:color="F4F4F4" w:val="solid"/>
          </w:tcPr>
          <w:p>
            <w:r>
              <w:rPr>
                <w:rFonts w:ascii="IBM Plex Sans" w:cs="IBM Plex Sans" w:eastAsia="IBM Plex Sans" w:hAnsi="IBM Plex Sans"/>
                <w:b/>
                <w:bCs/>
                <w:color w:val="161616"/>
                <w:sz w:val="20"/>
                <w:szCs w:val="20"/>
              </w:rPr>
              <w:t xml:space="preserve">src/app/chat/page.tsx</w:t>
            </w:r>
          </w:p>
        </w:tc>
        <w:tc>
          <w:tcPr>
            <w:tcW w:type="pct" w:w="70%"/>
            <w:shd w:color="F4F4F4" w:val="solid"/>
          </w:tcPr>
          <w:p>
            <w:r>
              <w:rPr>
                <w:rFonts w:ascii="IBM Plex Sans" w:cs="IBM Plex Sans" w:eastAsia="IBM Plex Sans" w:hAnsi="IBM Plex Sans"/>
                <w:color w:val="161616"/>
                <w:sz w:val="20"/>
                <w:szCs w:val="20"/>
              </w:rPr>
              <w:t xml:space="preserve">AI Assistant chat page</w:t>
            </w:r>
          </w:p>
        </w:tc>
      </w:tr>
    </w:tbl>
    <w:p>
      <w:pPr>
        <w:spacing w:after="200"/>
      </w:pPr>
    </w:p>
    <w:p>
      <w:pPr>
        <w:pBdr>
          <w:bottom w:val="single" w:color="E0E0E0" w:sz="4"/>
        </w:pBdr>
        <w:spacing w:after="160" w:before="480"/>
      </w:pPr>
      <w:r>
        <w:rPr>
          <w:rFonts w:ascii="IBM Plex Sans" w:cs="IBM Plex Sans" w:eastAsia="IBM Plex Sans" w:hAnsi="IBM Plex Sans"/>
          <w:b/>
          <w:bCs/>
          <w:color w:val="0F62FE"/>
          <w:sz w:val="32"/>
          <w:szCs w:val="32"/>
        </w:rPr>
        <w:t xml:space="preserve">8. Current Status &amp; Next Steps</w:t>
      </w:r>
    </w:p>
    <w:p>
      <w:pPr>
        <w:spacing w:after="120" w:before="280"/>
      </w:pPr>
      <w:r>
        <w:rPr>
          <w:rFonts w:ascii="IBM Plex Sans" w:cs="IBM Plex Sans" w:eastAsia="IBM Plex Sans" w:hAnsi="IBM Plex Sans"/>
          <w:b/>
          <w:bCs/>
          <w:color w:val="161616"/>
          <w:sz w:val="24"/>
          <w:szCs w:val="24"/>
        </w:rPr>
        <w:t xml:space="preserve">✅ Complete</w:t>
      </w:r>
    </w:p>
    <w:p>
      <w:pPr>
        <w:spacing w:after="80"/>
        <w:ind w:left="360"/>
      </w:pPr>
      <w:r>
        <w:rPr>
          <w:rFonts w:ascii="IBM Plex Sans" w:cs="IBM Plex Sans" w:eastAsia="IBM Plex Sans" w:hAnsi="IBM Plex Sans"/>
          <w:color w:val="161616"/>
          <w:sz w:val="22"/>
          <w:szCs w:val="22"/>
        </w:rPr>
        <w:t xml:space="preserve">• Next.js project scaffolded with full TypeScript configuration</w:t>
      </w:r>
    </w:p>
    <w:p>
      <w:pPr>
        <w:spacing w:after="80"/>
        <w:ind w:left="360"/>
      </w:pPr>
      <w:r>
        <w:rPr>
          <w:rFonts w:ascii="IBM Plex Sans" w:cs="IBM Plex Sans" w:eastAsia="IBM Plex Sans" w:hAnsi="IBM Plex Sans"/>
          <w:color w:val="161616"/>
          <w:sz w:val="22"/>
          <w:szCs w:val="22"/>
        </w:rPr>
        <w:t xml:space="preserve">• IBM Watson Assistant v2 integration (auth, skill routing, session management, mock mode)</w:t>
      </w:r>
    </w:p>
    <w:p>
      <w:pPr>
        <w:spacing w:after="80"/>
        <w:ind w:left="360"/>
      </w:pPr>
      <w:r>
        <w:rPr>
          <w:rFonts w:ascii="IBM Plex Sans" w:cs="IBM Plex Sans" w:eastAsia="IBM Plex Sans" w:hAnsi="IBM Plex Sans"/>
          <w:color w:val="161616"/>
          <w:sz w:val="22"/>
          <w:szCs w:val="22"/>
        </w:rPr>
        <w:t xml:space="preserve">• IBM AskSales API integration (search, query, playbook, competitive intel)</w:t>
      </w:r>
    </w:p>
    <w:p>
      <w:pPr>
        <w:spacing w:after="80"/>
        <w:ind w:left="360"/>
      </w:pPr>
      <w:r>
        <w:rPr>
          <w:rFonts w:ascii="IBM Plex Sans" w:cs="IBM Plex Sans" w:eastAsia="IBM Plex Sans" w:hAnsi="IBM Plex Sans"/>
          <w:color w:val="161616"/>
          <w:sz w:val="22"/>
          <w:szCs w:val="22"/>
        </w:rPr>
        <w:t xml:space="preserve">• File parsing service (.docx, .pdf, .xlsx, .csv)</w:t>
      </w:r>
    </w:p>
    <w:p>
      <w:pPr>
        <w:spacing w:after="80"/>
        <w:ind w:left="360"/>
      </w:pPr>
      <w:r>
        <w:rPr>
          <w:rFonts w:ascii="IBM Plex Sans" w:cs="IBM Plex Sans" w:eastAsia="IBM Plex Sans" w:hAnsi="IBM Plex Sans"/>
          <w:color w:val="161616"/>
          <w:sz w:val="22"/>
          <w:szCs w:val="22"/>
        </w:rPr>
        <w:t xml:space="preserve">• Roadmap orchestrator (POST /api/roadmap)</w:t>
      </w:r>
    </w:p>
    <w:p>
      <w:pPr>
        <w:spacing w:after="80"/>
        <w:ind w:left="360"/>
      </w:pPr>
      <w:r>
        <w:rPr>
          <w:rFonts w:ascii="IBM Plex Sans" w:cs="IBM Plex Sans" w:eastAsia="IBM Plex Sans" w:hAnsi="IBM Plex Sans"/>
          <w:color w:val="161616"/>
          <w:sz w:val="22"/>
          <w:szCs w:val="22"/>
        </w:rPr>
        <w:t xml:space="preserve">• Word document export service</w:t>
      </w:r>
    </w:p>
    <w:p>
      <w:pPr>
        <w:spacing w:after="80"/>
        <w:ind w:left="360"/>
      </w:pPr>
      <w:r>
        <w:rPr>
          <w:rFonts w:ascii="IBM Plex Sans" w:cs="IBM Plex Sans" w:eastAsia="IBM Plex Sans" w:hAnsi="IBM Plex Sans"/>
          <w:color w:val="161616"/>
          <w:sz w:val="22"/>
          <w:szCs w:val="22"/>
        </w:rPr>
        <w:t xml:space="preserve">• Multi-step Bob workflow UI with ISC pull prompt</w:t>
      </w:r>
    </w:p>
    <w:p>
      <w:pPr>
        <w:spacing w:after="80"/>
        <w:ind w:left="360"/>
      </w:pPr>
      <w:r>
        <w:rPr>
          <w:rFonts w:ascii="IBM Plex Sans" w:cs="IBM Plex Sans" w:eastAsia="IBM Plex Sans" w:hAnsi="IBM Plex Sans"/>
          <w:color w:val="161616"/>
          <w:sz w:val="22"/>
          <w:szCs w:val="22"/>
        </w:rPr>
        <w:t xml:space="preserve">• 4-section roadmap output renderer</w:t>
      </w:r>
    </w:p>
    <w:p>
      <w:pPr>
        <w:spacing w:after="80"/>
        <w:ind w:left="360"/>
      </w:pPr>
      <w:r>
        <w:rPr>
          <w:rFonts w:ascii="IBM Plex Sans" w:cs="IBM Plex Sans" w:eastAsia="IBM Plex Sans" w:hAnsi="IBM Plex Sans"/>
          <w:color w:val="161616"/>
          <w:sz w:val="22"/>
          <w:szCs w:val="22"/>
        </w:rPr>
        <w:t xml:space="preserve">• AI chatbot with Watson Assistant session continuity</w:t>
      </w:r>
    </w:p>
    <w:p>
      <w:pPr>
        <w:spacing w:after="80"/>
        <w:ind w:left="360"/>
      </w:pPr>
      <w:r>
        <w:rPr>
          <w:rFonts w:ascii="IBM Plex Sans" w:cs="IBM Plex Sans" w:eastAsia="IBM Plex Sans" w:hAnsi="IBM Plex Sans"/>
          <w:color w:val="161616"/>
          <w:sz w:val="22"/>
          <w:szCs w:val="22"/>
        </w:rPr>
        <w:t xml:space="preserve">• Deal guidance with WatsonX recommendations</w:t>
      </w:r>
    </w:p>
    <w:p>
      <w:pPr>
        <w:spacing w:after="80"/>
        <w:ind w:left="360"/>
      </w:pPr>
      <w:r>
        <w:rPr>
          <w:rFonts w:ascii="IBM Plex Sans" w:cs="IBM Plex Sans" w:eastAsia="IBM Plex Sans" w:hAnsi="IBM Plex Sans"/>
          <w:color w:val="161616"/>
          <w:sz w:val="22"/>
          <w:szCs w:val="22"/>
        </w:rPr>
        <w:t xml:space="preserve">• All dependencies installed (Node.js v24, npm v11)</w:t>
      </w:r>
    </w:p>
    <w:p>
      <w:pPr>
        <w:spacing w:after="200"/>
      </w:pPr>
    </w:p>
    <w:p>
      <w:pPr>
        <w:spacing w:after="120" w:before="280"/>
      </w:pPr>
      <w:r>
        <w:rPr>
          <w:rFonts w:ascii="IBM Plex Sans" w:cs="IBM Plex Sans" w:eastAsia="IBM Plex Sans" w:hAnsi="IBM Plex Sans"/>
          <w:b/>
          <w:bCs/>
          <w:color w:val="161616"/>
          <w:sz w:val="24"/>
          <w:szCs w:val="24"/>
        </w:rPr>
        <w:t xml:space="preserve">⚠ Pending</w:t>
      </w:r>
    </w:p>
    <w:p>
      <w:pPr>
        <w:spacing w:after="80"/>
        <w:ind w:left="360"/>
      </w:pPr>
      <w:r>
        <w:rPr>
          <w:rFonts w:ascii="IBM Plex Sans" w:cs="IBM Plex Sans" w:eastAsia="IBM Plex Sans" w:hAnsi="IBM Plex Sans"/>
          <w:color w:val="161616"/>
          <w:sz w:val="22"/>
          <w:szCs w:val="22"/>
        </w:rPr>
        <w:t xml:space="preserve">• Watson Assistant API key — retrieve from IBM 1Password vault</w:t>
      </w:r>
    </w:p>
    <w:p>
      <w:pPr>
        <w:spacing w:after="80"/>
        <w:ind w:left="360"/>
      </w:pPr>
      <w:r>
        <w:rPr>
          <w:rFonts w:ascii="IBM Plex Sans" w:cs="IBM Plex Sans" w:eastAsia="IBM Plex Sans" w:hAnsi="IBM Plex Sans"/>
          <w:color w:val="161616"/>
          <w:sz w:val="22"/>
          <w:szCs w:val="22"/>
        </w:rPr>
        <w:t xml:space="preserve">• Seller authentication — IBM w3id SSO (App ID integration)</w:t>
      </w:r>
    </w:p>
    <w:p>
      <w:pPr>
        <w:spacing w:after="80"/>
        <w:ind w:left="360"/>
      </w:pPr>
      <w:r>
        <w:rPr>
          <w:rFonts w:ascii="IBM Plex Sans" w:cs="IBM Plex Sans" w:eastAsia="IBM Plex Sans" w:hAnsi="IBM Plex Sans"/>
          <w:color w:val="161616"/>
          <w:sz w:val="22"/>
          <w:szCs w:val="22"/>
        </w:rPr>
        <w:t xml:space="preserve">• Deployment — IBM Cloud Code Engine + internal URL</w:t>
      </w:r>
    </w:p>
    <w:p>
      <w:pPr>
        <w:spacing w:after="80"/>
        <w:ind w:left="360"/>
      </w:pPr>
      <w:r>
        <w:rPr>
          <w:rFonts w:ascii="IBM Plex Sans" w:cs="IBM Plex Sans" w:eastAsia="IBM Plex Sans" w:hAnsi="IBM Plex Sans"/>
          <w:color w:val="161616"/>
          <w:sz w:val="22"/>
          <w:szCs w:val="22"/>
        </w:rPr>
        <w:t xml:space="preserve">• Mock mode removal — once API key is configured</w:t>
      </w:r>
    </w:p>
    <w:p>
      <w:pPr>
        <w:spacing w:after="200"/>
      </w:pPr>
    </w:p>
    <w:p>
      <w:pPr>
        <w:spacing w:after="120" w:before="280"/>
      </w:pPr>
      <w:r>
        <w:rPr>
          <w:rFonts w:ascii="IBM Plex Sans" w:cs="IBM Plex Sans" w:eastAsia="IBM Plex Sans" w:hAnsi="IBM Plex Sans"/>
          <w:b/>
          <w:bCs/>
          <w:color w:val="161616"/>
          <w:sz w:val="24"/>
          <w:szCs w:val="24"/>
        </w:rPr>
        <w:t xml:space="preserve">🔮 Future Phases</w:t>
      </w:r>
    </w:p>
    <w:p>
      <w:pPr>
        <w:spacing w:after="80"/>
        <w:ind w:left="360"/>
      </w:pPr>
      <w:r>
        <w:rPr>
          <w:rFonts w:ascii="IBM Plex Sans" w:cs="IBM Plex Sans" w:eastAsia="IBM Plex Sans" w:hAnsi="IBM Plex Sans"/>
          <w:color w:val="161616"/>
          <w:sz w:val="22"/>
          <w:szCs w:val="22"/>
        </w:rPr>
        <w:t xml:space="preserve">• Register as IBM Bob skill for marketplace distribution</w:t>
      </w:r>
    </w:p>
    <w:p>
      <w:pPr>
        <w:spacing w:after="80"/>
        <w:ind w:left="360"/>
      </w:pPr>
      <w:r>
        <w:rPr>
          <w:rFonts w:ascii="IBM Plex Sans" w:cs="IBM Plex Sans" w:eastAsia="IBM Plex Sans" w:hAnsi="IBM Plex Sans"/>
          <w:color w:val="161616"/>
          <w:sz w:val="22"/>
          <w:szCs w:val="22"/>
        </w:rPr>
        <w:t xml:space="preserve">• ISC API direct integration (when API access is available)</w:t>
      </w:r>
    </w:p>
    <w:p>
      <w:pPr>
        <w:spacing w:after="80"/>
        <w:ind w:left="360"/>
      </w:pPr>
      <w:r>
        <w:rPr>
          <w:rFonts w:ascii="IBM Plex Sans" w:cs="IBM Plex Sans" w:eastAsia="IBM Plex Sans" w:hAnsi="IBM Plex Sans"/>
          <w:color w:val="161616"/>
          <w:sz w:val="22"/>
          <w:szCs w:val="22"/>
        </w:rPr>
        <w:t xml:space="preserve">• Propel / Bob native search integration</w:t>
      </w:r>
    </w:p>
    <w:p>
      <w:pPr>
        <w:spacing w:after="80"/>
        <w:ind w:left="360"/>
      </w:pPr>
      <w:r>
        <w:rPr>
          <w:rFonts w:ascii="IBM Plex Sans" w:cs="IBM Plex Sans" w:eastAsia="IBM Plex Sans" w:hAnsi="IBM Plex Sans"/>
          <w:color w:val="161616"/>
          <w:sz w:val="22"/>
          <w:szCs w:val="22"/>
        </w:rPr>
        <w:t xml:space="preserve">• Multi-seller collaboration on roadmaps</w:t>
      </w:r>
    </w:p>
    <w:p>
      <w:pPr>
        <w:spacing w:after="200"/>
      </w:pPr>
    </w:p>
    <w:p>
      <w:pPr>
        <w:pBdr>
          <w:bottom w:val="single" w:color="0F62FE" w:sz="6"/>
        </w:pBdr>
        <w:spacing w:after="320"/>
      </w:pPr>
    </w:p>
    <w:p>
      <w:pPr>
        <w:jc w:val="center"/>
      </w:pPr>
      <w:r>
        <w:rPr>
          <w:rFonts w:ascii="IBM Plex Sans" w:cs="IBM Plex Sans" w:eastAsia="IBM Plex Sans" w:hAnsi="IBM Plex Sans"/>
          <w:i/>
          <w:iCs/>
          <w:color w:val="525252"/>
          <w:sz w:val="18"/>
          <w:szCs w:val="18"/>
        </w:rPr>
        <w:t xml:space="preserve">IBM Sales Guidance Tool · Client Roadmap Generator · July 19,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IBM Sales Guidance Tool — Project Overview</dc:title>
  <dc:creator>IBM Bob</dc:creator>
  <dc:description>Overview of the IBM Sales Guidance Tool / Client Roadmap Generator project</dc:description>
  <cp:lastModifiedBy>Un-named</cp:lastModifiedBy>
  <cp:revision>1</cp:revision>
  <dcterms:created xsi:type="dcterms:W3CDTF">2026-07-20T02:10:34.341Z</dcterms:created>
  <dcterms:modified xsi:type="dcterms:W3CDTF">2026-07-20T02:10:34.341Z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