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Previous Protocol: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Take at least 20 nurses or returning foragers from each colony and flash freeze them</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Keep samples in labelled tubes in -80C until use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Upon extraction, cut 20 worker thoraces into ¼ and place in a new tube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Thoroughly crush the sample of thoraces in a tube until homogenized</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We collected 12 diploid worker bees from the brood frames of each of 30 Africanized honeybee colonies from four apiaries all located at Iaras city, São Paulo, Brazil located approximately 200 km from Rio Claro. These colonies were obtained from natural swarms within the State of São Paulo where the Africanized honeybee invasion began. We performed a single DNA extraction for each colony by pooling ¼ of a thorax from each of the 12 workers. We used the Mag-Bind Blood DNA kit (Omega Biotek Store) with the manufacturer's recommended protocol to extract an average of 4.71±1.42 μg of high-quality DNA from each of the colonies.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