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1872" cy="1261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lens_amblem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26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Liberation Sans" w:hAnsi="Liberation Sans" w:eastAsia="Liberation Sans" w:cs="Liberation Sans"/>
          <w:b/>
          <w:i w:val="0"/>
          <w:color w:val="12334A"/>
          <w:sz w:val="36"/>
        </w:rPr>
        <w:t>LIFELENS</w:t>
      </w:r>
    </w:p>
    <w:p>
      <w:pPr>
        <w:spacing w:after="640"/>
        <w:jc w:val="center"/>
      </w:pPr>
      <w:r>
        <w:rPr>
          <w:rFonts w:ascii="Liberation Sans" w:hAnsi="Liberation Sans" w:eastAsia="Liberation Sans" w:cs="Liberation Sans"/>
          <w:b/>
          <w:i w:val="0"/>
          <w:color w:val="2B7A78"/>
          <w:sz w:val="17"/>
        </w:rPr>
        <w:t>ÇEVREDEKİ HAYATTAN DİL ÖĞRENME</w:t>
      </w:r>
    </w:p>
    <w:p>
      <w:pPr>
        <w:pStyle w:val="Title"/>
        <w:spacing w:after="180"/>
        <w:jc w:val="center"/>
      </w:pPr>
      <w:r>
        <w:rPr>
          <w:rFonts w:ascii="Liberation Sans" w:hAnsi="Liberation Sans" w:eastAsia="Liberation Sans" w:cs="Liberation Sans"/>
          <w:b/>
          <w:i w:val="0"/>
          <w:color w:val="18232D"/>
          <w:sz w:val="50"/>
        </w:rPr>
        <w:t>Teknik Mimari ve Teknolojik Tasarım</w:t>
      </w:r>
    </w:p>
    <w:p>
      <w:pPr>
        <w:spacing w:after="720"/>
        <w:jc w:val="center"/>
      </w:pPr>
      <w:r>
        <w:rPr>
          <w:rFonts w:ascii="Liberation Sans" w:hAnsi="Liberation Sans" w:eastAsia="Liberation Sans" w:cs="Liberation Sans"/>
          <w:b w:val="0"/>
          <w:i w:val="0"/>
          <w:color w:val="5B6770"/>
          <w:sz w:val="24"/>
        </w:rPr>
        <w:t>LifeLens MVP bileşenleri, veri akışları, güvenlik katmanları ve uygulama kararları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8"/>
              </w:rPr>
              <w:t>BELGE KODU</w:t>
            </w:r>
          </w:p>
        </w:tc>
        <w:tc>
          <w:tcPr>
            <w:tcW w:type="dxa" w:w="15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8"/>
              </w:rPr>
              <w:t>SÜRÜM</w:t>
            </w:r>
          </w:p>
        </w:tc>
        <w:tc>
          <w:tcPr>
            <w:tcW w:type="dxa" w:w="44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8"/>
              </w:rPr>
              <w:t>DURUM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8"/>
              </w:rPr>
              <w:t>LL-ARC-003</w:t>
            </w:r>
          </w:p>
        </w:tc>
        <w:tc>
          <w:tcPr>
            <w:tcW w:type="dxa" w:w="15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8"/>
              </w:rPr>
              <w:t>1.1</w:t>
            </w:r>
          </w:p>
        </w:tc>
        <w:tc>
          <w:tcPr>
            <w:tcW w:type="dxa" w:w="44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8"/>
              </w:rPr>
              <w:t>MVP Tasarım Basamağı</w:t>
            </w:r>
          </w:p>
        </w:tc>
      </w:tr>
    </w:tbl>
    <w:p>
      <w:pPr>
        <w:spacing w:after="20"/>
      </w:pPr>
    </w:p>
    <w:p>
      <w:pPr>
        <w:spacing w:before="480" w:after="60"/>
        <w:jc w:val="center"/>
      </w:pPr>
      <w:r>
        <w:rPr>
          <w:rFonts w:ascii="Liberation Sans" w:hAnsi="Liberation Sans" w:eastAsia="Liberation Sans" w:cs="Liberation Sans"/>
          <w:b/>
          <w:i w:val="0"/>
          <w:color w:val="B4872C"/>
          <w:sz w:val="18"/>
        </w:rPr>
        <w:t>TEKNİK MİMARİ VE TEKNOLOJİK TASARIM</w:t>
      </w:r>
    </w:p>
    <w:p>
      <w:pPr>
        <w:jc w:val="center"/>
      </w:pPr>
      <w:r>
        <w:rPr>
          <w:rFonts w:ascii="Liberation Sans" w:hAnsi="Liberation Sans" w:eastAsia="Liberation Sans" w:cs="Liberation Sans"/>
          <w:b w:val="0"/>
          <w:i w:val="0"/>
          <w:color w:val="5B6770"/>
          <w:sz w:val="18"/>
        </w:rPr>
        <w:t>Hazırlayan: LifeLens Proje Ekibi  |  Tarih: 9 Ekim 2026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Belge Kontrol Bilgisi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Alan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Bilgi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Belge kodu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LL-ARC-003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Sürüm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1.1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Belge sahibi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LifeLens Proje Ekibi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Hedef kitle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Mobil, backend, yapay zekâ, altyapı ve test ekipleri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Gizlilik sınıfı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Proje kullanımı; harici paylaşım için ekip onayı gerekir.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Değişiklik özeti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Kurumsal kimlik, detaylı analiz, izlenebilirlik ve teslim kriterleri eklendi.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Bölüm Haritası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Bölüm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1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Yönetici Özeti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2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Mimari İlkeler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3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Bileşen Mimarisi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4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Öğrenme İş Akışı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5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Teknoloji Kararları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6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Güvenlik ve Operasyon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7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Dağıtım ve Ölçeklenme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8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Riskler ve Uygulama Sırası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Yönetici Özeti</w:t>
      </w:r>
    </w:p>
    <w:p>
      <w:pPr>
        <w:spacing w:after="140" w:before="0" w:line="271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1"/>
        </w:rPr>
        <w:t>Önerilen mimari, mobil istemciyi güvenli bir uygulama API'si üzerinden yapay zekâ sağlayıcılarından ayırır. Bu ayrım, hem hackathon demo hızını hem de ürünleşme sırasında sağlayıcı değiştirme esnekliğini korur.</w:t>
      </w:r>
    </w:p>
    <w:p>
      <w:pPr>
        <w:spacing w:after="160" w:before="0" w:line="271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Tasarımın ana ilkesi, istemcinin hiçbir zaman sağlayıcı anahtarı taşımaması ve yapay zekâ çıktısının kullanıcıya ulaşmadan önce şema, seviye ve güvenlik kontrollerinden geçmesidir.</w:t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Mimari İlkeler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Sınırların ayrılması: Kamera/arayüz, iş kuralları, veri erişimi ve model çağrıları ayrı katmanlardadır.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Sağlayıcı soyutlama: VisionProvider, LanguageProvider, SpeechProvider ve StorageProvider arayüzleri uygulanır.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Amaç sınırlı veri: Medya geçici depolamada; öğrenme değeri taşıyan yapılandırılmış sonuçlar PostgreSQL'de tutulur.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Gözlemlenebilirlik: Her akış korelasyon kimliği, model sürümü, gecikme, hata sınıfı ve maliyet tahminiyle kaydedilir.</w:t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Bileşen Mimarisi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 w:eastAsia="Liberation Sans" w:cs="Liberation Sans"/>
          <w:b w:val="0"/>
          <w:i w:val="0"/>
          <w:color w:val="5B6770"/>
          <w:sz w:val="17"/>
        </w:rPr>
        <w:t>Şekil 1. Bileşenler arası sorumluluk sınırları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Bileşen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Sorumluluk</w:t>
            </w:r>
          </w:p>
        </w:tc>
        <w:tc>
          <w:tcPr>
            <w:tcW w:type="dxa" w:w="26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Teknik Not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Mobil istemci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Kamera/galeri, kullanıcı akışı, sohbet, izinler ve erişilebilirlik.</w:t>
            </w:r>
          </w:p>
        </w:tc>
        <w:tc>
          <w:tcPr>
            <w:tcW w:type="dxa" w:w="26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React Native + Expo + TypeScript.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Uygulama API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Kimlik, yetki, süreç orkestrasyonu, doğrulama ve hata sözleşmesi.</w:t>
            </w:r>
          </w:p>
        </w:tc>
        <w:tc>
          <w:tcPr>
            <w:tcW w:type="dxa" w:w="26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FastAPI; yapılandırılmış şema doğrulama.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Görsel analiz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Nesne, ortam, bağlam olasılığı ve güven puanı üretir.</w:t>
            </w:r>
          </w:p>
        </w:tc>
        <w:tc>
          <w:tcPr>
            <w:tcW w:type="dxa" w:w="26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Düşük güven için temkinli dil ve alternatif akış.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Dil modeli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Senaryo, partner turu, geri bildirim ve kişiselleştirilmiş alternatif üretir.</w:t>
            </w:r>
          </w:p>
        </w:tc>
        <w:tc>
          <w:tcPr>
            <w:tcW w:type="dxa" w:w="26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Sağlayıcıdan bağımsız arayüz; prompt sürümleme.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Veri katmanı</w:t>
            </w:r>
          </w:p>
        </w:tc>
        <w:tc>
          <w:tcPr>
            <w:tcW w:type="dxa" w:w="46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Profil, görev, deneme, ifade, denetim ve geçici medya metadata'sı.</w:t>
            </w:r>
          </w:p>
        </w:tc>
        <w:tc>
          <w:tcPr>
            <w:tcW w:type="dxa" w:w="26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PostgreSQL, Redis/kuyruk, S3 uyumlu depolama.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Fotoğraftan Öğrenme İş Akışı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661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6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 w:eastAsia="Liberation Sans" w:cs="Liberation Sans"/>
          <w:b w:val="0"/>
          <w:i w:val="0"/>
          <w:color w:val="5B6770"/>
          <w:sz w:val="17"/>
        </w:rPr>
        <w:t>Şekil 2. Senaryo üretiminden öğrenme çıktısına uzanan kontrollü akış</w:t>
      </w:r>
    </w:p>
    <w:p>
      <w:pPr>
        <w:pStyle w:val="ListNumber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İstemci dosya türü ve boyutunu kontrol eder; backend kısa ömürlü yükleme izni oluşturur.</w:t>
      </w:r>
    </w:p>
    <w:p>
      <w:pPr>
        <w:pStyle w:val="ListNumber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Görsel kalite ve güvenlik kontrolünden sonra nesne/ortam analizi çalışır.</w:t>
      </w:r>
    </w:p>
    <w:p>
      <w:pPr>
        <w:pStyle w:val="ListNumber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Senaryo orkestratörü; analiz, seviye, hedef ve onaylı stil profilini birleştirir.</w:t>
      </w:r>
    </w:p>
    <w:p>
      <w:pPr>
        <w:pStyle w:val="ListNumber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Yapılandırılmış çıktı seviye, güvenlik, amaç ve zorunlu alan denetiminden geçer.</w:t>
      </w:r>
    </w:p>
    <w:p>
      <w:pPr>
        <w:pStyle w:val="ListNumber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Diyalog turu tamamlanınca geri bildirim üretir; kullanıcı isterse ifadeyi kişisel kütüphanesine kaydeder.</w:t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Teknoloji Kararları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Alan</w:t>
            </w:r>
          </w:p>
        </w:tc>
        <w:tc>
          <w:tcPr>
            <w:tcW w:type="dxa" w:w="324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Önerilen Karar</w:t>
            </w:r>
          </w:p>
        </w:tc>
        <w:tc>
          <w:tcPr>
            <w:tcW w:type="dxa" w:w="46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Gerekçe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Mobil</w:t>
            </w:r>
          </w:p>
        </w:tc>
        <w:tc>
          <w:tcPr>
            <w:tcW w:type="dxa" w:w="324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React Native + Expo</w:t>
            </w:r>
          </w:p>
        </w:tc>
        <w:tc>
          <w:tcPr>
            <w:tcW w:type="dxa" w:w="46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Kamera/izin/ses entegrasyonu ve hızlı çapraz platform geliştirme.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Backend</w:t>
            </w:r>
          </w:p>
        </w:tc>
        <w:tc>
          <w:tcPr>
            <w:tcW w:type="dxa" w:w="324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FastAPI</w:t>
            </w:r>
          </w:p>
        </w:tc>
        <w:tc>
          <w:tcPr>
            <w:tcW w:type="dxa" w:w="46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Tip güvenliği, hızlı REST sözleşmesi ve Python yapay zekâ ekosistemi.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Veritabanı</w:t>
            </w:r>
          </w:p>
        </w:tc>
        <w:tc>
          <w:tcPr>
            <w:tcW w:type="dxa" w:w="324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PostgreSQL</w:t>
            </w:r>
          </w:p>
        </w:tc>
        <w:tc>
          <w:tcPr>
            <w:tcW w:type="dxa" w:w="46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İlişkisel bütünlük, JSONB esnekliği ve olgun yedekleme.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Asenkron işler</w:t>
            </w:r>
          </w:p>
        </w:tc>
        <w:tc>
          <w:tcPr>
            <w:tcW w:type="dxa" w:w="324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Redis + iş kuyruğu</w:t>
            </w:r>
          </w:p>
        </w:tc>
        <w:tc>
          <w:tcPr>
            <w:tcW w:type="dxa" w:w="46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Medya silme, uzun model çağrısı ve yeniden deneme.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Medya</w:t>
            </w:r>
          </w:p>
        </w:tc>
        <w:tc>
          <w:tcPr>
            <w:tcW w:type="dxa" w:w="324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S3 uyumlu özel nesne depolama</w:t>
            </w:r>
          </w:p>
        </w:tc>
        <w:tc>
          <w:tcPr>
            <w:tcW w:type="dxa" w:w="46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Kısa ömürlü imzalı URL ve yaşam döngüsü politikası.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Gözlemlenebilirlik</w:t>
            </w:r>
          </w:p>
        </w:tc>
        <w:tc>
          <w:tcPr>
            <w:tcW w:type="dxa" w:w="324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Yapılandırılmış log + hata izleme</w:t>
            </w:r>
          </w:p>
        </w:tc>
        <w:tc>
          <w:tcPr>
            <w:tcW w:type="dxa" w:w="46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Maliyet, gecikme, hata ve sürüm analizi.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Güvenlik, Dağıtım ve Risk Yönetimi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Alan</w:t>
            </w:r>
          </w:p>
        </w:tc>
        <w:tc>
          <w:tcPr>
            <w:tcW w:type="dxa" w:w="439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Tasarım Kararı</w:t>
            </w:r>
          </w:p>
        </w:tc>
        <w:tc>
          <w:tcPr>
            <w:tcW w:type="dxa" w:w="331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Azaltılan Risk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Kimlik ve yetki</w:t>
            </w:r>
          </w:p>
        </w:tc>
        <w:tc>
          <w:tcPr>
            <w:tcW w:type="dxa" w:w="439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Kısa ömürlü erişim belirteci; kaynak sorgusunda user_id sınırı.</w:t>
            </w:r>
          </w:p>
        </w:tc>
        <w:tc>
          <w:tcPr>
            <w:tcW w:type="dxa" w:w="331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Hesaplar arası veri sızıntısı.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Gizli anahtar</w:t>
            </w:r>
          </w:p>
        </w:tc>
        <w:tc>
          <w:tcPr>
            <w:tcW w:type="dxa" w:w="439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Yalnızca sunucu ortamında sır yönetimi.</w:t>
            </w:r>
          </w:p>
        </w:tc>
        <w:tc>
          <w:tcPr>
            <w:tcW w:type="dxa" w:w="331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İstemciden sağlayıcı anahtarı sızması.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Sağlayıcı kesintisi</w:t>
            </w:r>
          </w:p>
        </w:tc>
        <w:tc>
          <w:tcPr>
            <w:tcW w:type="dxa" w:w="439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Zaman aşımı, tek kontrollü yeniden deneme, şablon yedek akış.</w:t>
            </w:r>
          </w:p>
        </w:tc>
        <w:tc>
          <w:tcPr>
            <w:tcW w:type="dxa" w:w="331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Demo ve kullanıcı akışının bloklanması.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Dağıtım</w:t>
            </w:r>
          </w:p>
        </w:tc>
        <w:tc>
          <w:tcPr>
            <w:tcW w:type="dxa" w:w="439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Stateless API container; yönetilen veritabanı; ayrı worker.</w:t>
            </w:r>
          </w:p>
        </w:tc>
        <w:tc>
          <w:tcPr>
            <w:tcW w:type="dxa" w:w="331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Eş zamanlı talepte performans kaybı.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Maliyet</w:t>
            </w:r>
          </w:p>
        </w:tc>
        <w:tc>
          <w:tcPr>
            <w:tcW w:type="dxa" w:w="439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Kota, dosya limiti, token/çağrı telemetrisi.</w:t>
            </w:r>
          </w:p>
        </w:tc>
        <w:tc>
          <w:tcPr>
            <w:tcW w:type="dxa" w:w="331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Beklenmeyen model maliyeti.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Uygulama Sırası</w:t>
      </w:r>
    </w:p>
    <w:p>
      <w:pPr>
        <w:pStyle w:val="ListNumber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P0: Kimlik, profil/seviye, fotoğraf yükleme, analiz, senaryo, metin diyaloğu, geri bildirim ve kütüphane.</w:t>
      </w:r>
    </w:p>
    <w:p>
      <w:pPr>
        <w:pStyle w:val="ListNumber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P0: Güvenli hata yolu, saklama tercihi, temel loglama ve demo gözlemlenebilirliği.</w:t>
      </w:r>
    </w:p>
    <w:p>
      <w:pPr>
        <w:pStyle w:val="ListNumber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P1: Sesli giriş, tekrar planı, öğrenme haritası ve gelişmiş ölçümler.</w:t>
      </w:r>
    </w:p>
    <w:p>
      <w:pPr>
        <w:pStyle w:val="ListNumber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P2: İçerik yönetimi, gelişmiş rol yönetimi, maliyet panosu ve çoklu model optimizasyonu.</w:t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MVP Teslim Kontrol Listesi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Teslim Alanı</w:t>
            </w:r>
          </w:p>
        </w:tc>
        <w:tc>
          <w:tcPr>
            <w:tcW w:type="dxa" w:w="53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Çıkış Kriteri</w:t>
            </w:r>
          </w:p>
        </w:tc>
        <w:tc>
          <w:tcPr>
            <w:tcW w:type="dxa" w:w="1655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Sahip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Ana deneyim</w:t>
            </w:r>
          </w:p>
        </w:tc>
        <w:tc>
          <w:tcPr>
            <w:tcW w:type="dxa" w:w="53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Fotoğraf → senaryo → diyalog → geri bildirim akışı test cihazında uçtan uca çalışır.</w:t>
            </w:r>
          </w:p>
        </w:tc>
        <w:tc>
          <w:tcPr>
            <w:tcW w:type="dxa" w:w="1655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Mobil ve backend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Yapay zekâ güvenliği</w:t>
            </w:r>
          </w:p>
        </w:tc>
        <w:tc>
          <w:tcPr>
            <w:tcW w:type="dxa" w:w="53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Şema, seviye ve güvenlik doğrulaması yedek akışla birlikte kanıtlanır.</w:t>
            </w:r>
          </w:p>
        </w:tc>
        <w:tc>
          <w:tcPr>
            <w:tcW w:type="dxa" w:w="1655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AI ve backend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Veri ve gizlilik</w:t>
            </w:r>
          </w:p>
        </w:tc>
        <w:tc>
          <w:tcPr>
            <w:tcW w:type="dxa" w:w="53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Geçici medya, kullanıcı kapsamı ve silme talebi kontrol edilir.</w:t>
            </w:r>
          </w:p>
        </w:tc>
        <w:tc>
          <w:tcPr>
            <w:tcW w:type="dxa" w:w="1655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Backend ve güvenlik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Demo hazırlığı</w:t>
            </w:r>
          </w:p>
        </w:tc>
        <w:tc>
          <w:tcPr>
            <w:tcW w:type="dxa" w:w="53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Jüri masası fotoğrafı üzerinden canlı senaryo en az iki kez başarıyla denenir.</w:t>
            </w:r>
          </w:p>
        </w:tc>
        <w:tc>
          <w:tcPr>
            <w:tcW w:type="dxa" w:w="1655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Ürün ve sunum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893" w:left="103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i w:val="0"/>
        <w:color w:val="5B6770"/>
        <w:sz w:val="16"/>
      </w:rPr>
      <w:t xml:space="preserve">KURUMSAL PROJE DOKÜMANTASYONU  •  LL-ARC-003  •  Sayfa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10896" cy="31089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felens_amblem_v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310896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Liberation Sans" w:hAnsi="Liberation Sans" w:eastAsia="Liberation Sans" w:cs="Liberation Sans"/>
        <w:b/>
        <w:i w:val="0"/>
        <w:color w:val="12334A"/>
        <w:sz w:val="17"/>
      </w:rPr>
      <w:t xml:space="preserve">  LIFELENS</w:t>
    </w:r>
    <w:r>
      <w:rPr>
        <w:rFonts w:ascii="Liberation Sans" w:hAnsi="Liberation Sans" w:eastAsia="Liberation Sans" w:cs="Liberation Sans"/>
        <w:b w:val="0"/>
        <w:i w:val="0"/>
        <w:color w:val="5B6770"/>
        <w:sz w:val="16"/>
      </w:rPr>
      <w:t xml:space="preserve">   |   EĞİTİM HACKATHONU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823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232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23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232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823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