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AA63" w14:textId="7BC11FE1" w:rsidR="00A93424" w:rsidRDefault="00A93424" w:rsidP="00A93424">
      <w:pPr>
        <w:pStyle w:val="Standard"/>
      </w:pPr>
      <w:r>
        <w:t>Supplementary table I</w:t>
      </w:r>
      <w:r>
        <w:t>V</w:t>
      </w:r>
      <w:r>
        <w:t>. List of genes with the highest number of separate fusion partners as a measure of promiscuity. Only the genes with at least 3 different fusion partners were included in the table. Recurrence refers to the number of samples where the gene was observed forming transcript fusions. Role in cancer columns indicates whether the fusion gene is a known oncogene or tumor suppressor gene (TSG) included in COSMIC Cancer Gene Census (CGC).</w:t>
      </w:r>
    </w:p>
    <w:p w14:paraId="1EAB5C74" w14:textId="77777777" w:rsidR="00A93424" w:rsidRDefault="00A93424" w:rsidP="00A93424">
      <w:pPr>
        <w:pStyle w:val="Standard"/>
      </w:pPr>
      <w:r>
        <w:t xml:space="preserve"> </w:t>
      </w:r>
    </w:p>
    <w:tbl>
      <w:tblPr>
        <w:tblStyle w:val="TableGrid"/>
        <w:tblW w:w="9970" w:type="dxa"/>
        <w:tblLayout w:type="fixed"/>
        <w:tblLook w:val="04A0" w:firstRow="1" w:lastRow="0" w:firstColumn="1" w:lastColumn="0" w:noHBand="0" w:noVBand="1"/>
      </w:tblPr>
      <w:tblGrid>
        <w:gridCol w:w="1423"/>
        <w:gridCol w:w="2445"/>
        <w:gridCol w:w="992"/>
        <w:gridCol w:w="990"/>
        <w:gridCol w:w="900"/>
        <w:gridCol w:w="3220"/>
      </w:tblGrid>
      <w:tr w:rsidR="00A93424" w14:paraId="1AAB9239" w14:textId="77777777" w:rsidTr="0004497A">
        <w:tc>
          <w:tcPr>
            <w:tcW w:w="1423" w:type="dxa"/>
          </w:tcPr>
          <w:p w14:paraId="2F06825E" w14:textId="77777777" w:rsidR="00A93424" w:rsidRDefault="00A93424" w:rsidP="0004497A">
            <w:pPr>
              <w:pStyle w:val="TableContents"/>
              <w:jc w:val="center"/>
              <w:rPr>
                <w:b/>
                <w:bCs/>
                <w:color w:val="000000"/>
                <w:sz w:val="18"/>
                <w:szCs w:val="18"/>
              </w:rPr>
            </w:pPr>
            <w:r>
              <w:rPr>
                <w:b/>
                <w:bCs/>
                <w:color w:val="000000"/>
                <w:sz w:val="18"/>
                <w:szCs w:val="18"/>
              </w:rPr>
              <w:t>Gene</w:t>
            </w:r>
          </w:p>
        </w:tc>
        <w:tc>
          <w:tcPr>
            <w:tcW w:w="2445" w:type="dxa"/>
          </w:tcPr>
          <w:p w14:paraId="27C41AC7" w14:textId="77777777" w:rsidR="00A93424" w:rsidRDefault="00A93424" w:rsidP="0004497A">
            <w:pPr>
              <w:pStyle w:val="TableContents"/>
              <w:jc w:val="center"/>
              <w:rPr>
                <w:b/>
                <w:bCs/>
                <w:color w:val="000000"/>
                <w:sz w:val="18"/>
                <w:szCs w:val="18"/>
              </w:rPr>
            </w:pPr>
            <w:r>
              <w:rPr>
                <w:b/>
                <w:bCs/>
                <w:color w:val="000000"/>
                <w:sz w:val="18"/>
                <w:szCs w:val="18"/>
              </w:rPr>
              <w:t>Fusions</w:t>
            </w:r>
          </w:p>
        </w:tc>
        <w:tc>
          <w:tcPr>
            <w:tcW w:w="992" w:type="dxa"/>
          </w:tcPr>
          <w:p w14:paraId="29441AD6" w14:textId="77777777" w:rsidR="00A93424" w:rsidRDefault="00A93424" w:rsidP="0004497A">
            <w:pPr>
              <w:pStyle w:val="TableContents"/>
              <w:jc w:val="center"/>
              <w:rPr>
                <w:b/>
                <w:bCs/>
                <w:color w:val="000000"/>
                <w:sz w:val="18"/>
                <w:szCs w:val="18"/>
              </w:rPr>
            </w:pPr>
            <w:r>
              <w:rPr>
                <w:b/>
                <w:bCs/>
                <w:color w:val="000000"/>
                <w:sz w:val="18"/>
                <w:szCs w:val="18"/>
              </w:rPr>
              <w:t>Promiscuity</w:t>
            </w:r>
          </w:p>
        </w:tc>
        <w:tc>
          <w:tcPr>
            <w:tcW w:w="990" w:type="dxa"/>
          </w:tcPr>
          <w:p w14:paraId="34C655B7" w14:textId="77777777" w:rsidR="00A93424" w:rsidRDefault="00A93424" w:rsidP="0004497A">
            <w:pPr>
              <w:pStyle w:val="TableContents"/>
              <w:jc w:val="center"/>
              <w:rPr>
                <w:b/>
                <w:bCs/>
                <w:color w:val="000000"/>
                <w:sz w:val="18"/>
                <w:szCs w:val="18"/>
              </w:rPr>
            </w:pPr>
            <w:r>
              <w:rPr>
                <w:b/>
                <w:bCs/>
                <w:color w:val="000000"/>
                <w:sz w:val="18"/>
                <w:szCs w:val="18"/>
              </w:rPr>
              <w:t>Recurrence</w:t>
            </w:r>
          </w:p>
        </w:tc>
        <w:tc>
          <w:tcPr>
            <w:tcW w:w="900" w:type="dxa"/>
          </w:tcPr>
          <w:p w14:paraId="37D31C61" w14:textId="77777777" w:rsidR="00A93424" w:rsidRDefault="00A93424" w:rsidP="0004497A">
            <w:pPr>
              <w:pStyle w:val="TableContents"/>
              <w:jc w:val="center"/>
              <w:rPr>
                <w:b/>
                <w:bCs/>
                <w:color w:val="000000"/>
                <w:sz w:val="18"/>
                <w:szCs w:val="18"/>
              </w:rPr>
            </w:pPr>
            <w:r>
              <w:rPr>
                <w:b/>
                <w:bCs/>
                <w:color w:val="000000"/>
                <w:sz w:val="18"/>
                <w:szCs w:val="18"/>
              </w:rPr>
              <w:t>Role in cancer</w:t>
            </w:r>
          </w:p>
        </w:tc>
        <w:tc>
          <w:tcPr>
            <w:tcW w:w="3220" w:type="dxa"/>
          </w:tcPr>
          <w:p w14:paraId="38F49958" w14:textId="77777777" w:rsidR="00A93424" w:rsidRDefault="00A93424" w:rsidP="0004497A">
            <w:pPr>
              <w:pStyle w:val="TableContents"/>
              <w:jc w:val="center"/>
              <w:rPr>
                <w:b/>
                <w:bCs/>
                <w:color w:val="000000"/>
                <w:sz w:val="18"/>
                <w:szCs w:val="18"/>
              </w:rPr>
            </w:pPr>
            <w:r>
              <w:rPr>
                <w:b/>
                <w:bCs/>
                <w:color w:val="000000"/>
                <w:sz w:val="18"/>
                <w:szCs w:val="18"/>
              </w:rPr>
              <w:t>Literature evidence</w:t>
            </w:r>
          </w:p>
        </w:tc>
      </w:tr>
      <w:tr w:rsidR="00A93424" w14:paraId="4C3C9A4E" w14:textId="77777777" w:rsidTr="0004497A">
        <w:tc>
          <w:tcPr>
            <w:tcW w:w="1423" w:type="dxa"/>
          </w:tcPr>
          <w:p w14:paraId="43155299" w14:textId="77777777" w:rsidR="00A93424" w:rsidRDefault="00A93424" w:rsidP="0004497A">
            <w:pPr>
              <w:pStyle w:val="TableContents"/>
              <w:rPr>
                <w:color w:val="000000"/>
                <w:sz w:val="18"/>
                <w:szCs w:val="18"/>
              </w:rPr>
            </w:pPr>
            <w:r>
              <w:rPr>
                <w:color w:val="000000"/>
                <w:sz w:val="18"/>
                <w:szCs w:val="18"/>
              </w:rPr>
              <w:t>RNF213</w:t>
            </w:r>
          </w:p>
        </w:tc>
        <w:tc>
          <w:tcPr>
            <w:tcW w:w="2445" w:type="dxa"/>
          </w:tcPr>
          <w:p w14:paraId="240E92C6" w14:textId="77777777" w:rsidR="00A93424" w:rsidRDefault="00A93424" w:rsidP="0004497A">
            <w:pPr>
              <w:pStyle w:val="TableContents"/>
              <w:rPr>
                <w:color w:val="000000"/>
                <w:sz w:val="18"/>
                <w:szCs w:val="18"/>
              </w:rPr>
            </w:pPr>
            <w:r>
              <w:rPr>
                <w:color w:val="000000"/>
                <w:sz w:val="18"/>
                <w:szCs w:val="18"/>
              </w:rPr>
              <w:t xml:space="preserve">NUTM2A-AS1:RNF213; </w:t>
            </w:r>
            <w:proofErr w:type="gramStart"/>
            <w:r>
              <w:rPr>
                <w:color w:val="000000"/>
                <w:sz w:val="18"/>
                <w:szCs w:val="18"/>
              </w:rPr>
              <w:t>MAFG:RNF</w:t>
            </w:r>
            <w:proofErr w:type="gramEnd"/>
            <w:r>
              <w:rPr>
                <w:color w:val="000000"/>
                <w:sz w:val="18"/>
                <w:szCs w:val="18"/>
              </w:rPr>
              <w:t>213; USP16:RNF213; HELZ2:RNF213</w:t>
            </w:r>
          </w:p>
        </w:tc>
        <w:tc>
          <w:tcPr>
            <w:tcW w:w="992" w:type="dxa"/>
          </w:tcPr>
          <w:p w14:paraId="5E216B94" w14:textId="77777777" w:rsidR="00A93424" w:rsidRDefault="00A93424" w:rsidP="0004497A">
            <w:pPr>
              <w:pStyle w:val="TableContents"/>
              <w:rPr>
                <w:color w:val="000000"/>
                <w:sz w:val="18"/>
                <w:szCs w:val="18"/>
              </w:rPr>
            </w:pPr>
            <w:r>
              <w:rPr>
                <w:color w:val="000000"/>
                <w:sz w:val="18"/>
                <w:szCs w:val="18"/>
              </w:rPr>
              <w:t>4</w:t>
            </w:r>
          </w:p>
        </w:tc>
        <w:tc>
          <w:tcPr>
            <w:tcW w:w="990" w:type="dxa"/>
          </w:tcPr>
          <w:p w14:paraId="4328E8B4" w14:textId="77777777" w:rsidR="00A93424" w:rsidRDefault="00A93424" w:rsidP="0004497A">
            <w:pPr>
              <w:pStyle w:val="TableContents"/>
              <w:rPr>
                <w:color w:val="000000"/>
                <w:sz w:val="18"/>
                <w:szCs w:val="18"/>
              </w:rPr>
            </w:pPr>
            <w:r>
              <w:rPr>
                <w:color w:val="000000"/>
                <w:sz w:val="18"/>
                <w:szCs w:val="18"/>
              </w:rPr>
              <w:t>4</w:t>
            </w:r>
          </w:p>
        </w:tc>
        <w:tc>
          <w:tcPr>
            <w:tcW w:w="900" w:type="dxa"/>
          </w:tcPr>
          <w:p w14:paraId="1374165D" w14:textId="77777777" w:rsidR="00A93424" w:rsidRDefault="00A93424" w:rsidP="0004497A">
            <w:pPr>
              <w:pStyle w:val="TableContents"/>
              <w:rPr>
                <w:color w:val="000000"/>
                <w:sz w:val="18"/>
                <w:szCs w:val="18"/>
              </w:rPr>
            </w:pPr>
          </w:p>
        </w:tc>
        <w:tc>
          <w:tcPr>
            <w:tcW w:w="3220" w:type="dxa"/>
          </w:tcPr>
          <w:p w14:paraId="678AA082" w14:textId="77777777" w:rsidR="00A93424" w:rsidRDefault="00A93424" w:rsidP="0004497A">
            <w:pPr>
              <w:pStyle w:val="TableContents"/>
              <w:rPr>
                <w:color w:val="000000"/>
              </w:rPr>
            </w:pPr>
            <w:r>
              <w:rPr>
                <w:color w:val="000000"/>
                <w:sz w:val="18"/>
                <w:szCs w:val="18"/>
              </w:rPr>
              <w:t xml:space="preserve">RNF213 mutations in circulating DNA differentiate between </w:t>
            </w:r>
            <w:proofErr w:type="gramStart"/>
            <w:r>
              <w:rPr>
                <w:color w:val="000000"/>
                <w:sz w:val="18"/>
                <w:szCs w:val="18"/>
              </w:rPr>
              <w:t>early stage</w:t>
            </w:r>
            <w:proofErr w:type="gramEnd"/>
            <w:r>
              <w:rPr>
                <w:color w:val="000000"/>
                <w:sz w:val="18"/>
                <w:szCs w:val="18"/>
              </w:rPr>
              <w:t xml:space="preserve"> lung cancer from pulmonary nodules (</w:t>
            </w:r>
            <w:bookmarkStart w:id="0" w:name="full-view-identifiers"/>
            <w:bookmarkEnd w:id="0"/>
            <w:r>
              <w:rPr>
                <w:color w:val="212121"/>
                <w:sz w:val="18"/>
                <w:szCs w:val="18"/>
              </w:rPr>
              <w:t>PMID: </w:t>
            </w:r>
            <w:r>
              <w:rPr>
                <w:rStyle w:val="StrongEmphasis"/>
                <w:color w:val="212121"/>
                <w:sz w:val="18"/>
                <w:szCs w:val="18"/>
              </w:rPr>
              <w:t>33200540</w:t>
            </w:r>
            <w:r>
              <w:rPr>
                <w:color w:val="000000"/>
                <w:sz w:val="18"/>
                <w:szCs w:val="18"/>
              </w:rPr>
              <w:t>).</w:t>
            </w:r>
          </w:p>
        </w:tc>
      </w:tr>
      <w:tr w:rsidR="00A93424" w14:paraId="3DF4BD95" w14:textId="77777777" w:rsidTr="0004497A">
        <w:tc>
          <w:tcPr>
            <w:tcW w:w="1423" w:type="dxa"/>
          </w:tcPr>
          <w:p w14:paraId="4BF87E92" w14:textId="77777777" w:rsidR="00A93424" w:rsidRDefault="00A93424" w:rsidP="0004497A">
            <w:pPr>
              <w:pStyle w:val="TableContents"/>
              <w:rPr>
                <w:color w:val="000000"/>
                <w:sz w:val="18"/>
                <w:szCs w:val="18"/>
              </w:rPr>
            </w:pPr>
            <w:r>
              <w:rPr>
                <w:color w:val="000000"/>
                <w:sz w:val="18"/>
                <w:szCs w:val="18"/>
              </w:rPr>
              <w:t>ZBTB7A</w:t>
            </w:r>
          </w:p>
        </w:tc>
        <w:tc>
          <w:tcPr>
            <w:tcW w:w="2445" w:type="dxa"/>
          </w:tcPr>
          <w:p w14:paraId="171C97E2" w14:textId="77777777" w:rsidR="00A93424" w:rsidRDefault="00A93424" w:rsidP="0004497A">
            <w:pPr>
              <w:pStyle w:val="TableContents"/>
              <w:rPr>
                <w:color w:val="000000"/>
                <w:sz w:val="18"/>
                <w:szCs w:val="18"/>
              </w:rPr>
            </w:pPr>
            <w:r>
              <w:rPr>
                <w:color w:val="000000"/>
                <w:sz w:val="18"/>
                <w:szCs w:val="18"/>
              </w:rPr>
              <w:t>DNAJC11:ZBTB7A; EIF4G2:ZBTB7A; NDST1:ZBTB7A; EXD3:ZBTB7A</w:t>
            </w:r>
          </w:p>
        </w:tc>
        <w:tc>
          <w:tcPr>
            <w:tcW w:w="992" w:type="dxa"/>
          </w:tcPr>
          <w:p w14:paraId="3EFB81B5" w14:textId="77777777" w:rsidR="00A93424" w:rsidRDefault="00A93424" w:rsidP="0004497A">
            <w:pPr>
              <w:pStyle w:val="TableContents"/>
              <w:rPr>
                <w:color w:val="000000"/>
                <w:sz w:val="18"/>
                <w:szCs w:val="18"/>
              </w:rPr>
            </w:pPr>
            <w:r>
              <w:rPr>
                <w:color w:val="000000"/>
                <w:sz w:val="18"/>
                <w:szCs w:val="18"/>
              </w:rPr>
              <w:t>4</w:t>
            </w:r>
          </w:p>
        </w:tc>
        <w:tc>
          <w:tcPr>
            <w:tcW w:w="990" w:type="dxa"/>
          </w:tcPr>
          <w:p w14:paraId="51ABD6F8" w14:textId="77777777" w:rsidR="00A93424" w:rsidRDefault="00A93424" w:rsidP="0004497A">
            <w:pPr>
              <w:pStyle w:val="TableContents"/>
              <w:rPr>
                <w:color w:val="000000"/>
                <w:sz w:val="18"/>
                <w:szCs w:val="18"/>
              </w:rPr>
            </w:pPr>
            <w:r>
              <w:rPr>
                <w:color w:val="000000"/>
                <w:sz w:val="18"/>
                <w:szCs w:val="18"/>
              </w:rPr>
              <w:t>4</w:t>
            </w:r>
          </w:p>
        </w:tc>
        <w:tc>
          <w:tcPr>
            <w:tcW w:w="900" w:type="dxa"/>
          </w:tcPr>
          <w:p w14:paraId="4862B63E" w14:textId="77777777" w:rsidR="00A93424" w:rsidRDefault="00A93424" w:rsidP="0004497A">
            <w:pPr>
              <w:pStyle w:val="TableContents"/>
              <w:rPr>
                <w:color w:val="000000"/>
                <w:sz w:val="18"/>
                <w:szCs w:val="18"/>
              </w:rPr>
            </w:pPr>
          </w:p>
        </w:tc>
        <w:tc>
          <w:tcPr>
            <w:tcW w:w="3220" w:type="dxa"/>
          </w:tcPr>
          <w:p w14:paraId="0DF653AD" w14:textId="77777777" w:rsidR="00A93424" w:rsidRDefault="00A93424" w:rsidP="0004497A">
            <w:pPr>
              <w:pStyle w:val="TableContents"/>
              <w:rPr>
                <w:color w:val="000000"/>
              </w:rPr>
            </w:pPr>
            <w:r>
              <w:rPr>
                <w:color w:val="000000"/>
                <w:sz w:val="18"/>
                <w:szCs w:val="18"/>
              </w:rPr>
              <w:t xml:space="preserve">ZBTB7A acts as tumor suppressor by regulating glycolysis. Reduced expression of ZBTB7A correlates with poor survival in colon cancer patients. ZBTB7A tumors show heightened sensitivity to glycolysis inhibition </w:t>
            </w:r>
            <w:bookmarkStart w:id="1" w:name="full-view-identifiers1"/>
            <w:bookmarkEnd w:id="1"/>
            <w:r>
              <w:rPr>
                <w:color w:val="000000"/>
                <w:sz w:val="18"/>
                <w:szCs w:val="18"/>
              </w:rPr>
              <w:t>(</w:t>
            </w:r>
            <w:r>
              <w:rPr>
                <w:color w:val="212121"/>
                <w:sz w:val="18"/>
                <w:szCs w:val="18"/>
              </w:rPr>
              <w:t>PMID: </w:t>
            </w:r>
            <w:r>
              <w:rPr>
                <w:rStyle w:val="StrongEmphasis"/>
                <w:color w:val="212121"/>
                <w:sz w:val="18"/>
                <w:szCs w:val="18"/>
              </w:rPr>
              <w:t>25184678)</w:t>
            </w:r>
            <w:r>
              <w:rPr>
                <w:color w:val="000000"/>
                <w:sz w:val="18"/>
                <w:szCs w:val="18"/>
              </w:rPr>
              <w:t xml:space="preserve">.  </w:t>
            </w:r>
          </w:p>
        </w:tc>
      </w:tr>
      <w:tr w:rsidR="00A93424" w14:paraId="55B22B94" w14:textId="77777777" w:rsidTr="0004497A">
        <w:tc>
          <w:tcPr>
            <w:tcW w:w="1423" w:type="dxa"/>
          </w:tcPr>
          <w:p w14:paraId="7119DDA2" w14:textId="77777777" w:rsidR="00A93424" w:rsidRDefault="00A93424" w:rsidP="0004497A">
            <w:pPr>
              <w:pStyle w:val="TableContents"/>
              <w:rPr>
                <w:color w:val="000000"/>
                <w:sz w:val="18"/>
                <w:szCs w:val="18"/>
              </w:rPr>
            </w:pPr>
            <w:r>
              <w:rPr>
                <w:color w:val="000000"/>
                <w:sz w:val="18"/>
                <w:szCs w:val="18"/>
              </w:rPr>
              <w:t>CCDC91</w:t>
            </w:r>
          </w:p>
        </w:tc>
        <w:tc>
          <w:tcPr>
            <w:tcW w:w="2445" w:type="dxa"/>
          </w:tcPr>
          <w:p w14:paraId="08588E42" w14:textId="77777777" w:rsidR="00A93424" w:rsidRDefault="00A93424" w:rsidP="0004497A">
            <w:pPr>
              <w:pStyle w:val="TableContents"/>
              <w:rPr>
                <w:color w:val="000000"/>
                <w:sz w:val="18"/>
                <w:szCs w:val="18"/>
              </w:rPr>
            </w:pPr>
            <w:r>
              <w:rPr>
                <w:color w:val="000000"/>
                <w:sz w:val="18"/>
                <w:szCs w:val="18"/>
              </w:rPr>
              <w:t xml:space="preserve">CCDC91:USP15; </w:t>
            </w:r>
            <w:proofErr w:type="gramStart"/>
            <w:r>
              <w:rPr>
                <w:color w:val="000000"/>
                <w:sz w:val="18"/>
                <w:szCs w:val="18"/>
              </w:rPr>
              <w:t>FTX:CCDC</w:t>
            </w:r>
            <w:proofErr w:type="gramEnd"/>
            <w:r>
              <w:rPr>
                <w:color w:val="000000"/>
                <w:sz w:val="18"/>
                <w:szCs w:val="18"/>
              </w:rPr>
              <w:t>91; HIPK1:CCDC91</w:t>
            </w:r>
          </w:p>
        </w:tc>
        <w:tc>
          <w:tcPr>
            <w:tcW w:w="992" w:type="dxa"/>
          </w:tcPr>
          <w:p w14:paraId="48563DF0" w14:textId="77777777" w:rsidR="00A93424" w:rsidRDefault="00A93424" w:rsidP="0004497A">
            <w:pPr>
              <w:pStyle w:val="TableContents"/>
              <w:rPr>
                <w:color w:val="000000"/>
                <w:sz w:val="18"/>
                <w:szCs w:val="18"/>
              </w:rPr>
            </w:pPr>
            <w:r>
              <w:rPr>
                <w:color w:val="000000"/>
                <w:sz w:val="18"/>
                <w:szCs w:val="18"/>
              </w:rPr>
              <w:t>3</w:t>
            </w:r>
          </w:p>
        </w:tc>
        <w:tc>
          <w:tcPr>
            <w:tcW w:w="990" w:type="dxa"/>
          </w:tcPr>
          <w:p w14:paraId="2F92F05D" w14:textId="77777777" w:rsidR="00A93424" w:rsidRDefault="00A93424" w:rsidP="0004497A">
            <w:pPr>
              <w:pStyle w:val="TableContents"/>
              <w:rPr>
                <w:color w:val="000000"/>
                <w:sz w:val="18"/>
                <w:szCs w:val="18"/>
              </w:rPr>
            </w:pPr>
            <w:r>
              <w:rPr>
                <w:color w:val="000000"/>
                <w:sz w:val="18"/>
                <w:szCs w:val="18"/>
              </w:rPr>
              <w:t>3</w:t>
            </w:r>
          </w:p>
        </w:tc>
        <w:tc>
          <w:tcPr>
            <w:tcW w:w="900" w:type="dxa"/>
          </w:tcPr>
          <w:p w14:paraId="331BE0E6" w14:textId="77777777" w:rsidR="00A93424" w:rsidRDefault="00A93424" w:rsidP="0004497A">
            <w:pPr>
              <w:pStyle w:val="TableContents"/>
              <w:rPr>
                <w:color w:val="000000"/>
                <w:sz w:val="18"/>
                <w:szCs w:val="18"/>
              </w:rPr>
            </w:pPr>
          </w:p>
        </w:tc>
        <w:tc>
          <w:tcPr>
            <w:tcW w:w="3220" w:type="dxa"/>
          </w:tcPr>
          <w:p w14:paraId="4F8FAB79" w14:textId="77777777" w:rsidR="00A93424" w:rsidRDefault="00A93424" w:rsidP="0004497A">
            <w:pPr>
              <w:pStyle w:val="TableContents"/>
              <w:rPr>
                <w:color w:val="000000"/>
                <w:sz w:val="18"/>
                <w:szCs w:val="18"/>
              </w:rPr>
            </w:pPr>
            <w:r>
              <w:rPr>
                <w:color w:val="000000"/>
                <w:sz w:val="18"/>
                <w:szCs w:val="18"/>
              </w:rPr>
              <w:t>Uknown</w:t>
            </w:r>
          </w:p>
        </w:tc>
      </w:tr>
      <w:tr w:rsidR="00A93424" w14:paraId="178E62A9" w14:textId="77777777" w:rsidTr="0004497A">
        <w:tc>
          <w:tcPr>
            <w:tcW w:w="1423" w:type="dxa"/>
          </w:tcPr>
          <w:p w14:paraId="2F3EB8D0" w14:textId="77777777" w:rsidR="00A93424" w:rsidRDefault="00A93424" w:rsidP="0004497A">
            <w:pPr>
              <w:pStyle w:val="TableContents"/>
              <w:rPr>
                <w:color w:val="000000"/>
                <w:sz w:val="18"/>
                <w:szCs w:val="18"/>
              </w:rPr>
            </w:pPr>
            <w:r>
              <w:rPr>
                <w:color w:val="000000"/>
                <w:sz w:val="18"/>
                <w:szCs w:val="18"/>
              </w:rPr>
              <w:t>CERS6</w:t>
            </w:r>
          </w:p>
        </w:tc>
        <w:tc>
          <w:tcPr>
            <w:tcW w:w="2445" w:type="dxa"/>
          </w:tcPr>
          <w:p w14:paraId="1444DA8F" w14:textId="77777777" w:rsidR="00A93424" w:rsidRDefault="00A93424" w:rsidP="0004497A">
            <w:pPr>
              <w:pStyle w:val="TableContents"/>
              <w:rPr>
                <w:color w:val="000000"/>
                <w:sz w:val="18"/>
                <w:szCs w:val="18"/>
              </w:rPr>
            </w:pPr>
            <w:r>
              <w:rPr>
                <w:color w:val="000000"/>
                <w:sz w:val="18"/>
                <w:szCs w:val="18"/>
              </w:rPr>
              <w:t>CERS6:SAP130; CERS6:MTX2; CERS6:IMPA2</w:t>
            </w:r>
          </w:p>
        </w:tc>
        <w:tc>
          <w:tcPr>
            <w:tcW w:w="992" w:type="dxa"/>
          </w:tcPr>
          <w:p w14:paraId="30814F01" w14:textId="77777777" w:rsidR="00A93424" w:rsidRDefault="00A93424" w:rsidP="0004497A">
            <w:pPr>
              <w:pStyle w:val="TableContents"/>
              <w:rPr>
                <w:color w:val="000000"/>
                <w:sz w:val="18"/>
                <w:szCs w:val="18"/>
              </w:rPr>
            </w:pPr>
            <w:r>
              <w:rPr>
                <w:color w:val="000000"/>
                <w:sz w:val="18"/>
                <w:szCs w:val="18"/>
              </w:rPr>
              <w:t>3</w:t>
            </w:r>
          </w:p>
        </w:tc>
        <w:tc>
          <w:tcPr>
            <w:tcW w:w="990" w:type="dxa"/>
          </w:tcPr>
          <w:p w14:paraId="6BC0B5E6" w14:textId="77777777" w:rsidR="00A93424" w:rsidRDefault="00A93424" w:rsidP="0004497A">
            <w:pPr>
              <w:pStyle w:val="TableContents"/>
              <w:rPr>
                <w:color w:val="000000"/>
                <w:sz w:val="18"/>
                <w:szCs w:val="18"/>
              </w:rPr>
            </w:pPr>
            <w:r>
              <w:rPr>
                <w:color w:val="000000"/>
                <w:sz w:val="18"/>
                <w:szCs w:val="18"/>
              </w:rPr>
              <w:t>3</w:t>
            </w:r>
          </w:p>
        </w:tc>
        <w:tc>
          <w:tcPr>
            <w:tcW w:w="900" w:type="dxa"/>
          </w:tcPr>
          <w:p w14:paraId="5B0F1EE8" w14:textId="77777777" w:rsidR="00A93424" w:rsidRDefault="00A93424" w:rsidP="0004497A">
            <w:pPr>
              <w:pStyle w:val="TableContents"/>
              <w:rPr>
                <w:color w:val="000000"/>
                <w:sz w:val="18"/>
                <w:szCs w:val="18"/>
              </w:rPr>
            </w:pPr>
          </w:p>
        </w:tc>
        <w:tc>
          <w:tcPr>
            <w:tcW w:w="3220" w:type="dxa"/>
          </w:tcPr>
          <w:p w14:paraId="6E2188EA" w14:textId="77777777" w:rsidR="00A93424" w:rsidRDefault="00A93424" w:rsidP="0004497A">
            <w:pPr>
              <w:pStyle w:val="TableContents"/>
              <w:rPr>
                <w:color w:val="000000"/>
              </w:rPr>
            </w:pPr>
            <w:r>
              <w:rPr>
                <w:color w:val="000000"/>
                <w:sz w:val="18"/>
                <w:szCs w:val="18"/>
              </w:rPr>
              <w:t>CERS6 is required for cell migration and metastasis in NSCLC (</w:t>
            </w:r>
            <w:bookmarkStart w:id="2" w:name="full-view-identifiers21"/>
            <w:bookmarkEnd w:id="2"/>
            <w:r>
              <w:rPr>
                <w:color w:val="212121"/>
                <w:sz w:val="18"/>
                <w:szCs w:val="18"/>
              </w:rPr>
              <w:t>PMID: </w:t>
            </w:r>
            <w:r>
              <w:rPr>
                <w:rStyle w:val="StrongEmphasis"/>
                <w:color w:val="212121"/>
                <w:sz w:val="18"/>
                <w:szCs w:val="18"/>
              </w:rPr>
              <w:t>32902157</w:t>
            </w:r>
            <w:r>
              <w:rPr>
                <w:color w:val="000000"/>
                <w:sz w:val="18"/>
                <w:szCs w:val="18"/>
              </w:rPr>
              <w:t>).</w:t>
            </w:r>
          </w:p>
        </w:tc>
      </w:tr>
      <w:tr w:rsidR="00A93424" w14:paraId="35C2F74B" w14:textId="77777777" w:rsidTr="0004497A">
        <w:tc>
          <w:tcPr>
            <w:tcW w:w="1423" w:type="dxa"/>
          </w:tcPr>
          <w:p w14:paraId="4C6BA55E" w14:textId="77777777" w:rsidR="00A93424" w:rsidRDefault="00A93424" w:rsidP="0004497A">
            <w:pPr>
              <w:pStyle w:val="TableContents"/>
              <w:rPr>
                <w:color w:val="000000"/>
                <w:sz w:val="18"/>
                <w:szCs w:val="18"/>
              </w:rPr>
            </w:pPr>
            <w:r>
              <w:rPr>
                <w:color w:val="000000"/>
                <w:sz w:val="18"/>
                <w:szCs w:val="18"/>
              </w:rPr>
              <w:t>CHMP1A</w:t>
            </w:r>
          </w:p>
        </w:tc>
        <w:tc>
          <w:tcPr>
            <w:tcW w:w="2445" w:type="dxa"/>
          </w:tcPr>
          <w:p w14:paraId="58B3D4EC" w14:textId="77777777" w:rsidR="00A93424" w:rsidRDefault="00A93424" w:rsidP="0004497A">
            <w:pPr>
              <w:pStyle w:val="TableContents"/>
              <w:rPr>
                <w:color w:val="000000"/>
                <w:sz w:val="18"/>
                <w:szCs w:val="18"/>
              </w:rPr>
            </w:pPr>
            <w:proofErr w:type="gramStart"/>
            <w:r>
              <w:rPr>
                <w:color w:val="000000"/>
                <w:sz w:val="18"/>
                <w:szCs w:val="18"/>
              </w:rPr>
              <w:t>TDRP:CHMP</w:t>
            </w:r>
            <w:proofErr w:type="gramEnd"/>
            <w:r>
              <w:rPr>
                <w:color w:val="000000"/>
                <w:sz w:val="18"/>
                <w:szCs w:val="18"/>
              </w:rPr>
              <w:t>1A; MSR1:CHMP1A; CYP24A1:CHMP1A</w:t>
            </w:r>
          </w:p>
        </w:tc>
        <w:tc>
          <w:tcPr>
            <w:tcW w:w="992" w:type="dxa"/>
          </w:tcPr>
          <w:p w14:paraId="05FC5068" w14:textId="77777777" w:rsidR="00A93424" w:rsidRDefault="00A93424" w:rsidP="0004497A">
            <w:pPr>
              <w:pStyle w:val="TableContents"/>
              <w:rPr>
                <w:color w:val="000000"/>
                <w:sz w:val="18"/>
                <w:szCs w:val="18"/>
              </w:rPr>
            </w:pPr>
            <w:r>
              <w:rPr>
                <w:color w:val="000000"/>
                <w:sz w:val="18"/>
                <w:szCs w:val="18"/>
              </w:rPr>
              <w:t>3</w:t>
            </w:r>
          </w:p>
        </w:tc>
        <w:tc>
          <w:tcPr>
            <w:tcW w:w="990" w:type="dxa"/>
          </w:tcPr>
          <w:p w14:paraId="3BA5641F" w14:textId="77777777" w:rsidR="00A93424" w:rsidRDefault="00A93424" w:rsidP="0004497A">
            <w:pPr>
              <w:pStyle w:val="TableContents"/>
              <w:rPr>
                <w:color w:val="000000"/>
                <w:sz w:val="18"/>
                <w:szCs w:val="18"/>
              </w:rPr>
            </w:pPr>
            <w:r>
              <w:rPr>
                <w:color w:val="000000"/>
                <w:sz w:val="18"/>
                <w:szCs w:val="18"/>
              </w:rPr>
              <w:t>3</w:t>
            </w:r>
          </w:p>
        </w:tc>
        <w:tc>
          <w:tcPr>
            <w:tcW w:w="900" w:type="dxa"/>
          </w:tcPr>
          <w:p w14:paraId="52FED7E5" w14:textId="77777777" w:rsidR="00A93424" w:rsidRDefault="00A93424" w:rsidP="0004497A">
            <w:pPr>
              <w:pStyle w:val="TableContents"/>
              <w:rPr>
                <w:color w:val="000000"/>
                <w:sz w:val="18"/>
                <w:szCs w:val="18"/>
              </w:rPr>
            </w:pPr>
          </w:p>
        </w:tc>
        <w:tc>
          <w:tcPr>
            <w:tcW w:w="3220" w:type="dxa"/>
          </w:tcPr>
          <w:p w14:paraId="15AD55D8" w14:textId="77777777" w:rsidR="00A93424" w:rsidRDefault="00A93424" w:rsidP="0004497A">
            <w:pPr>
              <w:pStyle w:val="TableContents"/>
              <w:rPr>
                <w:color w:val="000000"/>
              </w:rPr>
            </w:pPr>
            <w:r>
              <w:rPr>
                <w:color w:val="000000"/>
                <w:sz w:val="18"/>
                <w:szCs w:val="18"/>
              </w:rPr>
              <w:t>CHMP1A acts as a tumor suppressor gene in that inhibits proliferation of renal cell carcinoma (</w:t>
            </w:r>
            <w:bookmarkStart w:id="3" w:name="full-view-identifiers22"/>
            <w:bookmarkEnd w:id="3"/>
            <w:r>
              <w:rPr>
                <w:color w:val="212121"/>
                <w:sz w:val="18"/>
                <w:szCs w:val="18"/>
              </w:rPr>
              <w:t>PMID: </w:t>
            </w:r>
            <w:r>
              <w:rPr>
                <w:rStyle w:val="StrongEmphasis"/>
                <w:color w:val="212121"/>
                <w:sz w:val="18"/>
                <w:szCs w:val="18"/>
              </w:rPr>
              <w:t>22261332</w:t>
            </w:r>
            <w:r>
              <w:rPr>
                <w:color w:val="000000"/>
                <w:sz w:val="18"/>
                <w:szCs w:val="18"/>
              </w:rPr>
              <w:t>).</w:t>
            </w:r>
          </w:p>
        </w:tc>
      </w:tr>
      <w:tr w:rsidR="00A93424" w14:paraId="2F1256F2" w14:textId="77777777" w:rsidTr="0004497A">
        <w:tc>
          <w:tcPr>
            <w:tcW w:w="1423" w:type="dxa"/>
          </w:tcPr>
          <w:p w14:paraId="1395B817" w14:textId="77777777" w:rsidR="00A93424" w:rsidRDefault="00A93424" w:rsidP="0004497A">
            <w:pPr>
              <w:pStyle w:val="TableContents"/>
              <w:rPr>
                <w:color w:val="000000"/>
                <w:sz w:val="18"/>
                <w:szCs w:val="18"/>
              </w:rPr>
            </w:pPr>
            <w:r>
              <w:rPr>
                <w:color w:val="000000"/>
                <w:sz w:val="18"/>
                <w:szCs w:val="18"/>
              </w:rPr>
              <w:t>CHST11</w:t>
            </w:r>
          </w:p>
        </w:tc>
        <w:tc>
          <w:tcPr>
            <w:tcW w:w="2445" w:type="dxa"/>
          </w:tcPr>
          <w:p w14:paraId="71C3F48A" w14:textId="77777777" w:rsidR="00A93424" w:rsidRDefault="00A93424" w:rsidP="0004497A">
            <w:pPr>
              <w:pStyle w:val="TableContents"/>
              <w:rPr>
                <w:color w:val="000000"/>
                <w:sz w:val="18"/>
                <w:szCs w:val="18"/>
              </w:rPr>
            </w:pPr>
            <w:r>
              <w:rPr>
                <w:color w:val="000000"/>
                <w:sz w:val="18"/>
                <w:szCs w:val="18"/>
              </w:rPr>
              <w:t>CHST11:SUCLG2; CHST11:BICD1; CHST11:MAPKAPK5</w:t>
            </w:r>
          </w:p>
        </w:tc>
        <w:tc>
          <w:tcPr>
            <w:tcW w:w="992" w:type="dxa"/>
          </w:tcPr>
          <w:p w14:paraId="05893617" w14:textId="77777777" w:rsidR="00A93424" w:rsidRDefault="00A93424" w:rsidP="0004497A">
            <w:pPr>
              <w:pStyle w:val="TableContents"/>
              <w:rPr>
                <w:color w:val="000000"/>
                <w:sz w:val="18"/>
                <w:szCs w:val="18"/>
              </w:rPr>
            </w:pPr>
            <w:r>
              <w:rPr>
                <w:color w:val="000000"/>
                <w:sz w:val="18"/>
                <w:szCs w:val="18"/>
              </w:rPr>
              <w:t>3</w:t>
            </w:r>
          </w:p>
        </w:tc>
        <w:tc>
          <w:tcPr>
            <w:tcW w:w="990" w:type="dxa"/>
          </w:tcPr>
          <w:p w14:paraId="7BECCFD1" w14:textId="77777777" w:rsidR="00A93424" w:rsidRDefault="00A93424" w:rsidP="0004497A">
            <w:pPr>
              <w:pStyle w:val="TableContents"/>
              <w:rPr>
                <w:color w:val="000000"/>
                <w:sz w:val="18"/>
                <w:szCs w:val="18"/>
              </w:rPr>
            </w:pPr>
            <w:r>
              <w:rPr>
                <w:color w:val="000000"/>
                <w:sz w:val="18"/>
                <w:szCs w:val="18"/>
              </w:rPr>
              <w:t>3</w:t>
            </w:r>
          </w:p>
        </w:tc>
        <w:tc>
          <w:tcPr>
            <w:tcW w:w="900" w:type="dxa"/>
          </w:tcPr>
          <w:p w14:paraId="46ED7F5C" w14:textId="77777777" w:rsidR="00A93424" w:rsidRDefault="00A93424" w:rsidP="0004497A">
            <w:pPr>
              <w:pStyle w:val="TableContents"/>
              <w:rPr>
                <w:color w:val="000000"/>
                <w:sz w:val="18"/>
                <w:szCs w:val="18"/>
              </w:rPr>
            </w:pPr>
          </w:p>
        </w:tc>
        <w:tc>
          <w:tcPr>
            <w:tcW w:w="3220" w:type="dxa"/>
          </w:tcPr>
          <w:p w14:paraId="203BBEC5" w14:textId="77777777" w:rsidR="00A93424" w:rsidRDefault="00A93424" w:rsidP="0004497A">
            <w:pPr>
              <w:pStyle w:val="TableContents"/>
              <w:rPr>
                <w:color w:val="000000"/>
              </w:rPr>
            </w:pPr>
            <w:r>
              <w:rPr>
                <w:color w:val="212121"/>
                <w:sz w:val="18"/>
                <w:szCs w:val="18"/>
              </w:rPr>
              <w:t>CHST11 plays a role in the induction of epithelial-to-mesenchymal transition and stem cell-like properties in breast cancer (</w:t>
            </w:r>
            <w:bookmarkStart w:id="4" w:name="full-view-identifiers23"/>
            <w:bookmarkEnd w:id="4"/>
            <w:r>
              <w:rPr>
                <w:color w:val="212121"/>
                <w:sz w:val="18"/>
                <w:szCs w:val="18"/>
              </w:rPr>
              <w:t>PMID: </w:t>
            </w:r>
            <w:r>
              <w:rPr>
                <w:rStyle w:val="StrongEmphasis"/>
                <w:color w:val="212121"/>
                <w:sz w:val="18"/>
                <w:szCs w:val="18"/>
              </w:rPr>
              <w:t>32344408</w:t>
            </w:r>
            <w:r>
              <w:rPr>
                <w:color w:val="212121"/>
                <w:sz w:val="18"/>
                <w:szCs w:val="18"/>
              </w:rPr>
              <w:t>).</w:t>
            </w:r>
          </w:p>
        </w:tc>
      </w:tr>
      <w:tr w:rsidR="00A93424" w14:paraId="2C3888FC" w14:textId="77777777" w:rsidTr="0004497A">
        <w:tc>
          <w:tcPr>
            <w:tcW w:w="1423" w:type="dxa"/>
          </w:tcPr>
          <w:p w14:paraId="6D9E5169" w14:textId="77777777" w:rsidR="00A93424" w:rsidRDefault="00A93424" w:rsidP="0004497A">
            <w:pPr>
              <w:pStyle w:val="TableContents"/>
              <w:rPr>
                <w:color w:val="000000"/>
                <w:sz w:val="18"/>
                <w:szCs w:val="18"/>
              </w:rPr>
            </w:pPr>
            <w:r>
              <w:rPr>
                <w:color w:val="000000"/>
                <w:sz w:val="18"/>
                <w:szCs w:val="18"/>
              </w:rPr>
              <w:t>HIF1A</w:t>
            </w:r>
          </w:p>
        </w:tc>
        <w:tc>
          <w:tcPr>
            <w:tcW w:w="2445" w:type="dxa"/>
          </w:tcPr>
          <w:p w14:paraId="6DA61EA1" w14:textId="77777777" w:rsidR="00A93424" w:rsidRDefault="00A93424" w:rsidP="0004497A">
            <w:pPr>
              <w:pStyle w:val="TableContents"/>
              <w:rPr>
                <w:color w:val="000000"/>
                <w:sz w:val="18"/>
                <w:szCs w:val="18"/>
              </w:rPr>
            </w:pPr>
            <w:r>
              <w:rPr>
                <w:color w:val="000000"/>
                <w:sz w:val="18"/>
                <w:szCs w:val="18"/>
              </w:rPr>
              <w:t>CHIC2:HIF1A; HIF1</w:t>
            </w:r>
            <w:proofErr w:type="gramStart"/>
            <w:r>
              <w:rPr>
                <w:color w:val="000000"/>
                <w:sz w:val="18"/>
                <w:szCs w:val="18"/>
              </w:rPr>
              <w:t>A:PRKCH</w:t>
            </w:r>
            <w:proofErr w:type="gramEnd"/>
            <w:r>
              <w:rPr>
                <w:color w:val="000000"/>
                <w:sz w:val="18"/>
                <w:szCs w:val="18"/>
              </w:rPr>
              <w:t>; HIF1A:TNPO2</w:t>
            </w:r>
          </w:p>
        </w:tc>
        <w:tc>
          <w:tcPr>
            <w:tcW w:w="992" w:type="dxa"/>
          </w:tcPr>
          <w:p w14:paraId="18F1FF80" w14:textId="77777777" w:rsidR="00A93424" w:rsidRDefault="00A93424" w:rsidP="0004497A">
            <w:pPr>
              <w:pStyle w:val="TableContents"/>
              <w:rPr>
                <w:color w:val="000000"/>
                <w:sz w:val="18"/>
                <w:szCs w:val="18"/>
              </w:rPr>
            </w:pPr>
            <w:r>
              <w:rPr>
                <w:color w:val="000000"/>
                <w:sz w:val="18"/>
                <w:szCs w:val="18"/>
              </w:rPr>
              <w:t>3</w:t>
            </w:r>
          </w:p>
        </w:tc>
        <w:tc>
          <w:tcPr>
            <w:tcW w:w="990" w:type="dxa"/>
          </w:tcPr>
          <w:p w14:paraId="16E39277" w14:textId="77777777" w:rsidR="00A93424" w:rsidRDefault="00A93424" w:rsidP="0004497A">
            <w:pPr>
              <w:pStyle w:val="TableContents"/>
              <w:rPr>
                <w:color w:val="000000"/>
                <w:sz w:val="18"/>
                <w:szCs w:val="18"/>
              </w:rPr>
            </w:pPr>
            <w:r>
              <w:rPr>
                <w:color w:val="000000"/>
                <w:sz w:val="18"/>
                <w:szCs w:val="18"/>
              </w:rPr>
              <w:t>3</w:t>
            </w:r>
          </w:p>
        </w:tc>
        <w:tc>
          <w:tcPr>
            <w:tcW w:w="900" w:type="dxa"/>
          </w:tcPr>
          <w:p w14:paraId="3376A537" w14:textId="77777777" w:rsidR="00A93424" w:rsidRDefault="00A93424" w:rsidP="0004497A">
            <w:pPr>
              <w:pStyle w:val="TableContents"/>
              <w:rPr>
                <w:color w:val="000000"/>
                <w:sz w:val="18"/>
                <w:szCs w:val="18"/>
              </w:rPr>
            </w:pPr>
          </w:p>
        </w:tc>
        <w:tc>
          <w:tcPr>
            <w:tcW w:w="3220" w:type="dxa"/>
          </w:tcPr>
          <w:p w14:paraId="69ACFB7B" w14:textId="77777777" w:rsidR="00A93424" w:rsidRDefault="00A93424" w:rsidP="0004497A">
            <w:pPr>
              <w:pStyle w:val="TableContents"/>
              <w:rPr>
                <w:color w:val="000000"/>
              </w:rPr>
            </w:pPr>
            <w:r>
              <w:rPr>
                <w:color w:val="000000"/>
                <w:sz w:val="18"/>
                <w:szCs w:val="18"/>
              </w:rPr>
              <w:t>HIF1 is key factor involved in the metabolic switch in cancer tissues from oxidative phosphorylation to aerobic glycolysis (</w:t>
            </w:r>
            <w:bookmarkStart w:id="5" w:name="full-view-identifiers24"/>
            <w:bookmarkEnd w:id="5"/>
            <w:r>
              <w:rPr>
                <w:color w:val="212121"/>
                <w:sz w:val="18"/>
                <w:szCs w:val="18"/>
              </w:rPr>
              <w:t>PMID: </w:t>
            </w:r>
            <w:r>
              <w:rPr>
                <w:rStyle w:val="StrongEmphasis"/>
                <w:color w:val="212121"/>
                <w:sz w:val="18"/>
                <w:szCs w:val="18"/>
              </w:rPr>
              <w:t>33791987</w:t>
            </w:r>
            <w:r>
              <w:rPr>
                <w:color w:val="000000"/>
                <w:sz w:val="18"/>
                <w:szCs w:val="18"/>
              </w:rPr>
              <w:t>).</w:t>
            </w:r>
          </w:p>
        </w:tc>
      </w:tr>
      <w:tr w:rsidR="00A93424" w14:paraId="71B8B8A1" w14:textId="77777777" w:rsidTr="0004497A">
        <w:tc>
          <w:tcPr>
            <w:tcW w:w="1423" w:type="dxa"/>
          </w:tcPr>
          <w:p w14:paraId="0FEBE339" w14:textId="77777777" w:rsidR="00A93424" w:rsidRDefault="00A93424" w:rsidP="0004497A">
            <w:pPr>
              <w:pStyle w:val="TableContents"/>
              <w:rPr>
                <w:color w:val="000000"/>
                <w:sz w:val="18"/>
                <w:szCs w:val="18"/>
              </w:rPr>
            </w:pPr>
            <w:r>
              <w:rPr>
                <w:color w:val="000000"/>
                <w:sz w:val="18"/>
                <w:szCs w:val="18"/>
              </w:rPr>
              <w:t>INPP4A</w:t>
            </w:r>
          </w:p>
        </w:tc>
        <w:tc>
          <w:tcPr>
            <w:tcW w:w="2445" w:type="dxa"/>
          </w:tcPr>
          <w:p w14:paraId="6778B39B" w14:textId="77777777" w:rsidR="00A93424" w:rsidRDefault="00A93424" w:rsidP="0004497A">
            <w:pPr>
              <w:pStyle w:val="TableContents"/>
              <w:rPr>
                <w:color w:val="000000"/>
                <w:sz w:val="18"/>
                <w:szCs w:val="18"/>
              </w:rPr>
            </w:pPr>
            <w:r>
              <w:rPr>
                <w:color w:val="000000"/>
                <w:sz w:val="18"/>
                <w:szCs w:val="18"/>
              </w:rPr>
              <w:t>INPP4A:VWA3B; INPP4A:TTC3; INPP4A:RAPGEF1</w:t>
            </w:r>
          </w:p>
        </w:tc>
        <w:tc>
          <w:tcPr>
            <w:tcW w:w="992" w:type="dxa"/>
          </w:tcPr>
          <w:p w14:paraId="1C8F4077" w14:textId="77777777" w:rsidR="00A93424" w:rsidRDefault="00A93424" w:rsidP="0004497A">
            <w:pPr>
              <w:pStyle w:val="TableContents"/>
              <w:rPr>
                <w:color w:val="000000"/>
                <w:sz w:val="18"/>
                <w:szCs w:val="18"/>
              </w:rPr>
            </w:pPr>
            <w:r>
              <w:rPr>
                <w:color w:val="000000"/>
                <w:sz w:val="18"/>
                <w:szCs w:val="18"/>
              </w:rPr>
              <w:t>3</w:t>
            </w:r>
          </w:p>
        </w:tc>
        <w:tc>
          <w:tcPr>
            <w:tcW w:w="990" w:type="dxa"/>
          </w:tcPr>
          <w:p w14:paraId="3EA8D213" w14:textId="77777777" w:rsidR="00A93424" w:rsidRDefault="00A93424" w:rsidP="0004497A">
            <w:pPr>
              <w:pStyle w:val="TableContents"/>
              <w:rPr>
                <w:color w:val="000000"/>
                <w:sz w:val="18"/>
                <w:szCs w:val="18"/>
              </w:rPr>
            </w:pPr>
            <w:r>
              <w:rPr>
                <w:color w:val="000000"/>
                <w:sz w:val="18"/>
                <w:szCs w:val="18"/>
              </w:rPr>
              <w:t>3</w:t>
            </w:r>
          </w:p>
        </w:tc>
        <w:tc>
          <w:tcPr>
            <w:tcW w:w="900" w:type="dxa"/>
          </w:tcPr>
          <w:p w14:paraId="6D8FE942" w14:textId="77777777" w:rsidR="00A93424" w:rsidRDefault="00A93424" w:rsidP="0004497A">
            <w:pPr>
              <w:pStyle w:val="TableContents"/>
              <w:rPr>
                <w:color w:val="000000"/>
                <w:sz w:val="18"/>
                <w:szCs w:val="18"/>
              </w:rPr>
            </w:pPr>
          </w:p>
        </w:tc>
        <w:tc>
          <w:tcPr>
            <w:tcW w:w="3220" w:type="dxa"/>
          </w:tcPr>
          <w:p w14:paraId="44F47852" w14:textId="77777777" w:rsidR="00A93424" w:rsidRDefault="00A93424" w:rsidP="0004497A">
            <w:pPr>
              <w:pStyle w:val="TableContents"/>
              <w:rPr>
                <w:color w:val="000000"/>
              </w:rPr>
            </w:pPr>
            <w:r>
              <w:rPr>
                <w:color w:val="000000"/>
                <w:sz w:val="18"/>
                <w:szCs w:val="18"/>
              </w:rPr>
              <w:t>Lower nuclear localization of INPP4A correlates with increased cancerous growth, moreover constitutive expression of this gene leads to massive apoptosis (</w:t>
            </w:r>
            <w:bookmarkStart w:id="6" w:name="full-view-identifiers25"/>
            <w:bookmarkEnd w:id="6"/>
            <w:r>
              <w:rPr>
                <w:color w:val="212121"/>
                <w:sz w:val="18"/>
                <w:szCs w:val="18"/>
              </w:rPr>
              <w:t>PMID: </w:t>
            </w:r>
            <w:r>
              <w:rPr>
                <w:rStyle w:val="StrongEmphasis"/>
                <w:color w:val="212121"/>
                <w:sz w:val="18"/>
                <w:szCs w:val="18"/>
              </w:rPr>
              <w:t>30071275</w:t>
            </w:r>
            <w:r>
              <w:rPr>
                <w:color w:val="000000"/>
                <w:sz w:val="18"/>
                <w:szCs w:val="18"/>
              </w:rPr>
              <w:t>).</w:t>
            </w:r>
          </w:p>
        </w:tc>
      </w:tr>
      <w:tr w:rsidR="00A93424" w14:paraId="1FD7C194" w14:textId="77777777" w:rsidTr="0004497A">
        <w:tc>
          <w:tcPr>
            <w:tcW w:w="1423" w:type="dxa"/>
          </w:tcPr>
          <w:p w14:paraId="568FE655" w14:textId="77777777" w:rsidR="00A93424" w:rsidRDefault="00A93424" w:rsidP="0004497A">
            <w:pPr>
              <w:pStyle w:val="TableContents"/>
              <w:rPr>
                <w:color w:val="000000"/>
                <w:sz w:val="18"/>
                <w:szCs w:val="18"/>
              </w:rPr>
            </w:pPr>
            <w:r>
              <w:rPr>
                <w:color w:val="000000"/>
                <w:sz w:val="18"/>
                <w:szCs w:val="18"/>
              </w:rPr>
              <w:t>ITCH</w:t>
            </w:r>
          </w:p>
        </w:tc>
        <w:tc>
          <w:tcPr>
            <w:tcW w:w="2445" w:type="dxa"/>
          </w:tcPr>
          <w:p w14:paraId="69842FCE" w14:textId="77777777" w:rsidR="00A93424" w:rsidRDefault="00A93424" w:rsidP="0004497A">
            <w:pPr>
              <w:pStyle w:val="TableContents"/>
              <w:rPr>
                <w:color w:val="000000"/>
                <w:sz w:val="18"/>
                <w:szCs w:val="18"/>
              </w:rPr>
            </w:pPr>
            <w:proofErr w:type="gramStart"/>
            <w:r>
              <w:rPr>
                <w:color w:val="000000"/>
                <w:sz w:val="18"/>
                <w:szCs w:val="18"/>
              </w:rPr>
              <w:t>RALY:ITCH</w:t>
            </w:r>
            <w:proofErr w:type="gramEnd"/>
            <w:r>
              <w:rPr>
                <w:color w:val="000000"/>
                <w:sz w:val="18"/>
                <w:szCs w:val="18"/>
              </w:rPr>
              <w:t>; BCL2L1:ITCH; ITCH:ZNF217</w:t>
            </w:r>
          </w:p>
        </w:tc>
        <w:tc>
          <w:tcPr>
            <w:tcW w:w="992" w:type="dxa"/>
          </w:tcPr>
          <w:p w14:paraId="0F2AE561" w14:textId="77777777" w:rsidR="00A93424" w:rsidRDefault="00A93424" w:rsidP="0004497A">
            <w:pPr>
              <w:pStyle w:val="TableContents"/>
              <w:rPr>
                <w:color w:val="000000"/>
                <w:sz w:val="18"/>
                <w:szCs w:val="18"/>
              </w:rPr>
            </w:pPr>
            <w:r>
              <w:rPr>
                <w:color w:val="000000"/>
                <w:sz w:val="18"/>
                <w:szCs w:val="18"/>
              </w:rPr>
              <w:t>3</w:t>
            </w:r>
          </w:p>
        </w:tc>
        <w:tc>
          <w:tcPr>
            <w:tcW w:w="990" w:type="dxa"/>
          </w:tcPr>
          <w:p w14:paraId="7BAE7128" w14:textId="77777777" w:rsidR="00A93424" w:rsidRDefault="00A93424" w:rsidP="0004497A">
            <w:pPr>
              <w:pStyle w:val="TableContents"/>
              <w:rPr>
                <w:color w:val="000000"/>
                <w:sz w:val="18"/>
                <w:szCs w:val="18"/>
              </w:rPr>
            </w:pPr>
            <w:r>
              <w:rPr>
                <w:color w:val="000000"/>
                <w:sz w:val="18"/>
                <w:szCs w:val="18"/>
              </w:rPr>
              <w:t>3</w:t>
            </w:r>
          </w:p>
        </w:tc>
        <w:tc>
          <w:tcPr>
            <w:tcW w:w="900" w:type="dxa"/>
          </w:tcPr>
          <w:p w14:paraId="6E381133" w14:textId="77777777" w:rsidR="00A93424" w:rsidRDefault="00A93424" w:rsidP="0004497A">
            <w:pPr>
              <w:pStyle w:val="TableContents"/>
              <w:rPr>
                <w:color w:val="000000"/>
                <w:sz w:val="18"/>
                <w:szCs w:val="18"/>
              </w:rPr>
            </w:pPr>
          </w:p>
        </w:tc>
        <w:tc>
          <w:tcPr>
            <w:tcW w:w="3220" w:type="dxa"/>
          </w:tcPr>
          <w:p w14:paraId="77F8D386" w14:textId="77777777" w:rsidR="00A93424" w:rsidRDefault="00A93424" w:rsidP="0004497A">
            <w:pPr>
              <w:pStyle w:val="TableContents"/>
              <w:rPr>
                <w:color w:val="000000"/>
              </w:rPr>
            </w:pPr>
            <w:r>
              <w:rPr>
                <w:color w:val="000000"/>
                <w:sz w:val="18"/>
                <w:szCs w:val="18"/>
              </w:rPr>
              <w:t>Circular RNA cir-ITCH promotes cell invasion and migration in osteosarcoma (</w:t>
            </w:r>
            <w:bookmarkStart w:id="7" w:name="full-view-identifiers26"/>
            <w:bookmarkEnd w:id="7"/>
            <w:r>
              <w:rPr>
                <w:color w:val="212121"/>
                <w:sz w:val="18"/>
                <w:szCs w:val="18"/>
              </w:rPr>
              <w:t>PMID: </w:t>
            </w:r>
            <w:r>
              <w:rPr>
                <w:rStyle w:val="StrongEmphasis"/>
                <w:color w:val="212121"/>
                <w:sz w:val="18"/>
                <w:szCs w:val="18"/>
              </w:rPr>
              <w:t>31960764</w:t>
            </w:r>
            <w:r>
              <w:rPr>
                <w:color w:val="000000"/>
                <w:sz w:val="18"/>
                <w:szCs w:val="18"/>
              </w:rPr>
              <w:t>).</w:t>
            </w:r>
          </w:p>
        </w:tc>
      </w:tr>
      <w:tr w:rsidR="00A93424" w14:paraId="73A5BB75" w14:textId="77777777" w:rsidTr="0004497A">
        <w:tc>
          <w:tcPr>
            <w:tcW w:w="1423" w:type="dxa"/>
          </w:tcPr>
          <w:p w14:paraId="332A1505" w14:textId="77777777" w:rsidR="00A93424" w:rsidRDefault="00A93424" w:rsidP="0004497A">
            <w:pPr>
              <w:pStyle w:val="TableContents"/>
              <w:rPr>
                <w:color w:val="000000"/>
                <w:sz w:val="18"/>
                <w:szCs w:val="18"/>
              </w:rPr>
            </w:pPr>
            <w:r>
              <w:rPr>
                <w:color w:val="000000"/>
                <w:sz w:val="18"/>
                <w:szCs w:val="18"/>
              </w:rPr>
              <w:t>MAD1L1</w:t>
            </w:r>
          </w:p>
        </w:tc>
        <w:tc>
          <w:tcPr>
            <w:tcW w:w="2445" w:type="dxa"/>
          </w:tcPr>
          <w:p w14:paraId="70753AE1" w14:textId="77777777" w:rsidR="00A93424" w:rsidRDefault="00A93424" w:rsidP="0004497A">
            <w:pPr>
              <w:pStyle w:val="TableContents"/>
              <w:rPr>
                <w:color w:val="000000"/>
                <w:sz w:val="18"/>
                <w:szCs w:val="18"/>
              </w:rPr>
            </w:pPr>
            <w:r>
              <w:rPr>
                <w:color w:val="000000"/>
                <w:sz w:val="18"/>
                <w:szCs w:val="18"/>
              </w:rPr>
              <w:t>MAD1L1:NBPF19; DNAAF5:MAD1L1; EIF3B:MAD1L1</w:t>
            </w:r>
          </w:p>
        </w:tc>
        <w:tc>
          <w:tcPr>
            <w:tcW w:w="992" w:type="dxa"/>
          </w:tcPr>
          <w:p w14:paraId="5C60B050" w14:textId="77777777" w:rsidR="00A93424" w:rsidRDefault="00A93424" w:rsidP="0004497A">
            <w:pPr>
              <w:pStyle w:val="TableContents"/>
              <w:rPr>
                <w:color w:val="000000"/>
                <w:sz w:val="18"/>
                <w:szCs w:val="18"/>
              </w:rPr>
            </w:pPr>
            <w:r>
              <w:rPr>
                <w:color w:val="000000"/>
                <w:sz w:val="18"/>
                <w:szCs w:val="18"/>
              </w:rPr>
              <w:t>3</w:t>
            </w:r>
          </w:p>
        </w:tc>
        <w:tc>
          <w:tcPr>
            <w:tcW w:w="990" w:type="dxa"/>
          </w:tcPr>
          <w:p w14:paraId="0458E088" w14:textId="77777777" w:rsidR="00A93424" w:rsidRDefault="00A93424" w:rsidP="0004497A">
            <w:pPr>
              <w:pStyle w:val="TableContents"/>
              <w:rPr>
                <w:color w:val="000000"/>
                <w:sz w:val="18"/>
                <w:szCs w:val="18"/>
              </w:rPr>
            </w:pPr>
            <w:r>
              <w:rPr>
                <w:color w:val="000000"/>
                <w:sz w:val="18"/>
                <w:szCs w:val="18"/>
              </w:rPr>
              <w:t>3</w:t>
            </w:r>
          </w:p>
        </w:tc>
        <w:tc>
          <w:tcPr>
            <w:tcW w:w="900" w:type="dxa"/>
          </w:tcPr>
          <w:p w14:paraId="60AA715C" w14:textId="77777777" w:rsidR="00A93424" w:rsidRDefault="00A93424" w:rsidP="0004497A">
            <w:pPr>
              <w:pStyle w:val="TableContents"/>
              <w:rPr>
                <w:color w:val="000000"/>
                <w:sz w:val="18"/>
                <w:szCs w:val="18"/>
              </w:rPr>
            </w:pPr>
          </w:p>
        </w:tc>
        <w:tc>
          <w:tcPr>
            <w:tcW w:w="3220" w:type="dxa"/>
          </w:tcPr>
          <w:p w14:paraId="05CBB9DB" w14:textId="77777777" w:rsidR="00A93424" w:rsidRDefault="00A93424" w:rsidP="0004497A">
            <w:pPr>
              <w:pStyle w:val="Standard"/>
              <w:rPr>
                <w:color w:val="000000"/>
              </w:rPr>
            </w:pPr>
            <w:r>
              <w:rPr>
                <w:color w:val="000000"/>
                <w:sz w:val="18"/>
                <w:szCs w:val="18"/>
              </w:rPr>
              <w:t>Gain of a region on 7p22.3, containing MAD1L1, is the most frequent event in small-cell lung cancer cell lines (</w:t>
            </w:r>
            <w:bookmarkStart w:id="8" w:name="full-view-identifiers27"/>
            <w:bookmarkEnd w:id="8"/>
            <w:r>
              <w:rPr>
                <w:color w:val="212121"/>
                <w:sz w:val="18"/>
                <w:szCs w:val="18"/>
              </w:rPr>
              <w:t>PMID: </w:t>
            </w:r>
            <w:r>
              <w:rPr>
                <w:rStyle w:val="StrongEmphasis"/>
                <w:color w:val="212121"/>
                <w:sz w:val="18"/>
                <w:szCs w:val="18"/>
              </w:rPr>
              <w:t>16130125)</w:t>
            </w:r>
            <w:r>
              <w:rPr>
                <w:color w:val="000000"/>
                <w:sz w:val="18"/>
                <w:szCs w:val="18"/>
              </w:rPr>
              <w:t>.</w:t>
            </w:r>
          </w:p>
        </w:tc>
      </w:tr>
      <w:tr w:rsidR="00A93424" w14:paraId="0C572A67" w14:textId="77777777" w:rsidTr="0004497A">
        <w:tc>
          <w:tcPr>
            <w:tcW w:w="1423" w:type="dxa"/>
          </w:tcPr>
          <w:p w14:paraId="38155A7C" w14:textId="77777777" w:rsidR="00A93424" w:rsidRDefault="00A93424" w:rsidP="0004497A">
            <w:pPr>
              <w:pStyle w:val="TableContents"/>
              <w:rPr>
                <w:color w:val="000000"/>
                <w:sz w:val="18"/>
                <w:szCs w:val="18"/>
              </w:rPr>
            </w:pPr>
            <w:r>
              <w:rPr>
                <w:color w:val="000000"/>
                <w:sz w:val="18"/>
                <w:szCs w:val="18"/>
              </w:rPr>
              <w:t>MKL1</w:t>
            </w:r>
          </w:p>
        </w:tc>
        <w:tc>
          <w:tcPr>
            <w:tcW w:w="2445" w:type="dxa"/>
          </w:tcPr>
          <w:p w14:paraId="263D1EF1" w14:textId="77777777" w:rsidR="00A93424" w:rsidRDefault="00A93424" w:rsidP="0004497A">
            <w:pPr>
              <w:pStyle w:val="TableContents"/>
              <w:rPr>
                <w:color w:val="000000"/>
                <w:sz w:val="18"/>
                <w:szCs w:val="18"/>
              </w:rPr>
            </w:pPr>
            <w:r>
              <w:rPr>
                <w:color w:val="000000"/>
                <w:sz w:val="18"/>
                <w:szCs w:val="18"/>
              </w:rPr>
              <w:t>MKL1:PVT1; MKL1:RHOT1; MKL1:MTFR1</w:t>
            </w:r>
          </w:p>
        </w:tc>
        <w:tc>
          <w:tcPr>
            <w:tcW w:w="992" w:type="dxa"/>
          </w:tcPr>
          <w:p w14:paraId="11D8B981" w14:textId="77777777" w:rsidR="00A93424" w:rsidRDefault="00A93424" w:rsidP="0004497A">
            <w:pPr>
              <w:pStyle w:val="TableContents"/>
              <w:rPr>
                <w:color w:val="000000"/>
                <w:sz w:val="18"/>
                <w:szCs w:val="18"/>
              </w:rPr>
            </w:pPr>
            <w:r>
              <w:rPr>
                <w:color w:val="000000"/>
                <w:sz w:val="18"/>
                <w:szCs w:val="18"/>
              </w:rPr>
              <w:t>3</w:t>
            </w:r>
          </w:p>
        </w:tc>
        <w:tc>
          <w:tcPr>
            <w:tcW w:w="990" w:type="dxa"/>
          </w:tcPr>
          <w:p w14:paraId="425134F2" w14:textId="77777777" w:rsidR="00A93424" w:rsidRDefault="00A93424" w:rsidP="0004497A">
            <w:pPr>
              <w:pStyle w:val="TableContents"/>
              <w:rPr>
                <w:color w:val="000000"/>
                <w:sz w:val="18"/>
                <w:szCs w:val="18"/>
              </w:rPr>
            </w:pPr>
            <w:r>
              <w:rPr>
                <w:color w:val="000000"/>
                <w:sz w:val="18"/>
                <w:szCs w:val="18"/>
              </w:rPr>
              <w:t>3</w:t>
            </w:r>
          </w:p>
        </w:tc>
        <w:tc>
          <w:tcPr>
            <w:tcW w:w="900" w:type="dxa"/>
          </w:tcPr>
          <w:p w14:paraId="406912C3" w14:textId="77777777" w:rsidR="00A93424" w:rsidRDefault="00A93424" w:rsidP="0004497A">
            <w:pPr>
              <w:pStyle w:val="TableContents"/>
              <w:rPr>
                <w:color w:val="000000"/>
                <w:sz w:val="18"/>
                <w:szCs w:val="18"/>
              </w:rPr>
            </w:pPr>
          </w:p>
        </w:tc>
        <w:tc>
          <w:tcPr>
            <w:tcW w:w="3220" w:type="dxa"/>
          </w:tcPr>
          <w:p w14:paraId="1A019D6E" w14:textId="77777777" w:rsidR="00A93424" w:rsidRDefault="00A93424" w:rsidP="0004497A">
            <w:pPr>
              <w:pStyle w:val="Standard"/>
              <w:rPr>
                <w:color w:val="000000"/>
              </w:rPr>
            </w:pPr>
            <w:r>
              <w:rPr>
                <w:color w:val="000000"/>
                <w:sz w:val="18"/>
                <w:szCs w:val="18"/>
              </w:rPr>
              <w:t>MKL1 potentiates lung cancer cell migration and invasion by epigenetically activating MMP9 transcription (</w:t>
            </w:r>
            <w:bookmarkStart w:id="9" w:name="full-view-identifiers28"/>
            <w:bookmarkEnd w:id="9"/>
            <w:r>
              <w:rPr>
                <w:color w:val="212121"/>
                <w:sz w:val="18"/>
                <w:szCs w:val="18"/>
              </w:rPr>
              <w:t>PMID: </w:t>
            </w:r>
            <w:r>
              <w:rPr>
                <w:rStyle w:val="StrongEmphasis"/>
                <w:color w:val="212121"/>
                <w:sz w:val="18"/>
                <w:szCs w:val="18"/>
              </w:rPr>
              <w:t>25746000</w:t>
            </w:r>
            <w:r>
              <w:rPr>
                <w:color w:val="000000"/>
                <w:sz w:val="18"/>
                <w:szCs w:val="18"/>
              </w:rPr>
              <w:t>).</w:t>
            </w:r>
          </w:p>
          <w:p w14:paraId="4B014F97" w14:textId="77777777" w:rsidR="00A93424" w:rsidRDefault="00A93424" w:rsidP="0004497A">
            <w:pPr>
              <w:pStyle w:val="Standard"/>
              <w:rPr>
                <w:color w:val="000000"/>
                <w:sz w:val="18"/>
                <w:szCs w:val="18"/>
              </w:rPr>
            </w:pPr>
          </w:p>
        </w:tc>
      </w:tr>
      <w:tr w:rsidR="00A93424" w14:paraId="57B630AC" w14:textId="77777777" w:rsidTr="0004497A">
        <w:tc>
          <w:tcPr>
            <w:tcW w:w="1423" w:type="dxa"/>
          </w:tcPr>
          <w:p w14:paraId="07025D08" w14:textId="77777777" w:rsidR="00A93424" w:rsidRDefault="00A93424" w:rsidP="0004497A">
            <w:pPr>
              <w:pStyle w:val="TableContents"/>
              <w:rPr>
                <w:color w:val="000000"/>
                <w:sz w:val="18"/>
                <w:szCs w:val="18"/>
              </w:rPr>
            </w:pPr>
            <w:r>
              <w:rPr>
                <w:color w:val="000000"/>
                <w:sz w:val="18"/>
                <w:szCs w:val="18"/>
              </w:rPr>
              <w:t>MROH1</w:t>
            </w:r>
          </w:p>
        </w:tc>
        <w:tc>
          <w:tcPr>
            <w:tcW w:w="2445" w:type="dxa"/>
          </w:tcPr>
          <w:p w14:paraId="00B7A472" w14:textId="77777777" w:rsidR="00A93424" w:rsidRDefault="00A93424" w:rsidP="0004497A">
            <w:pPr>
              <w:pStyle w:val="TableContents"/>
              <w:rPr>
                <w:color w:val="000000"/>
                <w:sz w:val="18"/>
                <w:szCs w:val="18"/>
              </w:rPr>
            </w:pPr>
            <w:r>
              <w:rPr>
                <w:color w:val="000000"/>
                <w:sz w:val="18"/>
                <w:szCs w:val="18"/>
              </w:rPr>
              <w:t>MROH1:ZNF395; ABT1:MROH1; COL23A1:MROH1</w:t>
            </w:r>
          </w:p>
        </w:tc>
        <w:tc>
          <w:tcPr>
            <w:tcW w:w="992" w:type="dxa"/>
          </w:tcPr>
          <w:p w14:paraId="202C6728" w14:textId="77777777" w:rsidR="00A93424" w:rsidRDefault="00A93424" w:rsidP="0004497A">
            <w:pPr>
              <w:pStyle w:val="TableContents"/>
              <w:rPr>
                <w:color w:val="000000"/>
                <w:sz w:val="18"/>
                <w:szCs w:val="18"/>
              </w:rPr>
            </w:pPr>
            <w:r>
              <w:rPr>
                <w:color w:val="000000"/>
                <w:sz w:val="18"/>
                <w:szCs w:val="18"/>
              </w:rPr>
              <w:t>3</w:t>
            </w:r>
          </w:p>
        </w:tc>
        <w:tc>
          <w:tcPr>
            <w:tcW w:w="990" w:type="dxa"/>
          </w:tcPr>
          <w:p w14:paraId="627E36C8" w14:textId="77777777" w:rsidR="00A93424" w:rsidRDefault="00A93424" w:rsidP="0004497A">
            <w:pPr>
              <w:pStyle w:val="TableContents"/>
              <w:rPr>
                <w:color w:val="000000"/>
                <w:sz w:val="18"/>
                <w:szCs w:val="18"/>
              </w:rPr>
            </w:pPr>
            <w:r>
              <w:rPr>
                <w:color w:val="000000"/>
                <w:sz w:val="18"/>
                <w:szCs w:val="18"/>
              </w:rPr>
              <w:t>3</w:t>
            </w:r>
          </w:p>
        </w:tc>
        <w:tc>
          <w:tcPr>
            <w:tcW w:w="900" w:type="dxa"/>
          </w:tcPr>
          <w:p w14:paraId="1F08866A" w14:textId="77777777" w:rsidR="00A93424" w:rsidRDefault="00A93424" w:rsidP="0004497A">
            <w:pPr>
              <w:pStyle w:val="TableContents"/>
              <w:rPr>
                <w:color w:val="000000"/>
                <w:sz w:val="18"/>
                <w:szCs w:val="18"/>
              </w:rPr>
            </w:pPr>
          </w:p>
        </w:tc>
        <w:tc>
          <w:tcPr>
            <w:tcW w:w="3220" w:type="dxa"/>
          </w:tcPr>
          <w:p w14:paraId="251953F2" w14:textId="77777777" w:rsidR="00A93424" w:rsidRDefault="00A93424" w:rsidP="0004497A">
            <w:pPr>
              <w:pStyle w:val="TableContents"/>
              <w:rPr>
                <w:color w:val="000000"/>
                <w:sz w:val="18"/>
                <w:szCs w:val="18"/>
              </w:rPr>
            </w:pPr>
            <w:r>
              <w:rPr>
                <w:color w:val="000000"/>
                <w:sz w:val="18"/>
                <w:szCs w:val="18"/>
              </w:rPr>
              <w:t>Unknown</w:t>
            </w:r>
          </w:p>
        </w:tc>
      </w:tr>
      <w:tr w:rsidR="00A93424" w14:paraId="003258DA" w14:textId="77777777" w:rsidTr="0004497A">
        <w:tc>
          <w:tcPr>
            <w:tcW w:w="1423" w:type="dxa"/>
          </w:tcPr>
          <w:p w14:paraId="03761473" w14:textId="77777777" w:rsidR="00A93424" w:rsidRDefault="00A93424" w:rsidP="0004497A">
            <w:pPr>
              <w:pStyle w:val="TableContents"/>
              <w:rPr>
                <w:color w:val="000000"/>
                <w:sz w:val="18"/>
                <w:szCs w:val="18"/>
              </w:rPr>
            </w:pPr>
            <w:r>
              <w:rPr>
                <w:color w:val="000000"/>
                <w:sz w:val="18"/>
                <w:szCs w:val="18"/>
              </w:rPr>
              <w:t>N4BP2L2</w:t>
            </w:r>
          </w:p>
        </w:tc>
        <w:tc>
          <w:tcPr>
            <w:tcW w:w="2445" w:type="dxa"/>
          </w:tcPr>
          <w:p w14:paraId="63FB2AB6" w14:textId="77777777" w:rsidR="00A93424" w:rsidRDefault="00A93424" w:rsidP="0004497A">
            <w:pPr>
              <w:pStyle w:val="TableContents"/>
              <w:rPr>
                <w:color w:val="000000"/>
                <w:sz w:val="18"/>
                <w:szCs w:val="18"/>
              </w:rPr>
            </w:pPr>
            <w:r>
              <w:rPr>
                <w:color w:val="000000"/>
                <w:sz w:val="18"/>
                <w:szCs w:val="18"/>
              </w:rPr>
              <w:t>USP12:N4BP2L2; TRAPPC9:N4BP2L2; N4BP2L2:SH3BGRL</w:t>
            </w:r>
          </w:p>
        </w:tc>
        <w:tc>
          <w:tcPr>
            <w:tcW w:w="992" w:type="dxa"/>
          </w:tcPr>
          <w:p w14:paraId="35A26507" w14:textId="77777777" w:rsidR="00A93424" w:rsidRDefault="00A93424" w:rsidP="0004497A">
            <w:pPr>
              <w:pStyle w:val="TableContents"/>
              <w:rPr>
                <w:color w:val="000000"/>
                <w:sz w:val="18"/>
                <w:szCs w:val="18"/>
              </w:rPr>
            </w:pPr>
            <w:r>
              <w:rPr>
                <w:color w:val="000000"/>
                <w:sz w:val="18"/>
                <w:szCs w:val="18"/>
              </w:rPr>
              <w:t>3</w:t>
            </w:r>
          </w:p>
        </w:tc>
        <w:tc>
          <w:tcPr>
            <w:tcW w:w="990" w:type="dxa"/>
          </w:tcPr>
          <w:p w14:paraId="320AA060" w14:textId="77777777" w:rsidR="00A93424" w:rsidRDefault="00A93424" w:rsidP="0004497A">
            <w:pPr>
              <w:pStyle w:val="TableContents"/>
              <w:rPr>
                <w:color w:val="000000"/>
                <w:sz w:val="18"/>
                <w:szCs w:val="18"/>
              </w:rPr>
            </w:pPr>
            <w:r>
              <w:rPr>
                <w:color w:val="000000"/>
                <w:sz w:val="18"/>
                <w:szCs w:val="18"/>
              </w:rPr>
              <w:t>3</w:t>
            </w:r>
          </w:p>
        </w:tc>
        <w:tc>
          <w:tcPr>
            <w:tcW w:w="900" w:type="dxa"/>
          </w:tcPr>
          <w:p w14:paraId="5CB74CC1" w14:textId="77777777" w:rsidR="00A93424" w:rsidRDefault="00A93424" w:rsidP="0004497A">
            <w:pPr>
              <w:pStyle w:val="TableContents"/>
              <w:rPr>
                <w:color w:val="000000"/>
                <w:sz w:val="18"/>
                <w:szCs w:val="18"/>
              </w:rPr>
            </w:pPr>
          </w:p>
        </w:tc>
        <w:tc>
          <w:tcPr>
            <w:tcW w:w="3220" w:type="dxa"/>
          </w:tcPr>
          <w:p w14:paraId="7F0865B2" w14:textId="77777777" w:rsidR="00A93424" w:rsidRDefault="00A93424" w:rsidP="0004497A">
            <w:pPr>
              <w:pStyle w:val="TableContents"/>
              <w:rPr>
                <w:color w:val="000000"/>
                <w:sz w:val="18"/>
                <w:szCs w:val="18"/>
              </w:rPr>
            </w:pPr>
            <w:r>
              <w:rPr>
                <w:color w:val="000000"/>
                <w:sz w:val="18"/>
                <w:szCs w:val="18"/>
              </w:rPr>
              <w:t>Unknown</w:t>
            </w:r>
          </w:p>
        </w:tc>
      </w:tr>
      <w:tr w:rsidR="00A93424" w14:paraId="7D80E65D" w14:textId="77777777" w:rsidTr="0004497A">
        <w:tc>
          <w:tcPr>
            <w:tcW w:w="1423" w:type="dxa"/>
          </w:tcPr>
          <w:p w14:paraId="268747FD" w14:textId="77777777" w:rsidR="00A93424" w:rsidRDefault="00A93424" w:rsidP="0004497A">
            <w:pPr>
              <w:pStyle w:val="TableContents"/>
              <w:rPr>
                <w:color w:val="000000"/>
                <w:sz w:val="18"/>
                <w:szCs w:val="18"/>
              </w:rPr>
            </w:pPr>
            <w:r>
              <w:rPr>
                <w:color w:val="000000"/>
                <w:sz w:val="18"/>
                <w:szCs w:val="18"/>
              </w:rPr>
              <w:lastRenderedPageBreak/>
              <w:t>NFIB</w:t>
            </w:r>
          </w:p>
        </w:tc>
        <w:tc>
          <w:tcPr>
            <w:tcW w:w="2445" w:type="dxa"/>
          </w:tcPr>
          <w:p w14:paraId="2EE16F82" w14:textId="77777777" w:rsidR="00A93424" w:rsidRDefault="00A93424" w:rsidP="0004497A">
            <w:pPr>
              <w:pStyle w:val="TableContents"/>
              <w:rPr>
                <w:color w:val="000000"/>
                <w:sz w:val="18"/>
                <w:szCs w:val="18"/>
              </w:rPr>
            </w:pPr>
            <w:r>
              <w:rPr>
                <w:color w:val="000000"/>
                <w:sz w:val="18"/>
                <w:szCs w:val="18"/>
              </w:rPr>
              <w:t>ENPP</w:t>
            </w:r>
            <w:proofErr w:type="gramStart"/>
            <w:r>
              <w:rPr>
                <w:color w:val="000000"/>
                <w:sz w:val="18"/>
                <w:szCs w:val="18"/>
              </w:rPr>
              <w:t>2:NFIB</w:t>
            </w:r>
            <w:proofErr w:type="gramEnd"/>
            <w:r>
              <w:rPr>
                <w:color w:val="000000"/>
                <w:sz w:val="18"/>
                <w:szCs w:val="18"/>
              </w:rPr>
              <w:t>; CD302:NFIB; GPATCH2L:NFIB</w:t>
            </w:r>
          </w:p>
        </w:tc>
        <w:tc>
          <w:tcPr>
            <w:tcW w:w="992" w:type="dxa"/>
          </w:tcPr>
          <w:p w14:paraId="197F91BD" w14:textId="77777777" w:rsidR="00A93424" w:rsidRDefault="00A93424" w:rsidP="0004497A">
            <w:pPr>
              <w:pStyle w:val="TableContents"/>
              <w:rPr>
                <w:color w:val="000000"/>
                <w:sz w:val="18"/>
                <w:szCs w:val="18"/>
              </w:rPr>
            </w:pPr>
            <w:r>
              <w:rPr>
                <w:color w:val="000000"/>
                <w:sz w:val="18"/>
                <w:szCs w:val="18"/>
              </w:rPr>
              <w:t>3</w:t>
            </w:r>
          </w:p>
        </w:tc>
        <w:tc>
          <w:tcPr>
            <w:tcW w:w="990" w:type="dxa"/>
          </w:tcPr>
          <w:p w14:paraId="4E06CC63" w14:textId="77777777" w:rsidR="00A93424" w:rsidRDefault="00A93424" w:rsidP="0004497A">
            <w:pPr>
              <w:pStyle w:val="TableContents"/>
              <w:rPr>
                <w:color w:val="000000"/>
                <w:sz w:val="18"/>
                <w:szCs w:val="18"/>
              </w:rPr>
            </w:pPr>
            <w:r>
              <w:rPr>
                <w:color w:val="000000"/>
                <w:sz w:val="18"/>
                <w:szCs w:val="18"/>
              </w:rPr>
              <w:t>3</w:t>
            </w:r>
          </w:p>
        </w:tc>
        <w:tc>
          <w:tcPr>
            <w:tcW w:w="900" w:type="dxa"/>
          </w:tcPr>
          <w:p w14:paraId="75DBCBCD" w14:textId="77777777" w:rsidR="00A93424" w:rsidRDefault="00A93424" w:rsidP="0004497A">
            <w:pPr>
              <w:pStyle w:val="TableContents"/>
              <w:rPr>
                <w:color w:val="000000"/>
                <w:sz w:val="18"/>
                <w:szCs w:val="18"/>
              </w:rPr>
            </w:pPr>
          </w:p>
        </w:tc>
        <w:tc>
          <w:tcPr>
            <w:tcW w:w="3220" w:type="dxa"/>
          </w:tcPr>
          <w:p w14:paraId="0C266F83" w14:textId="77777777" w:rsidR="00A93424" w:rsidRDefault="00A93424" w:rsidP="0004497A">
            <w:pPr>
              <w:pStyle w:val="Standard"/>
            </w:pPr>
            <w:r>
              <w:rPr>
                <w:sz w:val="18"/>
                <w:szCs w:val="18"/>
              </w:rPr>
              <w:t>NFIB promotes the migration and progression of kidney renal clear cell carcinoma by regulating PINK1 transcription (</w:t>
            </w:r>
            <w:bookmarkStart w:id="10" w:name="full-view-identifiers29"/>
            <w:bookmarkEnd w:id="10"/>
            <w:r>
              <w:rPr>
                <w:sz w:val="18"/>
                <w:szCs w:val="18"/>
              </w:rPr>
              <w:t>PMID: </w:t>
            </w:r>
            <w:r>
              <w:rPr>
                <w:rStyle w:val="StrongEmphasis"/>
                <w:sz w:val="18"/>
                <w:szCs w:val="18"/>
              </w:rPr>
              <w:t>33981484</w:t>
            </w:r>
            <w:r>
              <w:rPr>
                <w:sz w:val="18"/>
                <w:szCs w:val="18"/>
              </w:rPr>
              <w:t>).</w:t>
            </w:r>
          </w:p>
          <w:p w14:paraId="3990A7C4" w14:textId="77777777" w:rsidR="00A93424" w:rsidRDefault="00A93424" w:rsidP="0004497A">
            <w:pPr>
              <w:pStyle w:val="Standard"/>
              <w:rPr>
                <w:sz w:val="18"/>
                <w:szCs w:val="18"/>
              </w:rPr>
            </w:pPr>
          </w:p>
        </w:tc>
      </w:tr>
      <w:tr w:rsidR="00A93424" w14:paraId="13AE7AD5" w14:textId="77777777" w:rsidTr="0004497A">
        <w:tc>
          <w:tcPr>
            <w:tcW w:w="1423" w:type="dxa"/>
          </w:tcPr>
          <w:p w14:paraId="551267A8" w14:textId="77777777" w:rsidR="00A93424" w:rsidRDefault="00A93424" w:rsidP="0004497A">
            <w:pPr>
              <w:pStyle w:val="TableContents"/>
              <w:rPr>
                <w:color w:val="000000"/>
                <w:sz w:val="18"/>
                <w:szCs w:val="18"/>
              </w:rPr>
            </w:pPr>
            <w:r>
              <w:rPr>
                <w:color w:val="000000"/>
                <w:sz w:val="18"/>
                <w:szCs w:val="18"/>
              </w:rPr>
              <w:t>NPEPPS</w:t>
            </w:r>
          </w:p>
        </w:tc>
        <w:tc>
          <w:tcPr>
            <w:tcW w:w="2445" w:type="dxa"/>
          </w:tcPr>
          <w:p w14:paraId="3E1F8B32" w14:textId="77777777" w:rsidR="00A93424" w:rsidRDefault="00A93424" w:rsidP="0004497A">
            <w:pPr>
              <w:pStyle w:val="TableContents"/>
              <w:rPr>
                <w:color w:val="000000"/>
                <w:sz w:val="18"/>
                <w:szCs w:val="18"/>
              </w:rPr>
            </w:pPr>
            <w:r>
              <w:rPr>
                <w:color w:val="000000"/>
                <w:sz w:val="18"/>
                <w:szCs w:val="18"/>
              </w:rPr>
              <w:t>AGPAT</w:t>
            </w:r>
            <w:proofErr w:type="gramStart"/>
            <w:r>
              <w:rPr>
                <w:color w:val="000000"/>
                <w:sz w:val="18"/>
                <w:szCs w:val="18"/>
              </w:rPr>
              <w:t>6:NPEPPS</w:t>
            </w:r>
            <w:proofErr w:type="gramEnd"/>
            <w:r>
              <w:rPr>
                <w:color w:val="000000"/>
                <w:sz w:val="18"/>
                <w:szCs w:val="18"/>
              </w:rPr>
              <w:t>; ITFG3:NPEPPS; NPEPPS:SLC7A11</w:t>
            </w:r>
          </w:p>
        </w:tc>
        <w:tc>
          <w:tcPr>
            <w:tcW w:w="992" w:type="dxa"/>
          </w:tcPr>
          <w:p w14:paraId="5B2BDDF8" w14:textId="77777777" w:rsidR="00A93424" w:rsidRDefault="00A93424" w:rsidP="0004497A">
            <w:pPr>
              <w:pStyle w:val="TableContents"/>
              <w:rPr>
                <w:color w:val="000000"/>
                <w:sz w:val="18"/>
                <w:szCs w:val="18"/>
              </w:rPr>
            </w:pPr>
            <w:r>
              <w:rPr>
                <w:color w:val="000000"/>
                <w:sz w:val="18"/>
                <w:szCs w:val="18"/>
              </w:rPr>
              <w:t>3</w:t>
            </w:r>
          </w:p>
        </w:tc>
        <w:tc>
          <w:tcPr>
            <w:tcW w:w="990" w:type="dxa"/>
          </w:tcPr>
          <w:p w14:paraId="3CEF6702" w14:textId="77777777" w:rsidR="00A93424" w:rsidRDefault="00A93424" w:rsidP="0004497A">
            <w:pPr>
              <w:pStyle w:val="TableContents"/>
              <w:rPr>
                <w:color w:val="000000"/>
                <w:sz w:val="18"/>
                <w:szCs w:val="18"/>
              </w:rPr>
            </w:pPr>
            <w:r>
              <w:rPr>
                <w:color w:val="000000"/>
                <w:sz w:val="18"/>
                <w:szCs w:val="18"/>
              </w:rPr>
              <w:t>3</w:t>
            </w:r>
          </w:p>
        </w:tc>
        <w:tc>
          <w:tcPr>
            <w:tcW w:w="900" w:type="dxa"/>
          </w:tcPr>
          <w:p w14:paraId="474F917E" w14:textId="77777777" w:rsidR="00A93424" w:rsidRDefault="00A93424" w:rsidP="0004497A">
            <w:pPr>
              <w:pStyle w:val="TableContents"/>
              <w:rPr>
                <w:color w:val="000000"/>
                <w:sz w:val="18"/>
                <w:szCs w:val="18"/>
              </w:rPr>
            </w:pPr>
          </w:p>
        </w:tc>
        <w:tc>
          <w:tcPr>
            <w:tcW w:w="3220" w:type="dxa"/>
          </w:tcPr>
          <w:p w14:paraId="528D597A" w14:textId="77777777" w:rsidR="00A93424" w:rsidRDefault="00A93424" w:rsidP="0004497A">
            <w:pPr>
              <w:pStyle w:val="TableContents"/>
              <w:rPr>
                <w:color w:val="000000"/>
                <w:sz w:val="18"/>
                <w:szCs w:val="18"/>
              </w:rPr>
            </w:pPr>
            <w:r>
              <w:rPr>
                <w:color w:val="000000"/>
                <w:sz w:val="18"/>
                <w:szCs w:val="18"/>
              </w:rPr>
              <w:t>Unknown</w:t>
            </w:r>
          </w:p>
        </w:tc>
      </w:tr>
      <w:tr w:rsidR="00A93424" w14:paraId="518893F2" w14:textId="77777777" w:rsidTr="0004497A">
        <w:tc>
          <w:tcPr>
            <w:tcW w:w="1423" w:type="dxa"/>
          </w:tcPr>
          <w:p w14:paraId="27AB0B3B" w14:textId="77777777" w:rsidR="00A93424" w:rsidRDefault="00A93424" w:rsidP="0004497A">
            <w:pPr>
              <w:pStyle w:val="TableContents"/>
              <w:rPr>
                <w:color w:val="000000"/>
                <w:sz w:val="18"/>
                <w:szCs w:val="18"/>
              </w:rPr>
            </w:pPr>
            <w:r>
              <w:rPr>
                <w:color w:val="000000"/>
                <w:sz w:val="18"/>
                <w:szCs w:val="18"/>
              </w:rPr>
              <w:t>PCNX</w:t>
            </w:r>
          </w:p>
        </w:tc>
        <w:tc>
          <w:tcPr>
            <w:tcW w:w="2445" w:type="dxa"/>
          </w:tcPr>
          <w:p w14:paraId="67DAA5B5" w14:textId="77777777" w:rsidR="00A93424" w:rsidRDefault="00A93424" w:rsidP="0004497A">
            <w:pPr>
              <w:pStyle w:val="TableContents"/>
              <w:rPr>
                <w:color w:val="000000"/>
                <w:sz w:val="18"/>
                <w:szCs w:val="18"/>
              </w:rPr>
            </w:pPr>
            <w:r>
              <w:rPr>
                <w:color w:val="000000"/>
                <w:sz w:val="18"/>
                <w:szCs w:val="18"/>
              </w:rPr>
              <w:t>ZFYVE</w:t>
            </w:r>
            <w:proofErr w:type="gramStart"/>
            <w:r>
              <w:rPr>
                <w:color w:val="000000"/>
                <w:sz w:val="18"/>
                <w:szCs w:val="18"/>
              </w:rPr>
              <w:t>28:PCNX</w:t>
            </w:r>
            <w:proofErr w:type="gramEnd"/>
            <w:r>
              <w:rPr>
                <w:color w:val="000000"/>
                <w:sz w:val="18"/>
                <w:szCs w:val="18"/>
              </w:rPr>
              <w:t>; PCNX:SPTLC2; PCNX:SYNJ2BP-COX16</w:t>
            </w:r>
          </w:p>
        </w:tc>
        <w:tc>
          <w:tcPr>
            <w:tcW w:w="992" w:type="dxa"/>
          </w:tcPr>
          <w:p w14:paraId="4A13F156" w14:textId="77777777" w:rsidR="00A93424" w:rsidRDefault="00A93424" w:rsidP="0004497A">
            <w:pPr>
              <w:pStyle w:val="TableContents"/>
              <w:rPr>
                <w:color w:val="000000"/>
                <w:sz w:val="18"/>
                <w:szCs w:val="18"/>
              </w:rPr>
            </w:pPr>
            <w:r>
              <w:rPr>
                <w:color w:val="000000"/>
                <w:sz w:val="18"/>
                <w:szCs w:val="18"/>
              </w:rPr>
              <w:t>3</w:t>
            </w:r>
          </w:p>
        </w:tc>
        <w:tc>
          <w:tcPr>
            <w:tcW w:w="990" w:type="dxa"/>
          </w:tcPr>
          <w:p w14:paraId="7A1E4F3F" w14:textId="77777777" w:rsidR="00A93424" w:rsidRDefault="00A93424" w:rsidP="0004497A">
            <w:pPr>
              <w:pStyle w:val="TableContents"/>
              <w:rPr>
                <w:color w:val="000000"/>
                <w:sz w:val="18"/>
                <w:szCs w:val="18"/>
              </w:rPr>
            </w:pPr>
            <w:r>
              <w:rPr>
                <w:color w:val="000000"/>
                <w:sz w:val="18"/>
                <w:szCs w:val="18"/>
              </w:rPr>
              <w:t>3</w:t>
            </w:r>
          </w:p>
        </w:tc>
        <w:tc>
          <w:tcPr>
            <w:tcW w:w="900" w:type="dxa"/>
          </w:tcPr>
          <w:p w14:paraId="77D33060" w14:textId="77777777" w:rsidR="00A93424" w:rsidRDefault="00A93424" w:rsidP="0004497A">
            <w:pPr>
              <w:pStyle w:val="TableContents"/>
              <w:rPr>
                <w:color w:val="000000"/>
                <w:sz w:val="18"/>
                <w:szCs w:val="18"/>
              </w:rPr>
            </w:pPr>
          </w:p>
        </w:tc>
        <w:tc>
          <w:tcPr>
            <w:tcW w:w="3220" w:type="dxa"/>
          </w:tcPr>
          <w:p w14:paraId="7BF3C2E4" w14:textId="77777777" w:rsidR="00A93424" w:rsidRDefault="00A93424" w:rsidP="0004497A">
            <w:pPr>
              <w:pStyle w:val="TableContents"/>
            </w:pPr>
            <w:r>
              <w:rPr>
                <w:color w:val="212121"/>
                <w:sz w:val="18"/>
                <w:szCs w:val="18"/>
              </w:rPr>
              <w:t xml:space="preserve"> PCNX-3' UTR promotes cell growth, </w:t>
            </w:r>
            <w:proofErr w:type="gramStart"/>
            <w:r>
              <w:rPr>
                <w:color w:val="212121"/>
                <w:sz w:val="18"/>
                <w:szCs w:val="18"/>
              </w:rPr>
              <w:t>proliferation</w:t>
            </w:r>
            <w:proofErr w:type="gramEnd"/>
            <w:r>
              <w:rPr>
                <w:color w:val="212121"/>
                <w:sz w:val="18"/>
                <w:szCs w:val="18"/>
              </w:rPr>
              <w:t xml:space="preserve"> and cell cycle progression, and suppresses apoptosis of lung cancer cells</w:t>
            </w:r>
            <w:r>
              <w:rPr>
                <w:color w:val="000000"/>
                <w:sz w:val="18"/>
                <w:szCs w:val="18"/>
              </w:rPr>
              <w:t xml:space="preserve"> (</w:t>
            </w:r>
            <w:bookmarkStart w:id="11" w:name="full-view-identifiers30"/>
            <w:bookmarkEnd w:id="11"/>
            <w:r>
              <w:rPr>
                <w:color w:val="212121"/>
                <w:sz w:val="18"/>
                <w:szCs w:val="18"/>
              </w:rPr>
              <w:t>PMID: </w:t>
            </w:r>
            <w:r>
              <w:rPr>
                <w:rStyle w:val="StrongEmphasis"/>
                <w:color w:val="212121"/>
                <w:sz w:val="18"/>
                <w:szCs w:val="18"/>
              </w:rPr>
              <w:t>28789966</w:t>
            </w:r>
            <w:r>
              <w:rPr>
                <w:color w:val="000000"/>
                <w:sz w:val="18"/>
                <w:szCs w:val="18"/>
              </w:rPr>
              <w:t>).</w:t>
            </w:r>
          </w:p>
        </w:tc>
      </w:tr>
      <w:tr w:rsidR="00A93424" w14:paraId="2F739B7D" w14:textId="77777777" w:rsidTr="0004497A">
        <w:tc>
          <w:tcPr>
            <w:tcW w:w="1423" w:type="dxa"/>
          </w:tcPr>
          <w:p w14:paraId="7FA09323" w14:textId="77777777" w:rsidR="00A93424" w:rsidRDefault="00A93424" w:rsidP="0004497A">
            <w:pPr>
              <w:pStyle w:val="TableContents"/>
              <w:rPr>
                <w:color w:val="000000"/>
                <w:sz w:val="18"/>
                <w:szCs w:val="18"/>
              </w:rPr>
            </w:pPr>
            <w:r>
              <w:rPr>
                <w:color w:val="000000"/>
                <w:sz w:val="18"/>
                <w:szCs w:val="18"/>
              </w:rPr>
              <w:t>PPP1R12C</w:t>
            </w:r>
          </w:p>
        </w:tc>
        <w:tc>
          <w:tcPr>
            <w:tcW w:w="2445" w:type="dxa"/>
          </w:tcPr>
          <w:p w14:paraId="4E3998F4" w14:textId="77777777" w:rsidR="00A93424" w:rsidRDefault="00A93424" w:rsidP="0004497A">
            <w:pPr>
              <w:pStyle w:val="TableContents"/>
              <w:rPr>
                <w:color w:val="000000"/>
                <w:sz w:val="18"/>
                <w:szCs w:val="18"/>
              </w:rPr>
            </w:pPr>
            <w:r>
              <w:rPr>
                <w:color w:val="000000"/>
                <w:sz w:val="18"/>
                <w:szCs w:val="18"/>
              </w:rPr>
              <w:t>PPP1R12C:SLC6A3; PPP1R12C:TNK2; PPP1R12C:SPPL2B</w:t>
            </w:r>
          </w:p>
        </w:tc>
        <w:tc>
          <w:tcPr>
            <w:tcW w:w="992" w:type="dxa"/>
          </w:tcPr>
          <w:p w14:paraId="12ADB092" w14:textId="77777777" w:rsidR="00A93424" w:rsidRDefault="00A93424" w:rsidP="0004497A">
            <w:pPr>
              <w:pStyle w:val="TableContents"/>
              <w:rPr>
                <w:color w:val="000000"/>
                <w:sz w:val="18"/>
                <w:szCs w:val="18"/>
              </w:rPr>
            </w:pPr>
            <w:r>
              <w:rPr>
                <w:color w:val="000000"/>
                <w:sz w:val="18"/>
                <w:szCs w:val="18"/>
              </w:rPr>
              <w:t>3</w:t>
            </w:r>
          </w:p>
        </w:tc>
        <w:tc>
          <w:tcPr>
            <w:tcW w:w="990" w:type="dxa"/>
          </w:tcPr>
          <w:p w14:paraId="2C5B820B" w14:textId="77777777" w:rsidR="00A93424" w:rsidRDefault="00A93424" w:rsidP="0004497A">
            <w:pPr>
              <w:pStyle w:val="TableContents"/>
              <w:rPr>
                <w:color w:val="000000"/>
                <w:sz w:val="18"/>
                <w:szCs w:val="18"/>
              </w:rPr>
            </w:pPr>
            <w:r>
              <w:rPr>
                <w:color w:val="000000"/>
                <w:sz w:val="18"/>
                <w:szCs w:val="18"/>
              </w:rPr>
              <w:t>3</w:t>
            </w:r>
          </w:p>
        </w:tc>
        <w:tc>
          <w:tcPr>
            <w:tcW w:w="900" w:type="dxa"/>
          </w:tcPr>
          <w:p w14:paraId="4D98B1E4" w14:textId="77777777" w:rsidR="00A93424" w:rsidRDefault="00A93424" w:rsidP="0004497A">
            <w:pPr>
              <w:pStyle w:val="TableContents"/>
              <w:rPr>
                <w:color w:val="000000"/>
                <w:sz w:val="18"/>
                <w:szCs w:val="18"/>
              </w:rPr>
            </w:pPr>
          </w:p>
        </w:tc>
        <w:tc>
          <w:tcPr>
            <w:tcW w:w="3220" w:type="dxa"/>
          </w:tcPr>
          <w:p w14:paraId="75ED661F" w14:textId="77777777" w:rsidR="00A93424" w:rsidRDefault="00A93424" w:rsidP="0004497A">
            <w:pPr>
              <w:pStyle w:val="TableContents"/>
              <w:rPr>
                <w:color w:val="000000"/>
                <w:sz w:val="18"/>
                <w:szCs w:val="18"/>
              </w:rPr>
            </w:pPr>
            <w:r>
              <w:rPr>
                <w:color w:val="000000"/>
                <w:sz w:val="18"/>
                <w:szCs w:val="18"/>
              </w:rPr>
              <w:t>Unknown</w:t>
            </w:r>
          </w:p>
        </w:tc>
      </w:tr>
      <w:tr w:rsidR="00A93424" w14:paraId="4BB170CA" w14:textId="77777777" w:rsidTr="0004497A">
        <w:tc>
          <w:tcPr>
            <w:tcW w:w="1423" w:type="dxa"/>
          </w:tcPr>
          <w:p w14:paraId="0120D75E" w14:textId="77777777" w:rsidR="00A93424" w:rsidRDefault="00A93424" w:rsidP="0004497A">
            <w:pPr>
              <w:pStyle w:val="TableContents"/>
              <w:rPr>
                <w:color w:val="000000"/>
                <w:sz w:val="18"/>
                <w:szCs w:val="18"/>
              </w:rPr>
            </w:pPr>
            <w:r>
              <w:rPr>
                <w:color w:val="000000"/>
                <w:sz w:val="18"/>
                <w:szCs w:val="18"/>
              </w:rPr>
              <w:t>PTPRF</w:t>
            </w:r>
          </w:p>
        </w:tc>
        <w:tc>
          <w:tcPr>
            <w:tcW w:w="2445" w:type="dxa"/>
          </w:tcPr>
          <w:p w14:paraId="63F2D32A" w14:textId="77777777" w:rsidR="00A93424" w:rsidRDefault="00A93424" w:rsidP="0004497A">
            <w:pPr>
              <w:pStyle w:val="TableContents"/>
              <w:rPr>
                <w:color w:val="000000"/>
                <w:sz w:val="18"/>
                <w:szCs w:val="18"/>
              </w:rPr>
            </w:pPr>
            <w:proofErr w:type="gramStart"/>
            <w:r>
              <w:rPr>
                <w:color w:val="000000"/>
                <w:sz w:val="18"/>
                <w:szCs w:val="18"/>
              </w:rPr>
              <w:t>PTPRF:CSMD</w:t>
            </w:r>
            <w:proofErr w:type="gramEnd"/>
            <w:r>
              <w:rPr>
                <w:color w:val="000000"/>
                <w:sz w:val="18"/>
                <w:szCs w:val="18"/>
              </w:rPr>
              <w:t>2; ACSF3:PTPRF; ATXN2L:PTPRF</w:t>
            </w:r>
          </w:p>
        </w:tc>
        <w:tc>
          <w:tcPr>
            <w:tcW w:w="992" w:type="dxa"/>
          </w:tcPr>
          <w:p w14:paraId="759BDDEE" w14:textId="77777777" w:rsidR="00A93424" w:rsidRDefault="00A93424" w:rsidP="0004497A">
            <w:pPr>
              <w:pStyle w:val="TableContents"/>
              <w:rPr>
                <w:color w:val="000000"/>
                <w:sz w:val="18"/>
                <w:szCs w:val="18"/>
              </w:rPr>
            </w:pPr>
            <w:r>
              <w:rPr>
                <w:color w:val="000000"/>
                <w:sz w:val="18"/>
                <w:szCs w:val="18"/>
              </w:rPr>
              <w:t>3</w:t>
            </w:r>
          </w:p>
        </w:tc>
        <w:tc>
          <w:tcPr>
            <w:tcW w:w="990" w:type="dxa"/>
          </w:tcPr>
          <w:p w14:paraId="779DD96F" w14:textId="77777777" w:rsidR="00A93424" w:rsidRDefault="00A93424" w:rsidP="0004497A">
            <w:pPr>
              <w:pStyle w:val="TableContents"/>
              <w:rPr>
                <w:color w:val="000000"/>
                <w:sz w:val="18"/>
                <w:szCs w:val="18"/>
              </w:rPr>
            </w:pPr>
            <w:r>
              <w:rPr>
                <w:color w:val="000000"/>
                <w:sz w:val="18"/>
                <w:szCs w:val="18"/>
              </w:rPr>
              <w:t>3</w:t>
            </w:r>
          </w:p>
        </w:tc>
        <w:tc>
          <w:tcPr>
            <w:tcW w:w="900" w:type="dxa"/>
          </w:tcPr>
          <w:p w14:paraId="7DAB7FC4" w14:textId="77777777" w:rsidR="00A93424" w:rsidRDefault="00A93424" w:rsidP="0004497A">
            <w:pPr>
              <w:pStyle w:val="TableContents"/>
              <w:rPr>
                <w:color w:val="000000"/>
                <w:sz w:val="18"/>
                <w:szCs w:val="18"/>
              </w:rPr>
            </w:pPr>
          </w:p>
        </w:tc>
        <w:tc>
          <w:tcPr>
            <w:tcW w:w="3220" w:type="dxa"/>
          </w:tcPr>
          <w:p w14:paraId="37517991" w14:textId="77777777" w:rsidR="00A93424" w:rsidRDefault="00A93424" w:rsidP="0004497A">
            <w:pPr>
              <w:pStyle w:val="Standard"/>
            </w:pPr>
            <w:r>
              <w:rPr>
                <w:color w:val="212121"/>
                <w:sz w:val="18"/>
                <w:szCs w:val="18"/>
              </w:rPr>
              <w:t>PTPRF as a novel tumor suppressor through deactivation of ERK1/2 signaling in gastric adenocarcinoma (</w:t>
            </w:r>
            <w:bookmarkStart w:id="12" w:name="full-view-identifiers31"/>
            <w:bookmarkEnd w:id="12"/>
            <w:r>
              <w:rPr>
                <w:color w:val="212121"/>
                <w:sz w:val="18"/>
                <w:szCs w:val="18"/>
              </w:rPr>
              <w:t>PMID: </w:t>
            </w:r>
            <w:r>
              <w:rPr>
                <w:rStyle w:val="StrongEmphasis"/>
                <w:color w:val="212121"/>
                <w:sz w:val="18"/>
                <w:szCs w:val="18"/>
              </w:rPr>
              <w:t>30464527</w:t>
            </w:r>
            <w:r>
              <w:rPr>
                <w:color w:val="212121"/>
                <w:sz w:val="18"/>
                <w:szCs w:val="18"/>
              </w:rPr>
              <w:t>)</w:t>
            </w:r>
            <w:r>
              <w:rPr>
                <w:rFonts w:ascii="Merriweather, Georgia, Cambria," w:hAnsi="Merriweather, Georgia, Cambria,"/>
                <w:color w:val="212121"/>
                <w:sz w:val="18"/>
                <w:szCs w:val="18"/>
              </w:rPr>
              <w:t>.</w:t>
            </w:r>
          </w:p>
        </w:tc>
      </w:tr>
      <w:tr w:rsidR="00A93424" w14:paraId="035C1FFC" w14:textId="77777777" w:rsidTr="0004497A">
        <w:tc>
          <w:tcPr>
            <w:tcW w:w="1423" w:type="dxa"/>
          </w:tcPr>
          <w:p w14:paraId="7140C94D" w14:textId="77777777" w:rsidR="00A93424" w:rsidRDefault="00A93424" w:rsidP="0004497A">
            <w:pPr>
              <w:pStyle w:val="TableContents"/>
              <w:rPr>
                <w:color w:val="000000"/>
                <w:sz w:val="18"/>
                <w:szCs w:val="18"/>
              </w:rPr>
            </w:pPr>
            <w:r>
              <w:rPr>
                <w:color w:val="000000"/>
                <w:sz w:val="18"/>
                <w:szCs w:val="18"/>
              </w:rPr>
              <w:t>RHOT1</w:t>
            </w:r>
          </w:p>
        </w:tc>
        <w:tc>
          <w:tcPr>
            <w:tcW w:w="2445" w:type="dxa"/>
          </w:tcPr>
          <w:p w14:paraId="5D777998" w14:textId="77777777" w:rsidR="00A93424" w:rsidRDefault="00A93424" w:rsidP="0004497A">
            <w:pPr>
              <w:pStyle w:val="TableContents"/>
              <w:rPr>
                <w:color w:val="000000"/>
                <w:sz w:val="18"/>
                <w:szCs w:val="18"/>
              </w:rPr>
            </w:pPr>
            <w:r>
              <w:rPr>
                <w:color w:val="000000"/>
                <w:sz w:val="18"/>
                <w:szCs w:val="18"/>
              </w:rPr>
              <w:t>RHOT1:UTP6; SLFN5:RHOT1; MKL1:RHOT1</w:t>
            </w:r>
          </w:p>
        </w:tc>
        <w:tc>
          <w:tcPr>
            <w:tcW w:w="992" w:type="dxa"/>
          </w:tcPr>
          <w:p w14:paraId="4B80A857" w14:textId="77777777" w:rsidR="00A93424" w:rsidRDefault="00A93424" w:rsidP="0004497A">
            <w:pPr>
              <w:pStyle w:val="TableContents"/>
              <w:rPr>
                <w:color w:val="000000"/>
                <w:sz w:val="18"/>
                <w:szCs w:val="18"/>
              </w:rPr>
            </w:pPr>
            <w:r>
              <w:rPr>
                <w:color w:val="000000"/>
                <w:sz w:val="18"/>
                <w:szCs w:val="18"/>
              </w:rPr>
              <w:t>3</w:t>
            </w:r>
          </w:p>
        </w:tc>
        <w:tc>
          <w:tcPr>
            <w:tcW w:w="990" w:type="dxa"/>
          </w:tcPr>
          <w:p w14:paraId="21C6EF91" w14:textId="77777777" w:rsidR="00A93424" w:rsidRDefault="00A93424" w:rsidP="0004497A">
            <w:pPr>
              <w:pStyle w:val="TableContents"/>
              <w:rPr>
                <w:color w:val="000000"/>
                <w:sz w:val="18"/>
                <w:szCs w:val="18"/>
              </w:rPr>
            </w:pPr>
            <w:r>
              <w:rPr>
                <w:color w:val="000000"/>
                <w:sz w:val="18"/>
                <w:szCs w:val="18"/>
              </w:rPr>
              <w:t>3</w:t>
            </w:r>
          </w:p>
        </w:tc>
        <w:tc>
          <w:tcPr>
            <w:tcW w:w="900" w:type="dxa"/>
          </w:tcPr>
          <w:p w14:paraId="67E15EF9" w14:textId="77777777" w:rsidR="00A93424" w:rsidRDefault="00A93424" w:rsidP="0004497A">
            <w:pPr>
              <w:pStyle w:val="TableContents"/>
              <w:rPr>
                <w:color w:val="000000"/>
                <w:sz w:val="18"/>
                <w:szCs w:val="18"/>
              </w:rPr>
            </w:pPr>
          </w:p>
        </w:tc>
        <w:tc>
          <w:tcPr>
            <w:tcW w:w="3220" w:type="dxa"/>
          </w:tcPr>
          <w:p w14:paraId="4C05535E" w14:textId="77777777" w:rsidR="00A93424" w:rsidRDefault="00A93424" w:rsidP="0004497A">
            <w:pPr>
              <w:pStyle w:val="Standard"/>
            </w:pPr>
            <w:r>
              <w:rPr>
                <w:color w:val="212121"/>
                <w:sz w:val="18"/>
                <w:szCs w:val="18"/>
              </w:rPr>
              <w:t>Propofol suppresses non-small cell lung cancer tumorigenesis by regulation of circ-RHOT1/miR-326/FOXM1 axis (</w:t>
            </w:r>
            <w:bookmarkStart w:id="13" w:name="full-view-identifiers32"/>
            <w:bookmarkEnd w:id="13"/>
            <w:r>
              <w:rPr>
                <w:color w:val="212121"/>
                <w:sz w:val="18"/>
                <w:szCs w:val="18"/>
              </w:rPr>
              <w:t>PMID: </w:t>
            </w:r>
            <w:r>
              <w:rPr>
                <w:rStyle w:val="StrongEmphasis"/>
                <w:color w:val="212121"/>
                <w:sz w:val="18"/>
                <w:szCs w:val="18"/>
              </w:rPr>
              <w:t>33515563</w:t>
            </w:r>
            <w:r>
              <w:rPr>
                <w:color w:val="212121"/>
                <w:sz w:val="18"/>
                <w:szCs w:val="18"/>
              </w:rPr>
              <w:t>).</w:t>
            </w:r>
          </w:p>
        </w:tc>
      </w:tr>
      <w:tr w:rsidR="00A93424" w14:paraId="37AB58DD" w14:textId="77777777" w:rsidTr="0004497A">
        <w:tc>
          <w:tcPr>
            <w:tcW w:w="1423" w:type="dxa"/>
          </w:tcPr>
          <w:p w14:paraId="0043AA11" w14:textId="77777777" w:rsidR="00A93424" w:rsidRDefault="00A93424" w:rsidP="0004497A">
            <w:pPr>
              <w:pStyle w:val="TableContents"/>
              <w:rPr>
                <w:color w:val="000000"/>
                <w:sz w:val="18"/>
                <w:szCs w:val="18"/>
              </w:rPr>
            </w:pPr>
            <w:r>
              <w:rPr>
                <w:color w:val="000000"/>
                <w:sz w:val="18"/>
                <w:szCs w:val="18"/>
              </w:rPr>
              <w:t>SVIL</w:t>
            </w:r>
          </w:p>
        </w:tc>
        <w:tc>
          <w:tcPr>
            <w:tcW w:w="2445" w:type="dxa"/>
          </w:tcPr>
          <w:p w14:paraId="3EE00566" w14:textId="77777777" w:rsidR="00A93424" w:rsidRDefault="00A93424" w:rsidP="0004497A">
            <w:pPr>
              <w:pStyle w:val="TableContents"/>
              <w:rPr>
                <w:color w:val="000000"/>
                <w:sz w:val="18"/>
                <w:szCs w:val="18"/>
              </w:rPr>
            </w:pPr>
            <w:proofErr w:type="gramStart"/>
            <w:r>
              <w:rPr>
                <w:color w:val="000000"/>
                <w:sz w:val="18"/>
                <w:szCs w:val="18"/>
              </w:rPr>
              <w:t>LCOR:SVIL</w:t>
            </w:r>
            <w:proofErr w:type="gramEnd"/>
            <w:r>
              <w:rPr>
                <w:color w:val="000000"/>
                <w:sz w:val="18"/>
                <w:szCs w:val="18"/>
              </w:rPr>
              <w:t>; SVIL:ZNF292; SVIL:MTPAP</w:t>
            </w:r>
          </w:p>
        </w:tc>
        <w:tc>
          <w:tcPr>
            <w:tcW w:w="992" w:type="dxa"/>
          </w:tcPr>
          <w:p w14:paraId="333BEEE0" w14:textId="77777777" w:rsidR="00A93424" w:rsidRDefault="00A93424" w:rsidP="0004497A">
            <w:pPr>
              <w:pStyle w:val="TableContents"/>
              <w:rPr>
                <w:color w:val="000000"/>
                <w:sz w:val="18"/>
                <w:szCs w:val="18"/>
              </w:rPr>
            </w:pPr>
            <w:r>
              <w:rPr>
                <w:color w:val="000000"/>
                <w:sz w:val="18"/>
                <w:szCs w:val="18"/>
              </w:rPr>
              <w:t>3</w:t>
            </w:r>
          </w:p>
        </w:tc>
        <w:tc>
          <w:tcPr>
            <w:tcW w:w="990" w:type="dxa"/>
          </w:tcPr>
          <w:p w14:paraId="1D47E0EB" w14:textId="77777777" w:rsidR="00A93424" w:rsidRDefault="00A93424" w:rsidP="0004497A">
            <w:pPr>
              <w:pStyle w:val="TableContents"/>
              <w:rPr>
                <w:color w:val="000000"/>
                <w:sz w:val="18"/>
                <w:szCs w:val="18"/>
              </w:rPr>
            </w:pPr>
            <w:r>
              <w:rPr>
                <w:color w:val="000000"/>
                <w:sz w:val="18"/>
                <w:szCs w:val="18"/>
              </w:rPr>
              <w:t>3</w:t>
            </w:r>
          </w:p>
        </w:tc>
        <w:tc>
          <w:tcPr>
            <w:tcW w:w="900" w:type="dxa"/>
          </w:tcPr>
          <w:p w14:paraId="698C4D2B" w14:textId="77777777" w:rsidR="00A93424" w:rsidRDefault="00A93424" w:rsidP="0004497A">
            <w:pPr>
              <w:pStyle w:val="TableContents"/>
              <w:rPr>
                <w:color w:val="000000"/>
                <w:sz w:val="18"/>
                <w:szCs w:val="18"/>
              </w:rPr>
            </w:pPr>
          </w:p>
        </w:tc>
        <w:tc>
          <w:tcPr>
            <w:tcW w:w="3220" w:type="dxa"/>
          </w:tcPr>
          <w:p w14:paraId="4679547F" w14:textId="77777777" w:rsidR="00A93424" w:rsidRDefault="00A93424" w:rsidP="0004497A">
            <w:pPr>
              <w:pStyle w:val="TableContents"/>
            </w:pPr>
            <w:r>
              <w:rPr>
                <w:color w:val="000000"/>
                <w:sz w:val="18"/>
                <w:szCs w:val="18"/>
              </w:rPr>
              <w:t>SVIL promotes tumor angiogenesis in liver cancer (</w:t>
            </w:r>
            <w:bookmarkStart w:id="14" w:name="full-view-identifiers33"/>
            <w:bookmarkEnd w:id="14"/>
            <w:r>
              <w:rPr>
                <w:color w:val="212121"/>
                <w:sz w:val="18"/>
                <w:szCs w:val="18"/>
              </w:rPr>
              <w:t>PMID: </w:t>
            </w:r>
            <w:r>
              <w:rPr>
                <w:rStyle w:val="StrongEmphasis"/>
                <w:color w:val="212121"/>
                <w:sz w:val="18"/>
                <w:szCs w:val="18"/>
              </w:rPr>
              <w:t>32468064</w:t>
            </w:r>
            <w:r>
              <w:rPr>
                <w:color w:val="000000"/>
                <w:sz w:val="18"/>
                <w:szCs w:val="18"/>
              </w:rPr>
              <w:t>).</w:t>
            </w:r>
          </w:p>
        </w:tc>
      </w:tr>
      <w:tr w:rsidR="00A93424" w14:paraId="06C07B60" w14:textId="77777777" w:rsidTr="0004497A">
        <w:tc>
          <w:tcPr>
            <w:tcW w:w="1423" w:type="dxa"/>
          </w:tcPr>
          <w:p w14:paraId="437CF020" w14:textId="77777777" w:rsidR="00A93424" w:rsidRDefault="00A93424" w:rsidP="0004497A">
            <w:pPr>
              <w:pStyle w:val="TableContents"/>
              <w:rPr>
                <w:color w:val="000000"/>
                <w:sz w:val="18"/>
                <w:szCs w:val="18"/>
              </w:rPr>
            </w:pPr>
            <w:r>
              <w:rPr>
                <w:color w:val="000000"/>
                <w:sz w:val="18"/>
                <w:szCs w:val="18"/>
              </w:rPr>
              <w:t>TBL1XR1</w:t>
            </w:r>
          </w:p>
        </w:tc>
        <w:tc>
          <w:tcPr>
            <w:tcW w:w="2445" w:type="dxa"/>
          </w:tcPr>
          <w:p w14:paraId="2B14CD4C" w14:textId="77777777" w:rsidR="00A93424" w:rsidRDefault="00A93424" w:rsidP="0004497A">
            <w:pPr>
              <w:pStyle w:val="TableContents"/>
              <w:rPr>
                <w:color w:val="000000"/>
                <w:sz w:val="18"/>
                <w:szCs w:val="18"/>
              </w:rPr>
            </w:pPr>
            <w:r>
              <w:rPr>
                <w:color w:val="000000"/>
                <w:sz w:val="18"/>
                <w:szCs w:val="18"/>
              </w:rPr>
              <w:t>TBL1XR1:COL14A1; NSUN3:TBL1XR1; TBL1XR1:KDM6A</w:t>
            </w:r>
          </w:p>
        </w:tc>
        <w:tc>
          <w:tcPr>
            <w:tcW w:w="992" w:type="dxa"/>
          </w:tcPr>
          <w:p w14:paraId="5814B5FF" w14:textId="77777777" w:rsidR="00A93424" w:rsidRDefault="00A93424" w:rsidP="0004497A">
            <w:pPr>
              <w:pStyle w:val="TableContents"/>
              <w:rPr>
                <w:color w:val="000000"/>
                <w:sz w:val="18"/>
                <w:szCs w:val="18"/>
              </w:rPr>
            </w:pPr>
            <w:r>
              <w:rPr>
                <w:color w:val="000000"/>
                <w:sz w:val="18"/>
                <w:szCs w:val="18"/>
              </w:rPr>
              <w:t>3</w:t>
            </w:r>
          </w:p>
        </w:tc>
        <w:tc>
          <w:tcPr>
            <w:tcW w:w="990" w:type="dxa"/>
          </w:tcPr>
          <w:p w14:paraId="2D96EC3A" w14:textId="77777777" w:rsidR="00A93424" w:rsidRDefault="00A93424" w:rsidP="0004497A">
            <w:pPr>
              <w:pStyle w:val="TableContents"/>
              <w:rPr>
                <w:color w:val="000000"/>
                <w:sz w:val="18"/>
                <w:szCs w:val="18"/>
              </w:rPr>
            </w:pPr>
            <w:r>
              <w:rPr>
                <w:color w:val="000000"/>
                <w:sz w:val="18"/>
                <w:szCs w:val="18"/>
              </w:rPr>
              <w:t>3</w:t>
            </w:r>
          </w:p>
        </w:tc>
        <w:tc>
          <w:tcPr>
            <w:tcW w:w="900" w:type="dxa"/>
          </w:tcPr>
          <w:p w14:paraId="11F138D3" w14:textId="77777777" w:rsidR="00A93424" w:rsidRDefault="00A93424" w:rsidP="0004497A">
            <w:pPr>
              <w:pStyle w:val="TableContents"/>
              <w:rPr>
                <w:color w:val="000000"/>
                <w:sz w:val="18"/>
                <w:szCs w:val="18"/>
              </w:rPr>
            </w:pPr>
            <w:r>
              <w:rPr>
                <w:color w:val="000000"/>
                <w:sz w:val="18"/>
                <w:szCs w:val="18"/>
              </w:rPr>
              <w:t>Oncogene, TSG</w:t>
            </w:r>
          </w:p>
        </w:tc>
        <w:tc>
          <w:tcPr>
            <w:tcW w:w="3220" w:type="dxa"/>
          </w:tcPr>
          <w:p w14:paraId="6E1DC2A1" w14:textId="77777777" w:rsidR="00A93424" w:rsidRDefault="00A93424" w:rsidP="0004497A">
            <w:pPr>
              <w:pStyle w:val="Standard"/>
            </w:pPr>
            <w:r>
              <w:rPr>
                <w:color w:val="212121"/>
                <w:sz w:val="18"/>
                <w:szCs w:val="18"/>
              </w:rPr>
              <w:t>TBL1XR1 is involved in c-Met-mediated tumorigenesis of human nonsmall cell lung cancer (</w:t>
            </w:r>
            <w:bookmarkStart w:id="15" w:name="full-view-identifiers34"/>
            <w:bookmarkEnd w:id="15"/>
            <w:r>
              <w:rPr>
                <w:color w:val="212121"/>
                <w:sz w:val="18"/>
                <w:szCs w:val="18"/>
              </w:rPr>
              <w:t>PMID: </w:t>
            </w:r>
            <w:r>
              <w:rPr>
                <w:rStyle w:val="StrongEmphasis"/>
                <w:color w:val="212121"/>
                <w:sz w:val="18"/>
                <w:szCs w:val="18"/>
              </w:rPr>
              <w:t>31243347</w:t>
            </w:r>
            <w:r>
              <w:rPr>
                <w:sz w:val="18"/>
                <w:szCs w:val="18"/>
              </w:rPr>
              <w:t>)</w:t>
            </w:r>
            <w:r>
              <w:t>.</w:t>
            </w:r>
          </w:p>
        </w:tc>
      </w:tr>
      <w:tr w:rsidR="00A93424" w14:paraId="7475E338" w14:textId="77777777" w:rsidTr="0004497A">
        <w:tc>
          <w:tcPr>
            <w:tcW w:w="1423" w:type="dxa"/>
          </w:tcPr>
          <w:p w14:paraId="2149C01C" w14:textId="77777777" w:rsidR="00A93424" w:rsidRDefault="00A93424" w:rsidP="0004497A">
            <w:pPr>
              <w:pStyle w:val="TableContents"/>
              <w:rPr>
                <w:color w:val="000000"/>
                <w:sz w:val="18"/>
                <w:szCs w:val="18"/>
              </w:rPr>
            </w:pPr>
            <w:r>
              <w:rPr>
                <w:color w:val="000000"/>
                <w:sz w:val="18"/>
                <w:szCs w:val="18"/>
              </w:rPr>
              <w:t>TMCC1</w:t>
            </w:r>
          </w:p>
        </w:tc>
        <w:tc>
          <w:tcPr>
            <w:tcW w:w="2445" w:type="dxa"/>
          </w:tcPr>
          <w:p w14:paraId="255BA86C" w14:textId="77777777" w:rsidR="00A93424" w:rsidRDefault="00A93424" w:rsidP="0004497A">
            <w:pPr>
              <w:pStyle w:val="TableContents"/>
              <w:rPr>
                <w:color w:val="000000"/>
                <w:sz w:val="18"/>
                <w:szCs w:val="18"/>
              </w:rPr>
            </w:pPr>
            <w:r>
              <w:rPr>
                <w:color w:val="000000"/>
                <w:sz w:val="18"/>
                <w:szCs w:val="18"/>
              </w:rPr>
              <w:t>TMCC</w:t>
            </w:r>
            <w:proofErr w:type="gramStart"/>
            <w:r>
              <w:rPr>
                <w:color w:val="000000"/>
                <w:sz w:val="18"/>
                <w:szCs w:val="18"/>
              </w:rPr>
              <w:t>1:HMCES</w:t>
            </w:r>
            <w:proofErr w:type="gramEnd"/>
            <w:r>
              <w:rPr>
                <w:color w:val="000000"/>
                <w:sz w:val="18"/>
                <w:szCs w:val="18"/>
              </w:rPr>
              <w:t>; TMCC1:CNBP; MIR205HG:TMCC1</w:t>
            </w:r>
          </w:p>
        </w:tc>
        <w:tc>
          <w:tcPr>
            <w:tcW w:w="992" w:type="dxa"/>
          </w:tcPr>
          <w:p w14:paraId="4858FE31" w14:textId="77777777" w:rsidR="00A93424" w:rsidRDefault="00A93424" w:rsidP="0004497A">
            <w:pPr>
              <w:pStyle w:val="TableContents"/>
              <w:rPr>
                <w:color w:val="000000"/>
                <w:sz w:val="18"/>
                <w:szCs w:val="18"/>
              </w:rPr>
            </w:pPr>
            <w:r>
              <w:rPr>
                <w:color w:val="000000"/>
                <w:sz w:val="18"/>
                <w:szCs w:val="18"/>
              </w:rPr>
              <w:t>3</w:t>
            </w:r>
          </w:p>
        </w:tc>
        <w:tc>
          <w:tcPr>
            <w:tcW w:w="990" w:type="dxa"/>
          </w:tcPr>
          <w:p w14:paraId="191C782B" w14:textId="77777777" w:rsidR="00A93424" w:rsidRDefault="00A93424" w:rsidP="0004497A">
            <w:pPr>
              <w:pStyle w:val="TableContents"/>
              <w:rPr>
                <w:color w:val="000000"/>
                <w:sz w:val="18"/>
                <w:szCs w:val="18"/>
              </w:rPr>
            </w:pPr>
            <w:r>
              <w:rPr>
                <w:color w:val="000000"/>
                <w:sz w:val="18"/>
                <w:szCs w:val="18"/>
              </w:rPr>
              <w:t>3</w:t>
            </w:r>
          </w:p>
        </w:tc>
        <w:tc>
          <w:tcPr>
            <w:tcW w:w="900" w:type="dxa"/>
          </w:tcPr>
          <w:p w14:paraId="743ABF58" w14:textId="77777777" w:rsidR="00A93424" w:rsidRDefault="00A93424" w:rsidP="0004497A">
            <w:pPr>
              <w:pStyle w:val="TableContents"/>
              <w:rPr>
                <w:color w:val="000000"/>
                <w:sz w:val="18"/>
                <w:szCs w:val="18"/>
              </w:rPr>
            </w:pPr>
          </w:p>
        </w:tc>
        <w:tc>
          <w:tcPr>
            <w:tcW w:w="3220" w:type="dxa"/>
          </w:tcPr>
          <w:p w14:paraId="0CCB75E1" w14:textId="77777777" w:rsidR="00A93424" w:rsidRDefault="00A93424" w:rsidP="0004497A">
            <w:pPr>
              <w:pStyle w:val="TableContents"/>
              <w:rPr>
                <w:color w:val="000000"/>
                <w:sz w:val="18"/>
                <w:szCs w:val="18"/>
              </w:rPr>
            </w:pPr>
            <w:r>
              <w:rPr>
                <w:color w:val="000000"/>
                <w:sz w:val="18"/>
                <w:szCs w:val="18"/>
              </w:rPr>
              <w:t>Unknown</w:t>
            </w:r>
          </w:p>
        </w:tc>
      </w:tr>
      <w:tr w:rsidR="00A93424" w14:paraId="0C540842" w14:textId="77777777" w:rsidTr="0004497A">
        <w:tc>
          <w:tcPr>
            <w:tcW w:w="1423" w:type="dxa"/>
          </w:tcPr>
          <w:p w14:paraId="699ADB2B" w14:textId="77777777" w:rsidR="00A93424" w:rsidRDefault="00A93424" w:rsidP="0004497A">
            <w:pPr>
              <w:pStyle w:val="TableContents"/>
              <w:rPr>
                <w:color w:val="000000"/>
                <w:sz w:val="18"/>
                <w:szCs w:val="18"/>
              </w:rPr>
            </w:pPr>
            <w:r>
              <w:rPr>
                <w:color w:val="000000"/>
                <w:sz w:val="18"/>
                <w:szCs w:val="18"/>
              </w:rPr>
              <w:t>TRAPPC9</w:t>
            </w:r>
          </w:p>
        </w:tc>
        <w:tc>
          <w:tcPr>
            <w:tcW w:w="2445" w:type="dxa"/>
          </w:tcPr>
          <w:p w14:paraId="74D6FC53" w14:textId="77777777" w:rsidR="00A93424" w:rsidRDefault="00A93424" w:rsidP="0004497A">
            <w:pPr>
              <w:pStyle w:val="TableContents"/>
              <w:rPr>
                <w:color w:val="000000"/>
                <w:sz w:val="18"/>
                <w:szCs w:val="18"/>
              </w:rPr>
            </w:pPr>
            <w:r>
              <w:rPr>
                <w:color w:val="000000"/>
                <w:sz w:val="18"/>
                <w:szCs w:val="18"/>
              </w:rPr>
              <w:t>RSF1:TRAPPC9; TRAPPC9:N4BP2L2; CLK3:TRAPPC9</w:t>
            </w:r>
          </w:p>
        </w:tc>
        <w:tc>
          <w:tcPr>
            <w:tcW w:w="992" w:type="dxa"/>
          </w:tcPr>
          <w:p w14:paraId="769AF815" w14:textId="77777777" w:rsidR="00A93424" w:rsidRDefault="00A93424" w:rsidP="0004497A">
            <w:pPr>
              <w:pStyle w:val="TableContents"/>
              <w:rPr>
                <w:color w:val="000000"/>
                <w:sz w:val="18"/>
                <w:szCs w:val="18"/>
              </w:rPr>
            </w:pPr>
            <w:r>
              <w:rPr>
                <w:color w:val="000000"/>
                <w:sz w:val="18"/>
                <w:szCs w:val="18"/>
              </w:rPr>
              <w:t>3</w:t>
            </w:r>
          </w:p>
        </w:tc>
        <w:tc>
          <w:tcPr>
            <w:tcW w:w="990" w:type="dxa"/>
          </w:tcPr>
          <w:p w14:paraId="322C2841" w14:textId="77777777" w:rsidR="00A93424" w:rsidRDefault="00A93424" w:rsidP="0004497A">
            <w:pPr>
              <w:pStyle w:val="TableContents"/>
              <w:rPr>
                <w:color w:val="000000"/>
                <w:sz w:val="18"/>
                <w:szCs w:val="18"/>
              </w:rPr>
            </w:pPr>
            <w:r>
              <w:rPr>
                <w:color w:val="000000"/>
                <w:sz w:val="18"/>
                <w:szCs w:val="18"/>
              </w:rPr>
              <w:t>3</w:t>
            </w:r>
          </w:p>
        </w:tc>
        <w:tc>
          <w:tcPr>
            <w:tcW w:w="900" w:type="dxa"/>
          </w:tcPr>
          <w:p w14:paraId="63110B5F" w14:textId="77777777" w:rsidR="00A93424" w:rsidRDefault="00A93424" w:rsidP="0004497A">
            <w:pPr>
              <w:pStyle w:val="TableContents"/>
              <w:rPr>
                <w:color w:val="000000"/>
                <w:sz w:val="18"/>
                <w:szCs w:val="18"/>
              </w:rPr>
            </w:pPr>
          </w:p>
        </w:tc>
        <w:tc>
          <w:tcPr>
            <w:tcW w:w="3220" w:type="dxa"/>
          </w:tcPr>
          <w:p w14:paraId="1FEE1979" w14:textId="77777777" w:rsidR="00A93424" w:rsidRDefault="00A93424" w:rsidP="0004497A">
            <w:pPr>
              <w:pStyle w:val="Standard"/>
            </w:pPr>
            <w:r>
              <w:rPr>
                <w:color w:val="212121"/>
                <w:sz w:val="18"/>
                <w:szCs w:val="18"/>
              </w:rPr>
              <w:t>Elevated NIBP/TRAPPC9 mediates tumorigenesis of cancer cells through NFκB signaling (</w:t>
            </w:r>
            <w:bookmarkStart w:id="16" w:name="full-view-identifiers35"/>
            <w:bookmarkEnd w:id="16"/>
            <w:r>
              <w:rPr>
                <w:color w:val="212121"/>
                <w:sz w:val="18"/>
                <w:szCs w:val="18"/>
              </w:rPr>
              <w:t>PMID: </w:t>
            </w:r>
            <w:r>
              <w:rPr>
                <w:rStyle w:val="StrongEmphasis"/>
                <w:color w:val="212121"/>
                <w:sz w:val="18"/>
                <w:szCs w:val="18"/>
              </w:rPr>
              <w:t>25704885</w:t>
            </w:r>
            <w:r>
              <w:rPr>
                <w:color w:val="212121"/>
                <w:sz w:val="18"/>
                <w:szCs w:val="18"/>
              </w:rPr>
              <w:t>).</w:t>
            </w:r>
          </w:p>
        </w:tc>
      </w:tr>
      <w:tr w:rsidR="00A93424" w14:paraId="79A22162" w14:textId="77777777" w:rsidTr="0004497A">
        <w:tc>
          <w:tcPr>
            <w:tcW w:w="1423" w:type="dxa"/>
          </w:tcPr>
          <w:p w14:paraId="0ECD8287" w14:textId="77777777" w:rsidR="00A93424" w:rsidRDefault="00A93424" w:rsidP="0004497A">
            <w:pPr>
              <w:pStyle w:val="TableContents"/>
              <w:rPr>
                <w:color w:val="000000"/>
                <w:sz w:val="18"/>
                <w:szCs w:val="18"/>
              </w:rPr>
            </w:pPr>
            <w:r>
              <w:rPr>
                <w:color w:val="000000"/>
                <w:sz w:val="18"/>
                <w:szCs w:val="18"/>
              </w:rPr>
              <w:t>ZBTB20</w:t>
            </w:r>
          </w:p>
        </w:tc>
        <w:tc>
          <w:tcPr>
            <w:tcW w:w="2445" w:type="dxa"/>
          </w:tcPr>
          <w:p w14:paraId="7D153182" w14:textId="77777777" w:rsidR="00A93424" w:rsidRDefault="00A93424" w:rsidP="0004497A">
            <w:pPr>
              <w:pStyle w:val="TableContents"/>
              <w:rPr>
                <w:color w:val="000000"/>
                <w:sz w:val="18"/>
                <w:szCs w:val="18"/>
              </w:rPr>
            </w:pPr>
            <w:r>
              <w:rPr>
                <w:color w:val="000000"/>
                <w:sz w:val="18"/>
                <w:szCs w:val="18"/>
              </w:rPr>
              <w:t>CD96:ZBTB20; ZBTB</w:t>
            </w:r>
            <w:proofErr w:type="gramStart"/>
            <w:r>
              <w:rPr>
                <w:color w:val="000000"/>
                <w:sz w:val="18"/>
                <w:szCs w:val="18"/>
              </w:rPr>
              <w:t>20:BRAF</w:t>
            </w:r>
            <w:proofErr w:type="gramEnd"/>
            <w:r>
              <w:rPr>
                <w:color w:val="000000"/>
                <w:sz w:val="18"/>
                <w:szCs w:val="18"/>
              </w:rPr>
              <w:t>; ATG3:ZBTB20</w:t>
            </w:r>
          </w:p>
        </w:tc>
        <w:tc>
          <w:tcPr>
            <w:tcW w:w="992" w:type="dxa"/>
          </w:tcPr>
          <w:p w14:paraId="31193878" w14:textId="77777777" w:rsidR="00A93424" w:rsidRDefault="00A93424" w:rsidP="0004497A">
            <w:pPr>
              <w:pStyle w:val="TableContents"/>
              <w:rPr>
                <w:color w:val="000000"/>
                <w:sz w:val="18"/>
                <w:szCs w:val="18"/>
              </w:rPr>
            </w:pPr>
            <w:r>
              <w:rPr>
                <w:color w:val="000000"/>
                <w:sz w:val="18"/>
                <w:szCs w:val="18"/>
              </w:rPr>
              <w:t>3</w:t>
            </w:r>
          </w:p>
        </w:tc>
        <w:tc>
          <w:tcPr>
            <w:tcW w:w="990" w:type="dxa"/>
          </w:tcPr>
          <w:p w14:paraId="2F983155" w14:textId="77777777" w:rsidR="00A93424" w:rsidRDefault="00A93424" w:rsidP="0004497A">
            <w:pPr>
              <w:pStyle w:val="TableContents"/>
              <w:rPr>
                <w:color w:val="000000"/>
                <w:sz w:val="18"/>
                <w:szCs w:val="18"/>
              </w:rPr>
            </w:pPr>
            <w:r>
              <w:rPr>
                <w:color w:val="000000"/>
                <w:sz w:val="18"/>
                <w:szCs w:val="18"/>
              </w:rPr>
              <w:t>3</w:t>
            </w:r>
          </w:p>
        </w:tc>
        <w:tc>
          <w:tcPr>
            <w:tcW w:w="900" w:type="dxa"/>
          </w:tcPr>
          <w:p w14:paraId="7CA94645" w14:textId="77777777" w:rsidR="00A93424" w:rsidRDefault="00A93424" w:rsidP="0004497A">
            <w:pPr>
              <w:pStyle w:val="TableContents"/>
              <w:rPr>
                <w:color w:val="000000"/>
                <w:sz w:val="18"/>
                <w:szCs w:val="18"/>
              </w:rPr>
            </w:pPr>
            <w:r>
              <w:rPr>
                <w:color w:val="000000"/>
                <w:sz w:val="18"/>
                <w:szCs w:val="18"/>
              </w:rPr>
              <w:t>Oncogene</w:t>
            </w:r>
          </w:p>
        </w:tc>
        <w:tc>
          <w:tcPr>
            <w:tcW w:w="3220" w:type="dxa"/>
          </w:tcPr>
          <w:p w14:paraId="04F9AE58" w14:textId="77777777" w:rsidR="00A93424" w:rsidRDefault="00A93424" w:rsidP="0004497A">
            <w:pPr>
              <w:pStyle w:val="Standard"/>
            </w:pPr>
            <w:r>
              <w:rPr>
                <w:color w:val="212121"/>
                <w:sz w:val="18"/>
                <w:szCs w:val="18"/>
              </w:rPr>
              <w:t>Zinc finger protein ZBTB20 promotes cell proliferation in non-small cell lung cancer through repression of FoxO1 (</w:t>
            </w:r>
            <w:bookmarkStart w:id="17" w:name="full-view-identifiers36"/>
            <w:bookmarkEnd w:id="17"/>
            <w:r>
              <w:rPr>
                <w:color w:val="212121"/>
                <w:sz w:val="18"/>
                <w:szCs w:val="18"/>
              </w:rPr>
              <w:t>PMID: </w:t>
            </w:r>
            <w:r>
              <w:rPr>
                <w:rStyle w:val="StrongEmphasis"/>
                <w:color w:val="212121"/>
                <w:sz w:val="18"/>
                <w:szCs w:val="18"/>
              </w:rPr>
              <w:t>25311537</w:t>
            </w:r>
            <w:r>
              <w:rPr>
                <w:color w:val="212121"/>
                <w:sz w:val="18"/>
                <w:szCs w:val="18"/>
              </w:rPr>
              <w:t>).</w:t>
            </w:r>
          </w:p>
        </w:tc>
      </w:tr>
    </w:tbl>
    <w:p w14:paraId="0FD95481" w14:textId="77777777" w:rsidR="00A93424" w:rsidRDefault="00A93424"/>
    <w:sectPr w:rsidR="00A9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erriweather, Georgia, Cambria,">
    <w:altName w:val="Merriweather"/>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24"/>
    <w:rsid w:val="00A9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252C"/>
  <w15:chartTrackingRefBased/>
  <w15:docId w15:val="{E3641986-253D-4DC4-9E40-63FCD888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424"/>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93424"/>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paragraph" w:customStyle="1" w:styleId="TableContents">
    <w:name w:val="Table Contents"/>
    <w:basedOn w:val="Standard"/>
    <w:rsid w:val="00A93424"/>
    <w:pPr>
      <w:suppressLineNumbers/>
    </w:pPr>
  </w:style>
  <w:style w:type="table" w:styleId="TableGrid">
    <w:name w:val="Table Grid"/>
    <w:basedOn w:val="TableNormal"/>
    <w:uiPriority w:val="39"/>
    <w:rsid w:val="00A9342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rsid w:val="00A934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Ilnytskyy, Slava</dc:creator>
  <cp:keywords/>
  <dc:description/>
  <cp:lastModifiedBy>Ilnytskyy, Slava</cp:lastModifiedBy>
  <cp:revision>1</cp:revision>
  <dcterms:created xsi:type="dcterms:W3CDTF">2023-07-05T20:32:00Z</dcterms:created>
  <dcterms:modified xsi:type="dcterms:W3CDTF">2023-07-05T20:33:00Z</dcterms:modified>
</cp:coreProperties>
</file>