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B89E" w14:textId="1EF53A55" w:rsidR="004871FB" w:rsidRDefault="004871FB" w:rsidP="004871FB">
      <w:pPr>
        <w:pStyle w:val="Standard"/>
      </w:pPr>
      <w:r>
        <w:t>Supplementary table V</w:t>
      </w:r>
      <w:r>
        <w:t>III</w:t>
      </w:r>
      <w:r>
        <w:t xml:space="preserve">. Modeling survival </w:t>
      </w:r>
      <w:proofErr w:type="gramStart"/>
      <w:r>
        <w:t>based</w:t>
      </w:r>
      <w:proofErr w:type="gramEnd"/>
      <w:r>
        <w:t xml:space="preserve"> on the occurrence of transcript fusions and individual fusion partners. The survival analysis was conducted using Cox proportional hazards regression model adjusted for age, gender, smoking status, </w:t>
      </w:r>
      <w:proofErr w:type="gramStart"/>
      <w:r>
        <w:t>histology</w:t>
      </w:r>
      <w:proofErr w:type="gramEnd"/>
      <w:r>
        <w:t xml:space="preserve"> and tumor recurrence.</w:t>
      </w:r>
    </w:p>
    <w:p w14:paraId="54714383" w14:textId="77777777" w:rsidR="004871FB" w:rsidRDefault="004871FB" w:rsidP="004871FB">
      <w:pPr>
        <w:pStyle w:val="Standard"/>
      </w:pPr>
    </w:p>
    <w:tbl>
      <w:tblPr>
        <w:tblW w:w="90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1620"/>
        <w:gridCol w:w="1440"/>
        <w:gridCol w:w="1350"/>
        <w:gridCol w:w="1080"/>
        <w:gridCol w:w="1350"/>
      </w:tblGrid>
      <w:tr w:rsidR="004871FB" w14:paraId="2A78E2DD" w14:textId="77777777" w:rsidTr="0004497A"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7E8AF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Covariate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65139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coef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D4C5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exp(</w:t>
            </w:r>
            <w:proofErr w:type="spellStart"/>
            <w:r>
              <w:rPr>
                <w:color w:val="000000"/>
              </w:rPr>
              <w:t>coef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D53F8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se(</w:t>
            </w:r>
            <w:proofErr w:type="spellStart"/>
            <w:r>
              <w:rPr>
                <w:color w:val="000000"/>
              </w:rPr>
              <w:t>coef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B3918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A2C0E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P-value/log-rank test</w:t>
            </w:r>
          </w:p>
        </w:tc>
      </w:tr>
      <w:tr w:rsidR="004871FB" w14:paraId="7D751760" w14:textId="77777777" w:rsidTr="0004497A"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40096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smoking(</w:t>
            </w:r>
            <w:proofErr w:type="gramEnd"/>
            <w:r>
              <w:rPr>
                <w:color w:val="000000"/>
              </w:rPr>
              <w:t>Never)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78590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-0.81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B9D96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0.44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946C7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0.32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D29FC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-2.54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050B6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</w:tr>
      <w:tr w:rsidR="004871FB" w14:paraId="6A90C58A" w14:textId="77777777" w:rsidTr="0004497A"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EC619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Histology(</w:t>
            </w:r>
            <w:proofErr w:type="gramEnd"/>
            <w:r>
              <w:rPr>
                <w:color w:val="000000"/>
              </w:rPr>
              <w:t>Large cell carcinoma)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26940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1.06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C909F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2.88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EB79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0.47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A2DEB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2.23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04340" w14:textId="77777777" w:rsidR="004871FB" w:rsidRDefault="004871FB" w:rsidP="0004497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</w:tr>
      <w:tr w:rsidR="004871FB" w14:paraId="0E935951" w14:textId="77777777" w:rsidTr="0004497A"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7306C" w14:textId="77777777" w:rsidR="004871FB" w:rsidRDefault="004871FB" w:rsidP="0004497A">
            <w:pPr>
              <w:pStyle w:val="TableContents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stageII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991A6" w14:textId="77777777" w:rsidR="004871FB" w:rsidRDefault="004871FB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0.69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57528" w14:textId="77777777" w:rsidR="004871FB" w:rsidRDefault="004871FB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C5015" w14:textId="77777777" w:rsidR="004871FB" w:rsidRDefault="004871FB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0.2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8F339" w14:textId="77777777" w:rsidR="004871FB" w:rsidRDefault="004871FB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3.45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79107" w14:textId="77777777" w:rsidR="004871FB" w:rsidRDefault="004871FB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&lt;0.001</w:t>
            </w:r>
          </w:p>
        </w:tc>
      </w:tr>
      <w:tr w:rsidR="004871FB" w14:paraId="0FB43F52" w14:textId="77777777" w:rsidTr="0004497A"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62C81" w14:textId="77777777" w:rsidR="004871FB" w:rsidRDefault="004871FB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recurrence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6248F" w14:textId="77777777" w:rsidR="004871FB" w:rsidRDefault="004871FB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1.86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557AC" w14:textId="77777777" w:rsidR="004871FB" w:rsidRDefault="004871FB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6.45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10D2A" w14:textId="77777777" w:rsidR="004871FB" w:rsidRDefault="004871FB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0.2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3007E" w14:textId="77777777" w:rsidR="004871FB" w:rsidRDefault="004871FB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9.11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69B66" w14:textId="77777777" w:rsidR="004871FB" w:rsidRDefault="004871FB" w:rsidP="0004497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&lt;0.001</w:t>
            </w:r>
          </w:p>
        </w:tc>
      </w:tr>
      <w:tr w:rsidR="004871FB" w14:paraId="7160CB2B" w14:textId="77777777" w:rsidTr="0004497A"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DE72A" w14:textId="77777777" w:rsidR="004871FB" w:rsidRDefault="004871FB" w:rsidP="0004497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MROH1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9E1FB" w14:textId="77777777" w:rsidR="004871FB" w:rsidRDefault="004871FB" w:rsidP="0004497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2.64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F205C" w14:textId="77777777" w:rsidR="004871FB" w:rsidRDefault="004871FB" w:rsidP="0004497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14.04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90DCC" w14:textId="77777777" w:rsidR="004871FB" w:rsidRDefault="004871FB" w:rsidP="0004497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0.75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33F49" w14:textId="77777777" w:rsidR="004871FB" w:rsidRDefault="004871FB" w:rsidP="0004497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3.53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FB287" w14:textId="77777777" w:rsidR="004871FB" w:rsidRDefault="004871FB" w:rsidP="0004497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 /&lt;0.001 *</w:t>
            </w:r>
          </w:p>
        </w:tc>
      </w:tr>
      <w:tr w:rsidR="004871FB" w14:paraId="4B9EE125" w14:textId="77777777" w:rsidTr="0004497A"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2091" w14:textId="77777777" w:rsidR="004871FB" w:rsidRDefault="004871FB" w:rsidP="0004497A">
            <w:pPr>
              <w:pStyle w:val="TableContents"/>
            </w:pPr>
            <w:r>
              <w:t>N4BP2L2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11C8A" w14:textId="77777777" w:rsidR="004871FB" w:rsidRDefault="004871FB" w:rsidP="0004497A">
            <w:pPr>
              <w:pStyle w:val="TableContents"/>
            </w:pPr>
            <w:r>
              <w:t>1.44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0A703" w14:textId="77777777" w:rsidR="004871FB" w:rsidRDefault="004871FB" w:rsidP="0004497A">
            <w:pPr>
              <w:pStyle w:val="TableContents"/>
            </w:pPr>
            <w:r>
              <w:t>4.2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3DF81" w14:textId="77777777" w:rsidR="004871FB" w:rsidRDefault="004871FB" w:rsidP="0004497A">
            <w:pPr>
              <w:pStyle w:val="TableContents"/>
            </w:pPr>
            <w:r>
              <w:t>0.61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2214A" w14:textId="77777777" w:rsidR="004871FB" w:rsidRDefault="004871FB" w:rsidP="0004497A">
            <w:pPr>
              <w:pStyle w:val="TableContents"/>
            </w:pPr>
            <w:r>
              <w:t>2.35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41464" w14:textId="77777777" w:rsidR="004871FB" w:rsidRDefault="004871FB" w:rsidP="0004497A">
            <w:pPr>
              <w:pStyle w:val="TableContents"/>
            </w:pPr>
            <w:r>
              <w:t>0.02/0.15</w:t>
            </w:r>
          </w:p>
        </w:tc>
      </w:tr>
      <w:tr w:rsidR="004871FB" w14:paraId="5099C9BA" w14:textId="77777777" w:rsidTr="0004497A">
        <w:tc>
          <w:tcPr>
            <w:tcW w:w="216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037B7" w14:textId="77777777" w:rsidR="004871FB" w:rsidRDefault="004871FB" w:rsidP="0004497A">
            <w:pPr>
              <w:pStyle w:val="TableContents"/>
            </w:pPr>
            <w:r>
              <w:t>TRAPPC9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627D8" w14:textId="77777777" w:rsidR="004871FB" w:rsidRDefault="004871FB" w:rsidP="0004497A">
            <w:pPr>
              <w:pStyle w:val="TableContents"/>
            </w:pPr>
            <w:r>
              <w:t>1.43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3646E" w14:textId="77777777" w:rsidR="004871FB" w:rsidRDefault="004871FB" w:rsidP="0004497A">
            <w:pPr>
              <w:pStyle w:val="TableContents"/>
            </w:pPr>
            <w:r>
              <w:t>4.18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0BD6E" w14:textId="77777777" w:rsidR="004871FB" w:rsidRDefault="004871FB" w:rsidP="0004497A">
            <w:pPr>
              <w:pStyle w:val="TableContents"/>
            </w:pPr>
            <w:r>
              <w:t>0.61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00D43" w14:textId="77777777" w:rsidR="004871FB" w:rsidRDefault="004871FB" w:rsidP="0004497A">
            <w:pPr>
              <w:pStyle w:val="TableContents"/>
            </w:pPr>
            <w:r>
              <w:t>2.35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9972F" w14:textId="77777777" w:rsidR="004871FB" w:rsidRDefault="004871FB" w:rsidP="0004497A">
            <w:pPr>
              <w:pStyle w:val="TableContents"/>
            </w:pPr>
            <w:r>
              <w:t>0.02/0.23</w:t>
            </w:r>
          </w:p>
        </w:tc>
      </w:tr>
    </w:tbl>
    <w:p w14:paraId="34E0F2A2" w14:textId="77777777" w:rsidR="004871FB" w:rsidRDefault="004871FB"/>
    <w:sectPr w:rsidR="00487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FB"/>
    <w:rsid w:val="0048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CB40"/>
  <w15:chartTrackingRefBased/>
  <w15:docId w15:val="{552B5501-9D7B-4892-8C92-684F3107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1F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871F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4871F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Ilnytskyy, Slava</dc:creator>
  <cp:keywords/>
  <dc:description/>
  <cp:lastModifiedBy>Ilnytskyy, Slava</cp:lastModifiedBy>
  <cp:revision>1</cp:revision>
  <dcterms:created xsi:type="dcterms:W3CDTF">2023-07-05T21:02:00Z</dcterms:created>
  <dcterms:modified xsi:type="dcterms:W3CDTF">2023-07-05T21:03:00Z</dcterms:modified>
</cp:coreProperties>
</file>