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FA07A" w14:textId="77777777" w:rsidR="00C274B5" w:rsidRDefault="00000000">
      <w:pPr>
        <w:spacing w:after="40"/>
        <w:jc w:val="center"/>
      </w:pPr>
      <w:r>
        <w:rPr>
          <w:b/>
          <w:bCs/>
          <w:color w:val="5A3E1B"/>
          <w:sz w:val="52"/>
          <w:szCs w:val="52"/>
          <w:rtl/>
        </w:rPr>
        <w:t>פרדס התורה</w:t>
      </w:r>
    </w:p>
    <w:p w14:paraId="6FAC4DFF" w14:textId="433FE625" w:rsidR="00C274B5" w:rsidRDefault="00000000">
      <w:pPr>
        <w:spacing w:after="40"/>
        <w:jc w:val="center"/>
      </w:pPr>
      <w:r>
        <w:rPr>
          <w:color w:val="9A7B2E"/>
          <w:rtl/>
        </w:rPr>
        <w:t xml:space="preserve">פרשת </w:t>
      </w:r>
      <w:proofErr w:type="spellStart"/>
      <w:r w:rsidR="00AE2B13">
        <w:rPr>
          <w:rFonts w:hint="cs"/>
          <w:color w:val="9A7B2E"/>
          <w:rtl/>
        </w:rPr>
        <w:t>פינחס</w:t>
      </w:r>
      <w:proofErr w:type="spellEnd"/>
      <w:r>
        <w:rPr>
          <w:color w:val="9A7B2E"/>
          <w:rtl/>
        </w:rPr>
        <w:t xml:space="preserve"> תשפ"</w:t>
      </w:r>
      <w:r w:rsidR="00AE2B13">
        <w:rPr>
          <w:rFonts w:hint="cs"/>
          <w:color w:val="9A7B2E"/>
          <w:rtl/>
        </w:rPr>
        <w:t>ו</w:t>
      </w:r>
      <w:r>
        <w:rPr>
          <w:color w:val="9A7B2E"/>
          <w:rtl/>
        </w:rPr>
        <w:t xml:space="preserve"> · </w:t>
      </w:r>
      <w:proofErr w:type="spellStart"/>
      <w:r>
        <w:rPr>
          <w:color w:val="9A7B2E"/>
          <w:rtl/>
        </w:rPr>
        <w:t>גליון</w:t>
      </w:r>
      <w:proofErr w:type="spellEnd"/>
      <w:r>
        <w:rPr>
          <w:color w:val="9A7B2E"/>
          <w:rtl/>
        </w:rPr>
        <w:t xml:space="preserve"> </w:t>
      </w:r>
      <w:r w:rsidR="00AE2B13">
        <w:rPr>
          <w:rFonts w:hint="cs"/>
          <w:color w:val="9A7B2E"/>
          <w:rtl/>
        </w:rPr>
        <w:t>?</w:t>
      </w:r>
      <w:r>
        <w:rPr>
          <w:color w:val="9A7B2E"/>
          <w:rtl/>
        </w:rPr>
        <w:t xml:space="preserve"> · שנה </w:t>
      </w:r>
      <w:r w:rsidR="00AE2B13">
        <w:rPr>
          <w:rFonts w:hint="cs"/>
          <w:color w:val="9A7B2E"/>
          <w:rtl/>
        </w:rPr>
        <w:t>?</w:t>
      </w:r>
    </w:p>
    <w:p w14:paraId="40391C22" w14:textId="77777777" w:rsidR="00C274B5" w:rsidRDefault="00000000">
      <w:pPr>
        <w:pBdr>
          <w:bottom w:val="single" w:sz="12" w:space="8" w:color="9A7B2E"/>
        </w:pBdr>
        <w:spacing w:after="260"/>
        <w:jc w:val="center"/>
      </w:pPr>
      <w:r>
        <w:rPr>
          <w:i/>
          <w:iCs/>
          <w:color w:val="7A6A48"/>
          <w:sz w:val="22"/>
          <w:szCs w:val="22"/>
          <w:rtl/>
        </w:rPr>
        <w:t xml:space="preserve">ליקוט נאה </w:t>
      </w:r>
      <w:proofErr w:type="spellStart"/>
      <w:r>
        <w:rPr>
          <w:i/>
          <w:iCs/>
          <w:color w:val="7A6A48"/>
          <w:sz w:val="22"/>
          <w:szCs w:val="22"/>
          <w:rtl/>
        </w:rPr>
        <w:t>בעניני</w:t>
      </w:r>
      <w:proofErr w:type="spellEnd"/>
      <w:r>
        <w:rPr>
          <w:i/>
          <w:iCs/>
          <w:color w:val="7A6A48"/>
          <w:sz w:val="22"/>
          <w:szCs w:val="22"/>
          <w:rtl/>
        </w:rPr>
        <w:t xml:space="preserve"> תורה וחסידות והחזקת תלמידי חכמים</w:t>
      </w:r>
    </w:p>
    <w:p w14:paraId="69F91ECA" w14:textId="77777777" w:rsidR="00C274B5" w:rsidRDefault="00000000">
      <w:pPr>
        <w:pBdr>
          <w:bottom w:val="single" w:sz="12" w:space="6" w:color="9A7B2E"/>
        </w:pBdr>
        <w:spacing w:before="60" w:after="40"/>
        <w:jc w:val="right"/>
      </w:pPr>
      <w:r>
        <w:rPr>
          <w:b/>
          <w:bCs/>
          <w:color w:val="5A3E1B"/>
          <w:sz w:val="32"/>
          <w:szCs w:val="32"/>
          <w:rtl/>
        </w:rPr>
        <w:t xml:space="preserve">פנינים ופרפראות  </w:t>
      </w:r>
      <w:r>
        <w:rPr>
          <w:b/>
          <w:bCs/>
          <w:color w:val="9A7B2E"/>
          <w:rtl/>
        </w:rPr>
        <w:t xml:space="preserve">· א </w:t>
      </w:r>
      <w:proofErr w:type="spellStart"/>
      <w:r>
        <w:rPr>
          <w:b/>
          <w:bCs/>
          <w:color w:val="9A7B2E"/>
          <w:rtl/>
        </w:rPr>
        <w:t>געדאנק</w:t>
      </w:r>
      <w:proofErr w:type="spellEnd"/>
    </w:p>
    <w:p w14:paraId="151F0E71" w14:textId="78698269" w:rsidR="00C274B5" w:rsidRDefault="00AE2B13">
      <w:pPr>
        <w:spacing w:before="160" w:after="120"/>
        <w:jc w:val="center"/>
      </w:pPr>
      <w:r>
        <w:rPr>
          <w:rFonts w:hint="cs"/>
          <w:b/>
          <w:bCs/>
          <w:sz w:val="26"/>
          <w:szCs w:val="26"/>
          <w:rtl/>
        </w:rPr>
        <w:t xml:space="preserve">'ריח ניחוח' - </w:t>
      </w:r>
      <w:r w:rsidR="00486D0E">
        <w:rPr>
          <w:rFonts w:hint="cs"/>
          <w:b/>
          <w:bCs/>
          <w:sz w:val="26"/>
          <w:szCs w:val="26"/>
          <w:rtl/>
        </w:rPr>
        <w:t>נחת רוח לפני שנ</w:t>
      </w:r>
      <w:r>
        <w:rPr>
          <w:rFonts w:hint="cs"/>
          <w:b/>
          <w:bCs/>
          <w:sz w:val="26"/>
          <w:szCs w:val="26"/>
          <w:rtl/>
        </w:rPr>
        <w:t>עשה רצוני</w:t>
      </w:r>
    </w:p>
    <w:p w14:paraId="4C072C68" w14:textId="77777777" w:rsidR="00AE2B13" w:rsidRDefault="00AE2B13" w:rsidP="00AE2B13">
      <w:pPr>
        <w:spacing w:after="140" w:line="300" w:lineRule="auto"/>
        <w:ind w:firstLine="240"/>
        <w:jc w:val="both"/>
        <w:rPr>
          <w:rtl/>
        </w:rPr>
      </w:pPr>
      <w:r>
        <w:rPr>
          <w:rtl/>
        </w:rPr>
        <w:t xml:space="preserve">הגאון הקדוש רבי מאיר יחיאל </w:t>
      </w:r>
      <w:proofErr w:type="spellStart"/>
      <w:r>
        <w:rPr>
          <w:rtl/>
        </w:rPr>
        <w:t>מאוסטראווצא</w:t>
      </w:r>
      <w:proofErr w:type="spellEnd"/>
      <w:r>
        <w:rPr>
          <w:rtl/>
        </w:rPr>
        <w:t xml:space="preserve"> זצוק"ל העיר הערה נפלאה בסדר </w:t>
      </w:r>
      <w:proofErr w:type="spellStart"/>
      <w:r>
        <w:rPr>
          <w:rtl/>
        </w:rPr>
        <w:t>הקרבנות</w:t>
      </w:r>
      <w:proofErr w:type="spellEnd"/>
      <w:r>
        <w:rPr>
          <w:rtl/>
        </w:rPr>
        <w:t xml:space="preserve"> המפורטים בפרשתנו. הנה בכל מוספי המועדים שנמנו בפרשה, כפל הכתוב וחזר על הלשון "</w:t>
      </w:r>
      <w:proofErr w:type="spellStart"/>
      <w:r>
        <w:rPr>
          <w:rtl/>
        </w:rPr>
        <w:t>אשה</w:t>
      </w:r>
      <w:proofErr w:type="spellEnd"/>
      <w:r>
        <w:rPr>
          <w:rtl/>
        </w:rPr>
        <w:t xml:space="preserve"> ריח ניחוח לה'" או "לריח ניחוח". אולם, </w:t>
      </w:r>
      <w:proofErr w:type="spellStart"/>
      <w:r>
        <w:rPr>
          <w:rtl/>
        </w:rPr>
        <w:t>בקרבנות</w:t>
      </w:r>
      <w:proofErr w:type="spellEnd"/>
      <w:r>
        <w:rPr>
          <w:rtl/>
        </w:rPr>
        <w:t xml:space="preserve"> </w:t>
      </w:r>
      <w:proofErr w:type="spellStart"/>
      <w:r>
        <w:rPr>
          <w:rtl/>
        </w:rPr>
        <w:t>המוספין</w:t>
      </w:r>
      <w:proofErr w:type="spellEnd"/>
      <w:r>
        <w:rPr>
          <w:rtl/>
        </w:rPr>
        <w:t xml:space="preserve"> של יום השבת (פרק </w:t>
      </w:r>
      <w:proofErr w:type="spellStart"/>
      <w:r>
        <w:rPr>
          <w:rtl/>
        </w:rPr>
        <w:t>כח</w:t>
      </w:r>
      <w:proofErr w:type="spellEnd"/>
      <w:r>
        <w:rPr>
          <w:rtl/>
        </w:rPr>
        <w:t xml:space="preserve">, פסוקים ט-י), לא הזכיר הכתוב כלל "ריח ניחוח". ויש להבין, מה נשתנה קרבן השבת מכל </w:t>
      </w:r>
      <w:proofErr w:type="spellStart"/>
      <w:r>
        <w:rPr>
          <w:rtl/>
        </w:rPr>
        <w:t>קרבנות</w:t>
      </w:r>
      <w:proofErr w:type="spellEnd"/>
      <w:r>
        <w:rPr>
          <w:rtl/>
        </w:rPr>
        <w:t xml:space="preserve"> המועדים.</w:t>
      </w:r>
    </w:p>
    <w:p w14:paraId="4A3F65B3" w14:textId="77777777" w:rsidR="00AE2B13" w:rsidRDefault="00AE2B13" w:rsidP="00AE2B13">
      <w:pPr>
        <w:spacing w:after="140" w:line="300" w:lineRule="auto"/>
        <w:ind w:firstLine="240"/>
        <w:jc w:val="both"/>
        <w:rPr>
          <w:rtl/>
        </w:rPr>
      </w:pPr>
      <w:r>
        <w:rPr>
          <w:rtl/>
        </w:rPr>
        <w:t xml:space="preserve">וביאר </w:t>
      </w:r>
      <w:proofErr w:type="spellStart"/>
      <w:r>
        <w:rPr>
          <w:rtl/>
        </w:rPr>
        <w:t>הגה"ק</w:t>
      </w:r>
      <w:proofErr w:type="spellEnd"/>
      <w:r>
        <w:rPr>
          <w:rtl/>
        </w:rPr>
        <w:t xml:space="preserve">, ע"פ יסוד גדול המובא בכתבי האר"י החי זיע"א, </w:t>
      </w:r>
      <w:proofErr w:type="spellStart"/>
      <w:r>
        <w:rPr>
          <w:rtl/>
        </w:rPr>
        <w:t>בענין</w:t>
      </w:r>
      <w:proofErr w:type="spellEnd"/>
      <w:r>
        <w:rPr>
          <w:rtl/>
        </w:rPr>
        <w:t xml:space="preserve"> החילוק שבין קדושת שבת לקדושת יום טוב. הנה בשבת כתיב "קודש היא לכם", לפי שקדושת השבת קבועה וקיימת ועומדת היא מששת ימי בראשית, והיא באה מאליה בבחינת איתערותא </w:t>
      </w:r>
      <w:proofErr w:type="spellStart"/>
      <w:r>
        <w:rPr>
          <w:rtl/>
        </w:rPr>
        <w:t>דלעילא</w:t>
      </w:r>
      <w:proofErr w:type="spellEnd"/>
      <w:r>
        <w:rPr>
          <w:rtl/>
        </w:rPr>
        <w:t xml:space="preserve">, ואינה תלויה במעשיהם של ישראל. </w:t>
      </w:r>
      <w:proofErr w:type="spellStart"/>
      <w:r>
        <w:rPr>
          <w:rtl/>
        </w:rPr>
        <w:t>משא"כ</w:t>
      </w:r>
      <w:proofErr w:type="spellEnd"/>
      <w:r>
        <w:rPr>
          <w:rtl/>
        </w:rPr>
        <w:t xml:space="preserve"> ביום טוב, כתיב "מקרא קודש", שהוא לשון הזמנה, שישראל הם המזמינים ומקדשים את הזמן, בבחינת איתערותא </w:t>
      </w:r>
      <w:proofErr w:type="spellStart"/>
      <w:r>
        <w:rPr>
          <w:rtl/>
        </w:rPr>
        <w:t>דלתתא</w:t>
      </w:r>
      <w:proofErr w:type="spellEnd"/>
      <w:r>
        <w:rPr>
          <w:rtl/>
        </w:rPr>
        <w:t>, ועל כן אנו חותמים בברכה "מקדש ישראל והזמנים".</w:t>
      </w:r>
    </w:p>
    <w:p w14:paraId="7D2D6EA6" w14:textId="77777777" w:rsidR="00AE2B13" w:rsidRDefault="00AE2B13" w:rsidP="00AE2B13">
      <w:pPr>
        <w:spacing w:after="140" w:line="300" w:lineRule="auto"/>
        <w:ind w:firstLine="240"/>
        <w:jc w:val="both"/>
        <w:rPr>
          <w:rtl/>
        </w:rPr>
      </w:pPr>
      <w:r>
        <w:rPr>
          <w:rtl/>
        </w:rPr>
        <w:t xml:space="preserve">והנה, פירש רש"י הקדוש על תיבות "ריח ניחוח" (במדבר </w:t>
      </w:r>
      <w:proofErr w:type="spellStart"/>
      <w:r>
        <w:rPr>
          <w:rtl/>
        </w:rPr>
        <w:t>כח</w:t>
      </w:r>
      <w:proofErr w:type="spellEnd"/>
      <w:r>
        <w:rPr>
          <w:rtl/>
        </w:rPr>
        <w:t xml:space="preserve">, ח): "נחת רוח לפני, שאמרתי ונעשה רצוני". ומבואר מזה, שעיקר ענין "ריח ניחוח" הוא השמחה והנחת רוח שיש </w:t>
      </w:r>
      <w:proofErr w:type="spellStart"/>
      <w:r>
        <w:rPr>
          <w:rtl/>
        </w:rPr>
        <w:t>לקודשא</w:t>
      </w:r>
      <w:proofErr w:type="spellEnd"/>
      <w:r>
        <w:rPr>
          <w:rtl/>
        </w:rPr>
        <w:t xml:space="preserve"> </w:t>
      </w:r>
      <w:proofErr w:type="spellStart"/>
      <w:r>
        <w:rPr>
          <w:rtl/>
        </w:rPr>
        <w:t>בריך</w:t>
      </w:r>
      <w:proofErr w:type="spellEnd"/>
      <w:r>
        <w:rPr>
          <w:rtl/>
        </w:rPr>
        <w:t xml:space="preserve"> הוא ממעשיהם של ישראל למטה, שעושים רצונו ומקריבים לפניו קרבן. לפיכך, במוספי המועדים שקדושתם תלויה במעשי ישראל מלמטה, שפיר שייך לומר "ריח ניחוח", שהרי הקדושה כולה היא תולדה של נעשה רצוני של ישראל. אולם בשבת קודש, שהקדושה באה מאליה מלמעלה ואינה תלויה במעשינו, לא שייך להזכיר "ריח ניחוח" המורה על נחת הרוח ממעשי התחתונים, שהרי השבת למעלה מזה היא.</w:t>
      </w:r>
    </w:p>
    <w:p w14:paraId="52FAC25A" w14:textId="77777777" w:rsidR="00AE2B13" w:rsidRDefault="00AE2B13" w:rsidP="00AE2B13">
      <w:pPr>
        <w:spacing w:after="140" w:line="300" w:lineRule="auto"/>
        <w:ind w:firstLine="240"/>
        <w:jc w:val="both"/>
        <w:rPr>
          <w:rtl/>
        </w:rPr>
      </w:pPr>
      <w:r>
        <w:rPr>
          <w:rtl/>
        </w:rPr>
        <w:t xml:space="preserve">והנה קם אחד מן התלמידים והקשה לפניו קושיא חזקה, והרי </w:t>
      </w:r>
      <w:proofErr w:type="spellStart"/>
      <w:r>
        <w:rPr>
          <w:rtl/>
        </w:rPr>
        <w:t>בקרבנות</w:t>
      </w:r>
      <w:proofErr w:type="spellEnd"/>
      <w:r>
        <w:rPr>
          <w:rtl/>
        </w:rPr>
        <w:t xml:space="preserve"> חג הפסח (פסוק כד) כתיב </w:t>
      </w:r>
      <w:proofErr w:type="spellStart"/>
      <w:r>
        <w:rPr>
          <w:rtl/>
        </w:rPr>
        <w:t>להדיא</w:t>
      </w:r>
      <w:proofErr w:type="spellEnd"/>
      <w:r>
        <w:rPr>
          <w:rtl/>
        </w:rPr>
        <w:t xml:space="preserve"> "לחם </w:t>
      </w:r>
      <w:proofErr w:type="spellStart"/>
      <w:r>
        <w:rPr>
          <w:rtl/>
        </w:rPr>
        <w:t>אשה</w:t>
      </w:r>
      <w:proofErr w:type="spellEnd"/>
      <w:r>
        <w:rPr>
          <w:rtl/>
        </w:rPr>
        <w:t xml:space="preserve"> ריח ניחוח לה'", וקשה הדבר, שהרי ידוע מה שכתב </w:t>
      </w:r>
      <w:proofErr w:type="spellStart"/>
      <w:r>
        <w:rPr>
          <w:rtl/>
        </w:rPr>
        <w:t>בספה"ק</w:t>
      </w:r>
      <w:proofErr w:type="spellEnd"/>
      <w:r>
        <w:rPr>
          <w:rtl/>
        </w:rPr>
        <w:t xml:space="preserve"> בני יששכר (מאמרי חודש ניסן מאמר </w:t>
      </w:r>
      <w:proofErr w:type="spellStart"/>
      <w:r>
        <w:rPr>
          <w:rtl/>
        </w:rPr>
        <w:t>יג</w:t>
      </w:r>
      <w:proofErr w:type="spellEnd"/>
      <w:r>
        <w:rPr>
          <w:rtl/>
        </w:rPr>
        <w:t xml:space="preserve"> אות ג) שקדושת יום טוב ראשון של פסח שונה היא משאר המועדים, ובאה היא בבחינת איתערותא </w:t>
      </w:r>
      <w:proofErr w:type="spellStart"/>
      <w:r>
        <w:rPr>
          <w:rtl/>
        </w:rPr>
        <w:t>דלעילא</w:t>
      </w:r>
      <w:proofErr w:type="spellEnd"/>
      <w:r>
        <w:rPr>
          <w:rtl/>
        </w:rPr>
        <w:t>, כבימי יציאת מצרים שהיו ישראל ערומים מן המצוות ונגלה עליהם מלך מלכי המלכים וגאלם. ואם כן, למה נזכר בו "ריח ניחוח".</w:t>
      </w:r>
    </w:p>
    <w:p w14:paraId="7620479F" w14:textId="78FECDD5" w:rsidR="00C274B5" w:rsidRDefault="00AE2B13" w:rsidP="00AE2B13">
      <w:pPr>
        <w:spacing w:after="140" w:line="300" w:lineRule="auto"/>
        <w:ind w:firstLine="240"/>
        <w:jc w:val="both"/>
      </w:pPr>
      <w:r>
        <w:rPr>
          <w:rtl/>
        </w:rPr>
        <w:t xml:space="preserve">השיב לו </w:t>
      </w:r>
      <w:proofErr w:type="spellStart"/>
      <w:r>
        <w:rPr>
          <w:rtl/>
        </w:rPr>
        <w:t>הגה"ק</w:t>
      </w:r>
      <w:proofErr w:type="spellEnd"/>
      <w:r>
        <w:rPr>
          <w:rtl/>
        </w:rPr>
        <w:t xml:space="preserve">, אמת הדבר שבפסוק כ"ד מוזכר "ריח ניחוח", אך שם נאמר: "כאלה תעשו ליום שבעת ימים... ריח ניחוח לה'", הרי שהכתוב מדבר על הכלל של כל ימי החג, שבהם הקדושה היא כבכל המועדים התלויה בישראל. אבל כאשר נתבונן בפסוקים המפרטים את </w:t>
      </w:r>
      <w:proofErr w:type="spellStart"/>
      <w:r>
        <w:rPr>
          <w:rtl/>
        </w:rPr>
        <w:t>קרבנות</w:t>
      </w:r>
      <w:proofErr w:type="spellEnd"/>
      <w:r>
        <w:rPr>
          <w:rtl/>
        </w:rPr>
        <w:t xml:space="preserve"> יום טוב הראשון עצמו (פסוקים </w:t>
      </w:r>
      <w:proofErr w:type="spellStart"/>
      <w:r>
        <w:rPr>
          <w:rtl/>
        </w:rPr>
        <w:t>יט-כב</w:t>
      </w:r>
      <w:proofErr w:type="spellEnd"/>
      <w:r>
        <w:rPr>
          <w:rtl/>
        </w:rPr>
        <w:t>), נמצא שלא נזכר בהם "ריח ניחוח" כלל וכלל.</w:t>
      </w:r>
    </w:p>
    <w:p w14:paraId="4F68A568" w14:textId="77777777" w:rsidR="00C274B5" w:rsidRDefault="00C274B5" w:rsidP="00AE2B13">
      <w:pPr>
        <w:spacing w:after="200"/>
        <w:jc w:val="both"/>
      </w:pPr>
    </w:p>
    <w:p w14:paraId="7C9E705A" w14:textId="5FDCC50F" w:rsidR="00C274B5" w:rsidRDefault="00AE2B13">
      <w:pPr>
        <w:pBdr>
          <w:bottom w:val="single" w:sz="12" w:space="6" w:color="9A7B2E"/>
        </w:pBdr>
        <w:spacing w:before="60" w:after="40"/>
        <w:jc w:val="right"/>
      </w:pPr>
      <w:r>
        <w:rPr>
          <w:rFonts w:hint="cs"/>
          <w:b/>
          <w:bCs/>
          <w:color w:val="5A3E1B"/>
          <w:sz w:val="32"/>
          <w:szCs w:val="32"/>
          <w:rtl/>
        </w:rPr>
        <w:t>מעלת הייחוס</w:t>
      </w:r>
      <w:r w:rsidR="00000000">
        <w:rPr>
          <w:b/>
          <w:bCs/>
          <w:color w:val="5A3E1B"/>
          <w:sz w:val="32"/>
          <w:szCs w:val="32"/>
          <w:rtl/>
        </w:rPr>
        <w:t xml:space="preserve">  </w:t>
      </w:r>
      <w:r w:rsidR="00000000">
        <w:rPr>
          <w:b/>
          <w:bCs/>
          <w:color w:val="9A7B2E"/>
          <w:rtl/>
        </w:rPr>
        <w:t xml:space="preserve">· א </w:t>
      </w:r>
      <w:proofErr w:type="spellStart"/>
      <w:r w:rsidR="00000000">
        <w:rPr>
          <w:b/>
          <w:bCs/>
          <w:color w:val="9A7B2E"/>
          <w:rtl/>
        </w:rPr>
        <w:t>שמועס</w:t>
      </w:r>
      <w:proofErr w:type="spellEnd"/>
    </w:p>
    <w:p w14:paraId="59A04F68" w14:textId="77777777" w:rsidR="00AE2B13" w:rsidRDefault="00AE2B13" w:rsidP="00AE2B13">
      <w:pPr>
        <w:spacing w:after="140" w:line="300" w:lineRule="auto"/>
        <w:ind w:firstLine="240"/>
        <w:jc w:val="both"/>
        <w:rPr>
          <w:rtl/>
        </w:rPr>
      </w:pPr>
      <w:r>
        <w:rPr>
          <w:rtl/>
        </w:rPr>
        <w:t xml:space="preserve">מעשה שהיה, עת הסתופף </w:t>
      </w:r>
      <w:proofErr w:type="spellStart"/>
      <w:r>
        <w:rPr>
          <w:rtl/>
        </w:rPr>
        <w:t>הרה"ק</w:t>
      </w:r>
      <w:proofErr w:type="spellEnd"/>
      <w:r>
        <w:rPr>
          <w:rtl/>
        </w:rPr>
        <w:t xml:space="preserve"> רבי שלום </w:t>
      </w:r>
      <w:proofErr w:type="spellStart"/>
      <w:r>
        <w:rPr>
          <w:rtl/>
        </w:rPr>
        <w:t>מקאמינקא</w:t>
      </w:r>
      <w:proofErr w:type="spellEnd"/>
      <w:r>
        <w:rPr>
          <w:rtl/>
        </w:rPr>
        <w:t xml:space="preserve"> זצוק"ל בצל קדשו של רבו המובהק, מרן השר שלום </w:t>
      </w:r>
      <w:proofErr w:type="spellStart"/>
      <w:r>
        <w:rPr>
          <w:rtl/>
        </w:rPr>
        <w:t>מבעלזא</w:t>
      </w:r>
      <w:proofErr w:type="spellEnd"/>
      <w:r>
        <w:rPr>
          <w:rtl/>
        </w:rPr>
        <w:t xml:space="preserve"> זיע"א, ועמו יחד רעהו ואהובו </w:t>
      </w:r>
      <w:proofErr w:type="spellStart"/>
      <w:r>
        <w:rPr>
          <w:rtl/>
        </w:rPr>
        <w:t>הרה"ק</w:t>
      </w:r>
      <w:proofErr w:type="spellEnd"/>
      <w:r>
        <w:rPr>
          <w:rtl/>
        </w:rPr>
        <w:t xml:space="preserve"> </w:t>
      </w:r>
      <w:proofErr w:type="spellStart"/>
      <w:r>
        <w:rPr>
          <w:rtl/>
        </w:rPr>
        <w:t>הדברי</w:t>
      </w:r>
      <w:proofErr w:type="spellEnd"/>
      <w:r>
        <w:rPr>
          <w:rtl/>
        </w:rPr>
        <w:t xml:space="preserve"> חיים </w:t>
      </w:r>
      <w:proofErr w:type="spellStart"/>
      <w:r>
        <w:rPr>
          <w:rtl/>
        </w:rPr>
        <w:t>מצאנז</w:t>
      </w:r>
      <w:proofErr w:type="spellEnd"/>
      <w:r>
        <w:rPr>
          <w:rtl/>
        </w:rPr>
        <w:t xml:space="preserve"> זצוק"ל.</w:t>
      </w:r>
    </w:p>
    <w:p w14:paraId="76132337" w14:textId="77777777" w:rsidR="00AE2B13" w:rsidRDefault="00AE2B13" w:rsidP="00AE2B13">
      <w:pPr>
        <w:spacing w:after="140" w:line="300" w:lineRule="auto"/>
        <w:ind w:firstLine="240"/>
        <w:jc w:val="both"/>
        <w:rPr>
          <w:rtl/>
        </w:rPr>
      </w:pPr>
      <w:r>
        <w:rPr>
          <w:rtl/>
        </w:rPr>
        <w:lastRenderedPageBreak/>
        <w:t xml:space="preserve">עמדו הצדיקים לפני רבם והקשו קושיא בדברי רש"י בפרשת פנחס, שכתב 'לפי שהיו השבטים </w:t>
      </w:r>
      <w:proofErr w:type="spellStart"/>
      <w:r>
        <w:rPr>
          <w:rtl/>
        </w:rPr>
        <w:t>מבזין</w:t>
      </w:r>
      <w:proofErr w:type="spellEnd"/>
      <w:r>
        <w:rPr>
          <w:rtl/>
        </w:rPr>
        <w:t xml:space="preserve"> אותו, הראיתם בן </w:t>
      </w:r>
      <w:proofErr w:type="spellStart"/>
      <w:r>
        <w:rPr>
          <w:rtl/>
        </w:rPr>
        <w:t>פוטי</w:t>
      </w:r>
      <w:proofErr w:type="spellEnd"/>
      <w:r>
        <w:rPr>
          <w:rtl/>
        </w:rPr>
        <w:t xml:space="preserve"> זה וכו' לפיכך בא הכתוב ויחסו אחר אהרן'. ותמהו, וכי לא ידעו השבטים </w:t>
      </w:r>
      <w:proofErr w:type="spellStart"/>
      <w:r>
        <w:rPr>
          <w:rtl/>
        </w:rPr>
        <w:t>שפינחס</w:t>
      </w:r>
      <w:proofErr w:type="spellEnd"/>
      <w:r>
        <w:rPr>
          <w:rtl/>
        </w:rPr>
        <w:t xml:space="preserve"> הוא בן בנו של אהרן הכהן, והלא דבר מפורסם היה. אלא שעיקר בזיונם היה על צד </w:t>
      </w:r>
      <w:proofErr w:type="spellStart"/>
      <w:r>
        <w:rPr>
          <w:rtl/>
        </w:rPr>
        <w:t>אמו</w:t>
      </w:r>
      <w:proofErr w:type="spellEnd"/>
      <w:r>
        <w:rPr>
          <w:rtl/>
        </w:rPr>
        <w:t xml:space="preserve"> </w:t>
      </w:r>
      <w:proofErr w:type="spellStart"/>
      <w:r>
        <w:rPr>
          <w:rtl/>
        </w:rPr>
        <w:t>שהיתה</w:t>
      </w:r>
      <w:proofErr w:type="spellEnd"/>
      <w:r>
        <w:rPr>
          <w:rtl/>
        </w:rPr>
        <w:t xml:space="preserve"> מבנות יתרו, ומה הועיל הכתוב במה שחזר ויחסו אחר אהרן, והלא סוף סוף מזרע יתרו הוא. </w:t>
      </w:r>
    </w:p>
    <w:p w14:paraId="573AFE66" w14:textId="77777777" w:rsidR="00AE2B13" w:rsidRDefault="00AE2B13" w:rsidP="00AE2B13">
      <w:pPr>
        <w:spacing w:after="140" w:line="300" w:lineRule="auto"/>
        <w:ind w:firstLine="240"/>
        <w:jc w:val="both"/>
        <w:rPr>
          <w:rtl/>
        </w:rPr>
      </w:pPr>
      <w:r>
        <w:rPr>
          <w:rtl/>
        </w:rPr>
        <w:t xml:space="preserve">השיב להם מרן </w:t>
      </w:r>
      <w:proofErr w:type="spellStart"/>
      <w:r>
        <w:rPr>
          <w:rtl/>
        </w:rPr>
        <w:t>מבעלזא</w:t>
      </w:r>
      <w:proofErr w:type="spellEnd"/>
      <w:r>
        <w:rPr>
          <w:rtl/>
        </w:rPr>
        <w:t xml:space="preserve"> זיע"א בסיפור מעשה נורא שהיה אצל רבינו הקדוש החוזה מלובלין זיע"א: איש יהודי אחד היה דר בכפר, ופרנסתו </w:t>
      </w:r>
      <w:proofErr w:type="spellStart"/>
      <w:r>
        <w:rPr>
          <w:rtl/>
        </w:rPr>
        <w:t>היתה</w:t>
      </w:r>
      <w:proofErr w:type="spellEnd"/>
      <w:r>
        <w:rPr>
          <w:rtl/>
        </w:rPr>
        <w:t xml:space="preserve"> מחכירת בית המרזח [</w:t>
      </w:r>
      <w:proofErr w:type="spellStart"/>
      <w:r>
        <w:rPr>
          <w:rtl/>
        </w:rPr>
        <w:t>קרעטשמע</w:t>
      </w:r>
      <w:proofErr w:type="spellEnd"/>
      <w:r>
        <w:rPr>
          <w:rtl/>
        </w:rPr>
        <w:t>], מבעל האחוזה, שבו היה מוכר יי"ש לאיכרים כמנהג הימים ההם.</w:t>
      </w:r>
    </w:p>
    <w:p w14:paraId="0D3E6DFE" w14:textId="77777777" w:rsidR="00AE2B13" w:rsidRDefault="00AE2B13" w:rsidP="00AE2B13">
      <w:pPr>
        <w:spacing w:after="140" w:line="300" w:lineRule="auto"/>
        <w:ind w:firstLine="240"/>
        <w:jc w:val="both"/>
        <w:rPr>
          <w:rtl/>
        </w:rPr>
      </w:pPr>
      <w:r>
        <w:rPr>
          <w:rtl/>
        </w:rPr>
        <w:t>סמוך ונראה אליו גר כומר אחד שהיה צר עין בפרנסת ישראל, וביקש להצר ליהודי ולקפח מחייתו. מה עשה, ציווה לגוי אחד מבני מרעיתו שיפתח אף הוא בית מרזח ממול היהודי, כדי שיפנו הלקוחות אליו ויאבד היהודי את פרנסתו.</w:t>
      </w:r>
    </w:p>
    <w:p w14:paraId="2F0E6212" w14:textId="77777777" w:rsidR="00AE2B13" w:rsidRDefault="00AE2B13" w:rsidP="00AE2B13">
      <w:pPr>
        <w:spacing w:after="140" w:line="300" w:lineRule="auto"/>
        <w:ind w:firstLine="240"/>
        <w:jc w:val="both"/>
        <w:rPr>
          <w:rtl/>
        </w:rPr>
      </w:pPr>
      <w:r>
        <w:rPr>
          <w:rtl/>
        </w:rPr>
        <w:t xml:space="preserve">כשראה היהודי כי כלו כל הקיצין ואין לו להחיות את נפשו, נסע ללובלין ושפך שיחו לפני החוזה הקדוש. הבטיחו הצדיק שיעזרוהו מן השמים </w:t>
      </w:r>
      <w:proofErr w:type="spellStart"/>
      <w:r>
        <w:rPr>
          <w:rtl/>
        </w:rPr>
        <w:t>ויוושע</w:t>
      </w:r>
      <w:proofErr w:type="spellEnd"/>
      <w:r>
        <w:rPr>
          <w:rtl/>
        </w:rPr>
        <w:t>.</w:t>
      </w:r>
    </w:p>
    <w:p w14:paraId="55D51A3D" w14:textId="77777777" w:rsidR="00AE2B13" w:rsidRDefault="00AE2B13" w:rsidP="00AE2B13">
      <w:pPr>
        <w:spacing w:after="140" w:line="300" w:lineRule="auto"/>
        <w:ind w:firstLine="240"/>
        <w:jc w:val="both"/>
        <w:rPr>
          <w:rtl/>
        </w:rPr>
      </w:pPr>
      <w:r>
        <w:rPr>
          <w:rtl/>
        </w:rPr>
        <w:t xml:space="preserve">ויהי היום, ולא עברו ימים מועטים והגוי המקפח מת פתאום </w:t>
      </w:r>
      <w:proofErr w:type="spellStart"/>
      <w:r>
        <w:rPr>
          <w:rtl/>
        </w:rPr>
        <w:t>ל"ע</w:t>
      </w:r>
      <w:proofErr w:type="spellEnd"/>
      <w:r>
        <w:rPr>
          <w:rtl/>
        </w:rPr>
        <w:t>, וחזרו הלקוחות אל היהודי כבראשונה. אולם הכומר הרשע לא הניח ידו מזממו, ותוך זמן קצר העמיד גוי אחר במקום הראשון ושוב חזרה הצרה למקומה.</w:t>
      </w:r>
    </w:p>
    <w:p w14:paraId="6B5C7DDC" w14:textId="77777777" w:rsidR="00AE2B13" w:rsidRDefault="00AE2B13" w:rsidP="00AE2B13">
      <w:pPr>
        <w:spacing w:after="140" w:line="300" w:lineRule="auto"/>
        <w:ind w:firstLine="240"/>
        <w:jc w:val="both"/>
        <w:rPr>
          <w:rtl/>
        </w:rPr>
      </w:pPr>
      <w:r>
        <w:rPr>
          <w:rtl/>
        </w:rPr>
        <w:t xml:space="preserve">נסע היהודי פעם נוספת אל </w:t>
      </w:r>
      <w:proofErr w:type="spellStart"/>
      <w:r>
        <w:rPr>
          <w:rtl/>
        </w:rPr>
        <w:t>הרה"ק</w:t>
      </w:r>
      <w:proofErr w:type="spellEnd"/>
      <w:r>
        <w:rPr>
          <w:rtl/>
        </w:rPr>
        <w:t xml:space="preserve"> מלובלין לבקש רחמים על נפשו וטפו. נענה הצדיק ואמר לו: הנה יכול אני לפעול עבורך ישועה גם הפעם, אך דע לך שלא תהיה הישועה כדרך </w:t>
      </w:r>
      <w:proofErr w:type="spellStart"/>
      <w:r>
        <w:rPr>
          <w:rtl/>
        </w:rPr>
        <w:t>שהיתה</w:t>
      </w:r>
      <w:proofErr w:type="spellEnd"/>
      <w:r>
        <w:rPr>
          <w:rtl/>
        </w:rPr>
        <w:t xml:space="preserve"> בראשונה. שכן לאחר שמת הגוי הראשון, נגלה אלי רוח אחד כשבידו שתי נרות כבויים, ובא אלי בטרוניה: מדוע כיבית שתי נרות הללו.</w:t>
      </w:r>
    </w:p>
    <w:p w14:paraId="565549BF" w14:textId="77777777" w:rsidR="00AE2B13" w:rsidRDefault="00AE2B13" w:rsidP="00AE2B13">
      <w:pPr>
        <w:spacing w:after="140" w:line="300" w:lineRule="auto"/>
        <w:ind w:firstLine="240"/>
        <w:jc w:val="both"/>
        <w:rPr>
          <w:rtl/>
        </w:rPr>
      </w:pPr>
      <w:r>
        <w:rPr>
          <w:rtl/>
        </w:rPr>
        <w:t xml:space="preserve">סיפר מרן </w:t>
      </w:r>
      <w:proofErr w:type="spellStart"/>
      <w:r>
        <w:rPr>
          <w:rtl/>
        </w:rPr>
        <w:t>מבעלזא</w:t>
      </w:r>
      <w:proofErr w:type="spellEnd"/>
      <w:r>
        <w:rPr>
          <w:rtl/>
        </w:rPr>
        <w:t xml:space="preserve"> את המעשה ושתק, ולא פירש דבריו.</w:t>
      </w:r>
    </w:p>
    <w:p w14:paraId="20FB02B9" w14:textId="77777777" w:rsidR="00AE2B13" w:rsidRDefault="00AE2B13" w:rsidP="00AE2B13">
      <w:pPr>
        <w:spacing w:after="140" w:line="300" w:lineRule="auto"/>
        <w:ind w:firstLine="240"/>
        <w:jc w:val="both"/>
        <w:rPr>
          <w:rtl/>
        </w:rPr>
      </w:pPr>
      <w:r>
        <w:rPr>
          <w:rtl/>
        </w:rPr>
        <w:t xml:space="preserve">לאחר שיצאו הצדיקים מעל פני רבם, ישבו וביארו דבריו הקדושים: </w:t>
      </w:r>
      <w:proofErr w:type="spellStart"/>
      <w:r>
        <w:rPr>
          <w:rtl/>
        </w:rPr>
        <w:t>דהנה</w:t>
      </w:r>
      <w:proofErr w:type="spellEnd"/>
      <w:r>
        <w:rPr>
          <w:rtl/>
        </w:rPr>
        <w:t xml:space="preserve"> </w:t>
      </w:r>
      <w:proofErr w:type="spellStart"/>
      <w:r>
        <w:rPr>
          <w:rtl/>
        </w:rPr>
        <w:t>חזינן</w:t>
      </w:r>
      <w:proofErr w:type="spellEnd"/>
      <w:r>
        <w:rPr>
          <w:rtl/>
        </w:rPr>
        <w:t xml:space="preserve"> מזה, שכל הנשמות הראויות לצאת מן האדם, כבר נמצאות אצלו מקדם בבחינת ניצוצות דקיקים. וזהו שהתרעם אותו רוח על כיבוי הנרות, לפי שהיו בקרבו של אותו גוי נשמות טובות וכשרות שעתידות היו לצאת מזרעו, ואף כשהיו בתוך הגוי, בקדושתן עמדו.</w:t>
      </w:r>
    </w:p>
    <w:p w14:paraId="58A440FB" w14:textId="77777777" w:rsidR="00AE2B13" w:rsidRDefault="00AE2B13" w:rsidP="00AE2B13">
      <w:pPr>
        <w:spacing w:after="140" w:line="300" w:lineRule="auto"/>
        <w:ind w:firstLine="240"/>
        <w:jc w:val="both"/>
        <w:rPr>
          <w:rtl/>
        </w:rPr>
      </w:pPr>
      <w:r>
        <w:rPr>
          <w:rtl/>
        </w:rPr>
        <w:t xml:space="preserve">ולפי זה יתבאר שפיר ענין </w:t>
      </w:r>
      <w:proofErr w:type="spellStart"/>
      <w:r>
        <w:rPr>
          <w:rtl/>
        </w:rPr>
        <w:t>פינחס</w:t>
      </w:r>
      <w:proofErr w:type="spellEnd"/>
      <w:r>
        <w:rPr>
          <w:rtl/>
        </w:rPr>
        <w:t xml:space="preserve">, שהרי השבטים ביזוהו לאמור שמעשה הקנאות שעשה לא לשם שמים היה, אלא מצד טבעו הרע ומידותיו המקולקלות שירש מאבי </w:t>
      </w:r>
      <w:proofErr w:type="spellStart"/>
      <w:r>
        <w:rPr>
          <w:rtl/>
        </w:rPr>
        <w:t>אמו</w:t>
      </w:r>
      <w:proofErr w:type="spellEnd"/>
      <w:r>
        <w:rPr>
          <w:rtl/>
        </w:rPr>
        <w:t xml:space="preserve"> '</w:t>
      </w:r>
      <w:proofErr w:type="spellStart"/>
      <w:r>
        <w:rPr>
          <w:rtl/>
        </w:rPr>
        <w:t>פוטי</w:t>
      </w:r>
      <w:proofErr w:type="spellEnd"/>
      <w:r>
        <w:rPr>
          <w:rtl/>
        </w:rPr>
        <w:t xml:space="preserve">' שהיה מפטם עגלים לעבודה זרה. </w:t>
      </w:r>
    </w:p>
    <w:p w14:paraId="43AA11D6" w14:textId="305DCBDB" w:rsidR="00C274B5" w:rsidRDefault="00AE2B13" w:rsidP="00AE2B13">
      <w:pPr>
        <w:spacing w:after="140" w:line="300" w:lineRule="auto"/>
        <w:ind w:firstLine="240"/>
        <w:jc w:val="both"/>
      </w:pPr>
      <w:r>
        <w:rPr>
          <w:rtl/>
        </w:rPr>
        <w:t xml:space="preserve">לזאת בא הכתוב ויחסו אחר אהרן, להעיד עליו שקדוש הוא מרחם, וכל שורשו מאהרן אוהב השלום. ומה שהוא בן </w:t>
      </w:r>
      <w:proofErr w:type="spellStart"/>
      <w:r>
        <w:rPr>
          <w:rtl/>
        </w:rPr>
        <w:t>פוטי</w:t>
      </w:r>
      <w:proofErr w:type="spellEnd"/>
      <w:r>
        <w:rPr>
          <w:rtl/>
        </w:rPr>
        <w:t xml:space="preserve">, אין בזה פגם, שכן גם באותן שנים שהיה יתרו כומר לעבודה זרה, כבר היו גנוזים בתוכו ניצוצות קדושים וטהורים, והם הם הניצוצות שהולידו את זרעו של </w:t>
      </w:r>
      <w:proofErr w:type="spellStart"/>
      <w:r>
        <w:rPr>
          <w:rtl/>
        </w:rPr>
        <w:t>פינחס</w:t>
      </w:r>
      <w:proofErr w:type="spellEnd"/>
      <w:r>
        <w:rPr>
          <w:rtl/>
        </w:rPr>
        <w:t>.</w:t>
      </w:r>
    </w:p>
    <w:p w14:paraId="6E7B1009" w14:textId="77777777" w:rsidR="00C274B5" w:rsidRDefault="00C274B5">
      <w:pPr>
        <w:spacing w:after="200"/>
      </w:pPr>
    </w:p>
    <w:p w14:paraId="02232C8C" w14:textId="255D4F8B" w:rsidR="00C274B5" w:rsidRDefault="00AE2B13">
      <w:pPr>
        <w:pBdr>
          <w:bottom w:val="single" w:sz="12" w:space="6" w:color="9A7B2E"/>
        </w:pBdr>
        <w:spacing w:before="60" w:after="40"/>
        <w:jc w:val="right"/>
      </w:pPr>
      <w:r>
        <w:rPr>
          <w:rFonts w:hint="cs"/>
          <w:b/>
          <w:bCs/>
          <w:color w:val="5A3E1B"/>
          <w:sz w:val="32"/>
          <w:szCs w:val="32"/>
          <w:rtl/>
        </w:rPr>
        <w:t>דין המועדות לעתיד לבוא</w:t>
      </w:r>
      <w:r w:rsidR="00000000">
        <w:rPr>
          <w:b/>
          <w:bCs/>
          <w:color w:val="5A3E1B"/>
          <w:sz w:val="32"/>
          <w:szCs w:val="32"/>
          <w:rtl/>
        </w:rPr>
        <w:t xml:space="preserve">  </w:t>
      </w:r>
      <w:r w:rsidR="00000000">
        <w:rPr>
          <w:b/>
          <w:bCs/>
          <w:color w:val="9A7B2E"/>
          <w:rtl/>
        </w:rPr>
        <w:t>· א הלכה</w:t>
      </w:r>
    </w:p>
    <w:p w14:paraId="414C914C" w14:textId="77777777" w:rsidR="00AE2B13" w:rsidRDefault="00AE2B13" w:rsidP="00AE2B13">
      <w:pPr>
        <w:spacing w:after="140" w:line="300" w:lineRule="auto"/>
        <w:ind w:firstLine="240"/>
        <w:jc w:val="both"/>
        <w:rPr>
          <w:rtl/>
        </w:rPr>
      </w:pPr>
      <w:r>
        <w:rPr>
          <w:rtl/>
        </w:rPr>
        <w:t>ביום השמיני עצרת (</w:t>
      </w:r>
      <w:proofErr w:type="spellStart"/>
      <w:r>
        <w:rPr>
          <w:rtl/>
        </w:rPr>
        <w:t>כט</w:t>
      </w:r>
      <w:proofErr w:type="spellEnd"/>
      <w:r>
        <w:rPr>
          <w:rtl/>
        </w:rPr>
        <w:t xml:space="preserve"> לה). אמרה כנסת ישראל לפני הקב"ה, עליך להוסיף לנו מועדות, ועלינו להיות מקריבים לפניך ומכבדים אותך. אמר להם הקב"ה חייכם איני מחזיר ימים טובים מכם, אלא אני מוסיף לכם מועדות שתשמחו כהם שנאמר 'ביום השמיני עצרת (מדרש רבה </w:t>
      </w:r>
      <w:proofErr w:type="spellStart"/>
      <w:r>
        <w:rPr>
          <w:rtl/>
        </w:rPr>
        <w:t>כא</w:t>
      </w:r>
      <w:proofErr w:type="spellEnd"/>
      <w:r>
        <w:rPr>
          <w:rtl/>
        </w:rPr>
        <w:t xml:space="preserve"> </w:t>
      </w:r>
      <w:proofErr w:type="spellStart"/>
      <w:r>
        <w:rPr>
          <w:rtl/>
        </w:rPr>
        <w:t>כג</w:t>
      </w:r>
      <w:proofErr w:type="spellEnd"/>
      <w:r>
        <w:rPr>
          <w:rtl/>
        </w:rPr>
        <w:t>).</w:t>
      </w:r>
    </w:p>
    <w:p w14:paraId="316EE894" w14:textId="77777777" w:rsidR="00AE2B13" w:rsidRDefault="00AE2B13" w:rsidP="00AE2B13">
      <w:pPr>
        <w:spacing w:after="140" w:line="300" w:lineRule="auto"/>
        <w:ind w:firstLine="240"/>
        <w:jc w:val="both"/>
        <w:rPr>
          <w:rtl/>
        </w:rPr>
      </w:pPr>
      <w:r>
        <w:rPr>
          <w:rtl/>
        </w:rPr>
        <w:lastRenderedPageBreak/>
        <w:t xml:space="preserve">בתשובות </w:t>
      </w:r>
      <w:proofErr w:type="spellStart"/>
      <w:r>
        <w:rPr>
          <w:rtl/>
        </w:rPr>
        <w:t>הרשב"א</w:t>
      </w:r>
      <w:proofErr w:type="spellEnd"/>
      <w:r>
        <w:rPr>
          <w:rtl/>
        </w:rPr>
        <w:t xml:space="preserve"> (ח"א סימן צג) שאל השואל על דברי המדרש שוחר טוב (משלי ט ב) 'טבחה </w:t>
      </w:r>
      <w:proofErr w:type="spellStart"/>
      <w:r>
        <w:rPr>
          <w:rtl/>
        </w:rPr>
        <w:t>טבחה</w:t>
      </w:r>
      <w:proofErr w:type="spellEnd"/>
      <w:r>
        <w:rPr>
          <w:rtl/>
        </w:rPr>
        <w:t xml:space="preserve">', כל המועדות יהיו בטלים, וימי הפורים לא יהיו בטלים שנאמר (אסתר ט </w:t>
      </w:r>
      <w:proofErr w:type="spellStart"/>
      <w:r>
        <w:rPr>
          <w:rtl/>
        </w:rPr>
        <w:t>כח</w:t>
      </w:r>
      <w:proofErr w:type="spellEnd"/>
      <w:r>
        <w:rPr>
          <w:rtl/>
        </w:rPr>
        <w:t>) 'וימי הפורים האלה לא יעברו מתוך היהודים', ומי הוא זה שיאמר שיבטל אות מן התורה ואפילו קוצו של יו"ד.</w:t>
      </w:r>
    </w:p>
    <w:p w14:paraId="06DD32B0" w14:textId="77777777" w:rsidR="00AE2B13" w:rsidRDefault="00AE2B13" w:rsidP="00AE2B13">
      <w:pPr>
        <w:spacing w:after="140" w:line="300" w:lineRule="auto"/>
        <w:ind w:firstLine="240"/>
        <w:jc w:val="both"/>
        <w:rPr>
          <w:rtl/>
        </w:rPr>
      </w:pPr>
      <w:r>
        <w:rPr>
          <w:rtl/>
        </w:rPr>
        <w:t xml:space="preserve">והשיב </w:t>
      </w:r>
      <w:proofErr w:type="spellStart"/>
      <w:r>
        <w:rPr>
          <w:rtl/>
        </w:rPr>
        <w:t>הרשב״א</w:t>
      </w:r>
      <w:proofErr w:type="spellEnd"/>
      <w:r>
        <w:rPr>
          <w:rtl/>
        </w:rPr>
        <w:t xml:space="preserve">, שכל המועדות לא הבטיח עליהם הקב״ה שלא יגרום החטא את ביטולם באחד מן הזמנים. אולם בימי הפורים הבטיח הקב״ה שלא יעברו מתוך היהודים וזכרם לא </w:t>
      </w:r>
      <w:proofErr w:type="spellStart"/>
      <w:r>
        <w:rPr>
          <w:rtl/>
        </w:rPr>
        <w:t>יסוף</w:t>
      </w:r>
      <w:proofErr w:type="spellEnd"/>
      <w:r>
        <w:rPr>
          <w:rtl/>
        </w:rPr>
        <w:t xml:space="preserve"> מזרעם, וכן ביום הכיפורים. </w:t>
      </w:r>
    </w:p>
    <w:p w14:paraId="6EEE30E6" w14:textId="77777777" w:rsidR="00AE2B13" w:rsidRDefault="00AE2B13" w:rsidP="00AE2B13">
      <w:pPr>
        <w:spacing w:after="140" w:line="300" w:lineRule="auto"/>
        <w:ind w:firstLine="240"/>
        <w:jc w:val="both"/>
        <w:rPr>
          <w:rtl/>
        </w:rPr>
      </w:pPr>
      <w:r>
        <w:rPr>
          <w:rtl/>
        </w:rPr>
        <w:t xml:space="preserve">ועל זאת הקשה השואל לאדמו״ר </w:t>
      </w:r>
      <w:proofErr w:type="spellStart"/>
      <w:r>
        <w:rPr>
          <w:rtl/>
        </w:rPr>
        <w:t>ממונקטש</w:t>
      </w:r>
      <w:proofErr w:type="spellEnd"/>
      <w:r>
        <w:rPr>
          <w:rtl/>
        </w:rPr>
        <w:t xml:space="preserve"> </w:t>
      </w:r>
      <w:proofErr w:type="spellStart"/>
      <w:r>
        <w:rPr>
          <w:rtl/>
        </w:rPr>
        <w:t>בשו״ת</w:t>
      </w:r>
      <w:proofErr w:type="spellEnd"/>
      <w:r>
        <w:rPr>
          <w:rtl/>
        </w:rPr>
        <w:t xml:space="preserve"> מנחת אלעזר (</w:t>
      </w:r>
      <w:proofErr w:type="spellStart"/>
      <w:r>
        <w:rPr>
          <w:rtl/>
        </w:rPr>
        <w:t>ח״ב</w:t>
      </w:r>
      <w:proofErr w:type="spellEnd"/>
      <w:r>
        <w:rPr>
          <w:rtl/>
        </w:rPr>
        <w:t xml:space="preserve"> סימן מה), שהמדרש מדבר לעתיד לבוא ולא שייך שם חטא, וכי בשביל שיגרום החטא תתבטל התורה, המצוות והמועדים, והרי אות אחת לא תתבטל.</w:t>
      </w:r>
    </w:p>
    <w:p w14:paraId="42D6D2C7" w14:textId="77777777" w:rsidR="00AE2B13" w:rsidRDefault="00AE2B13" w:rsidP="00AE2B13">
      <w:pPr>
        <w:spacing w:after="140" w:line="300" w:lineRule="auto"/>
        <w:ind w:firstLine="240"/>
        <w:jc w:val="both"/>
        <w:rPr>
          <w:rtl/>
        </w:rPr>
      </w:pPr>
      <w:r>
        <w:rPr>
          <w:rtl/>
        </w:rPr>
        <w:t xml:space="preserve">והנה הרמב״ם (סוף הלכות מגילה) כתב: "כל ספרי הנביאים וכל הכתובים עתידים להתבטל לימות המשיח חוץ ממגילת אסתר, והרי היא קיימת כחמשה חומשי תורה וכהלכות של תורה שבע״פ שאינם בטלים לעולם. ואע״פ שכל זיכרון הצרות יתבטל שנאמר 'כי נשכחו הצרות הראשונות וכי נסתרו מעיני', ימי הפורים לא יתבטלו שנאמר: "וימי הפורים האלה לא יעברו מתוך היהודים". </w:t>
      </w:r>
    </w:p>
    <w:p w14:paraId="4660F36F" w14:textId="77777777" w:rsidR="00AE2B13" w:rsidRDefault="00AE2B13" w:rsidP="00AE2B13">
      <w:pPr>
        <w:spacing w:after="140" w:line="300" w:lineRule="auto"/>
        <w:ind w:firstLine="240"/>
        <w:jc w:val="both"/>
        <w:rPr>
          <w:rtl/>
        </w:rPr>
      </w:pPr>
      <w:r>
        <w:rPr>
          <w:rtl/>
        </w:rPr>
        <w:t xml:space="preserve">ולכאורה קשה, למה שינה הרמב״ם מדברי המדרש ולא הזכיר ששאר המועדות יתבטלו. אלא צריך לומר שהיה קשה בעיניו לומר שיתבטלו שאר המועדות, שהרי אנו מאמינים שלא תהא התורה מוחלפת. </w:t>
      </w:r>
    </w:p>
    <w:p w14:paraId="1067CCAF" w14:textId="77777777" w:rsidR="00AE2B13" w:rsidRDefault="00AE2B13" w:rsidP="00AE2B13">
      <w:pPr>
        <w:spacing w:after="140" w:line="300" w:lineRule="auto"/>
        <w:ind w:firstLine="240"/>
        <w:jc w:val="both"/>
        <w:rPr>
          <w:rtl/>
        </w:rPr>
      </w:pPr>
      <w:r>
        <w:rPr>
          <w:rtl/>
        </w:rPr>
        <w:t>והביאור בדברי הרמב״ם הוא על פי המובא במסכת ברכות (</w:t>
      </w:r>
      <w:proofErr w:type="spellStart"/>
      <w:r>
        <w:rPr>
          <w:rtl/>
        </w:rPr>
        <w:t>יג</w:t>
      </w:r>
      <w:proofErr w:type="spellEnd"/>
      <w:r>
        <w:rPr>
          <w:rtl/>
        </w:rPr>
        <w:t xml:space="preserve">.) על הפסוק: "אל תזכרו ראשונות וקדמוניות אל תתבוננו" (ישעיה מג). משל למה הדבר דומה, לאדם שהיה מהלך בדרך ופגע בו זאב וניצל ממנו והיה מספר והולך מעשה זאב. פגע בו ארי וניצל ממנו והיה מספר והולך מעשה ארי. פגע בו נחש וניצל ממנו והיה מספר והולך מעשה נחש. אף כך ישראל צרות אחרונות </w:t>
      </w:r>
      <w:proofErr w:type="spellStart"/>
      <w:r>
        <w:rPr>
          <w:rtl/>
        </w:rPr>
        <w:t>משכחות</w:t>
      </w:r>
      <w:proofErr w:type="spellEnd"/>
      <w:r>
        <w:rPr>
          <w:rtl/>
        </w:rPr>
        <w:t xml:space="preserve"> את הראשונות. </w:t>
      </w:r>
    </w:p>
    <w:p w14:paraId="79240381" w14:textId="77777777" w:rsidR="00AE2B13" w:rsidRDefault="00AE2B13" w:rsidP="00AE2B13">
      <w:pPr>
        <w:spacing w:after="140" w:line="300" w:lineRule="auto"/>
        <w:ind w:firstLine="240"/>
        <w:jc w:val="both"/>
        <w:rPr>
          <w:rtl/>
        </w:rPr>
      </w:pPr>
      <w:r>
        <w:rPr>
          <w:rtl/>
        </w:rPr>
        <w:t>כלומר שכל הצרות שפקדו את עם ישראל בכל הדורות כולל יציאת מצרים ישתכחו לעומת הגאולה העתידית. וכתבו בספרים הקדושים שכיון שלעתיד הישועה תגיע ע״י מחיית עמלק, כל המועדים המיוסדים על יציאת מצרים יהיו טפלים לעומת הגאולה העתידית, שאז יהיה שמו שלם וכסאו שלם.</w:t>
      </w:r>
    </w:p>
    <w:p w14:paraId="75A752F6" w14:textId="77777777" w:rsidR="00AE2B13" w:rsidRDefault="00AE2B13" w:rsidP="00AE2B13">
      <w:pPr>
        <w:spacing w:after="140" w:line="300" w:lineRule="auto"/>
        <w:ind w:firstLine="240"/>
        <w:jc w:val="both"/>
        <w:rPr>
          <w:rtl/>
        </w:rPr>
      </w:pPr>
      <w:r>
        <w:rPr>
          <w:rtl/>
        </w:rPr>
        <w:t xml:space="preserve">על כן ימי הפורים המיוסדים על מחיית עמלק לא יתבטלו משום שאז עיקר </w:t>
      </w:r>
      <w:proofErr w:type="spellStart"/>
      <w:r>
        <w:rPr>
          <w:rtl/>
        </w:rPr>
        <w:t>כח</w:t>
      </w:r>
      <w:proofErr w:type="spellEnd"/>
      <w:r>
        <w:rPr>
          <w:rtl/>
        </w:rPr>
        <w:t xml:space="preserve"> קיומם לעתיד.</w:t>
      </w:r>
    </w:p>
    <w:p w14:paraId="2F26A52C" w14:textId="77777777" w:rsidR="00AE2B13" w:rsidRDefault="00AE2B13" w:rsidP="00AE2B13">
      <w:pPr>
        <w:spacing w:after="140" w:line="300" w:lineRule="auto"/>
        <w:ind w:firstLine="240"/>
        <w:jc w:val="both"/>
        <w:rPr>
          <w:rtl/>
        </w:rPr>
      </w:pPr>
      <w:r>
        <w:rPr>
          <w:rtl/>
        </w:rPr>
        <w:t xml:space="preserve">ויש לבאר על פי זה, את הנאמר במצוות מחיית עמלק: "והיה בהניח ה׳ אלוקיך מסביב בארץ - לעתיד לבא, "תמחה את זכר עמלק", אז יתקיים מחיית עמלק באמת, "לא תשכח" את הגאולה הזאת לא תשכח, אף שאת שאר הגלויות לא יזכרו, זה </w:t>
      </w:r>
      <w:proofErr w:type="spellStart"/>
      <w:r>
        <w:rPr>
          <w:rtl/>
        </w:rPr>
        <w:t>ישאר</w:t>
      </w:r>
      <w:proofErr w:type="spellEnd"/>
      <w:r>
        <w:rPr>
          <w:rtl/>
        </w:rPr>
        <w:t xml:space="preserve"> בקיום עד עולם שלא יהיו עוד צרות אחריו.</w:t>
      </w:r>
    </w:p>
    <w:p w14:paraId="789B61EC" w14:textId="77777777" w:rsidR="00AE2B13" w:rsidRDefault="00AE2B13" w:rsidP="00AE2B13">
      <w:pPr>
        <w:spacing w:after="140" w:line="300" w:lineRule="auto"/>
        <w:ind w:firstLine="240"/>
        <w:jc w:val="both"/>
        <w:rPr>
          <w:rtl/>
        </w:rPr>
      </w:pPr>
      <w:r>
        <w:rPr>
          <w:rtl/>
        </w:rPr>
        <w:t>ובזה יובן מה שכתוב במדרש שכל המועדים יהיו בטלים, כלומר לא שיתבטלו לגמרי, אלא שכל המועדים שהם זכר ליציאת מצרים יהיו טפלים לעומת הגאולה העתידית וההצלה משעבוד מלכויות ועמלק בראשם.</w:t>
      </w:r>
    </w:p>
    <w:p w14:paraId="074DA8FC" w14:textId="7C088BDF" w:rsidR="00C274B5" w:rsidRDefault="00AE2B13" w:rsidP="00AE2B13">
      <w:pPr>
        <w:spacing w:after="140" w:line="300" w:lineRule="auto"/>
        <w:ind w:firstLine="240"/>
        <w:jc w:val="both"/>
      </w:pPr>
      <w:r>
        <w:rPr>
          <w:rtl/>
        </w:rPr>
        <w:t xml:space="preserve">וזהו מה שהשיב </w:t>
      </w:r>
      <w:proofErr w:type="spellStart"/>
      <w:r>
        <w:rPr>
          <w:rtl/>
        </w:rPr>
        <w:t>הרשב״א</w:t>
      </w:r>
      <w:proofErr w:type="spellEnd"/>
      <w:r>
        <w:rPr>
          <w:rtl/>
        </w:rPr>
        <w:t xml:space="preserve"> לשואל, שהביאור בדברי המדרש הוא שגם בעולם הזה שנמצאו צרות רבות ורעות באורך הגלות וטלטולים ממקום למקום וגודל הגזירות מאומות העולם לבטל את מצוות התורה, מ״מ על פורים יש הבטחה שלא יארע לעולם בשום שנה סיבה כלשהיא לביטול שמחת ימי הפורים. אבל לעתיד לבא לעולם הבא בוודאי לא יתבטל שום מועד, ואדרבה אז תהיה דעת רחבה יותר לשמור את תורת ה׳ בלא מניעות.</w:t>
      </w:r>
    </w:p>
    <w:p w14:paraId="495880AC" w14:textId="77777777" w:rsidR="00C274B5" w:rsidRDefault="00C274B5">
      <w:pPr>
        <w:spacing w:after="200"/>
      </w:pPr>
    </w:p>
    <w:p w14:paraId="634D1801" w14:textId="0AEDC5CD" w:rsidR="00C274B5" w:rsidRDefault="00000000">
      <w:pPr>
        <w:pBdr>
          <w:bottom w:val="single" w:sz="12" w:space="6" w:color="9A7B2E"/>
        </w:pBdr>
        <w:spacing w:before="60" w:after="40"/>
        <w:jc w:val="right"/>
      </w:pPr>
      <w:proofErr w:type="spellStart"/>
      <w:r>
        <w:rPr>
          <w:b/>
          <w:bCs/>
          <w:color w:val="5A3E1B"/>
          <w:sz w:val="32"/>
          <w:szCs w:val="32"/>
          <w:rtl/>
        </w:rPr>
        <w:t>בענין</w:t>
      </w:r>
      <w:proofErr w:type="spellEnd"/>
      <w:r>
        <w:rPr>
          <w:b/>
          <w:bCs/>
          <w:color w:val="5A3E1B"/>
          <w:sz w:val="32"/>
          <w:szCs w:val="32"/>
          <w:rtl/>
        </w:rPr>
        <w:t xml:space="preserve"> ה</w:t>
      </w:r>
      <w:r w:rsidR="00AE2B13">
        <w:rPr>
          <w:rFonts w:hint="cs"/>
          <w:b/>
          <w:bCs/>
          <w:color w:val="5A3E1B"/>
          <w:sz w:val="32"/>
          <w:szCs w:val="32"/>
          <w:rtl/>
        </w:rPr>
        <w:t>יתר עשיית גורל</w:t>
      </w:r>
      <w:r>
        <w:rPr>
          <w:b/>
          <w:bCs/>
          <w:color w:val="5A3E1B"/>
          <w:sz w:val="32"/>
          <w:szCs w:val="32"/>
          <w:rtl/>
        </w:rPr>
        <w:t xml:space="preserve">  </w:t>
      </w:r>
      <w:r>
        <w:rPr>
          <w:b/>
          <w:bCs/>
          <w:color w:val="9A7B2E"/>
          <w:rtl/>
        </w:rPr>
        <w:t>· א חידוש</w:t>
      </w:r>
    </w:p>
    <w:p w14:paraId="48CB0046" w14:textId="77777777" w:rsidR="00AE2B13" w:rsidRDefault="00AE2B13" w:rsidP="00AE2B13">
      <w:pPr>
        <w:spacing w:after="140" w:line="300" w:lineRule="auto"/>
        <w:ind w:firstLine="240"/>
        <w:jc w:val="both"/>
        <w:rPr>
          <w:rtl/>
        </w:rPr>
      </w:pPr>
      <w:r>
        <w:rPr>
          <w:rtl/>
        </w:rPr>
        <w:lastRenderedPageBreak/>
        <w:t xml:space="preserve">בפרשתנו מצינו כי חלוקת הארץ לשבטים נעשתה על פי הדיבור בדרך הגורל, וכפי שנאמר: "אך בגורל יחלק את הארץ". והנה יש לעיין בזה, שהרי פסק מרן </w:t>
      </w:r>
      <w:proofErr w:type="spellStart"/>
      <w:r>
        <w:rPr>
          <w:rtl/>
        </w:rPr>
        <w:t>בשו"ע</w:t>
      </w:r>
      <w:proofErr w:type="spellEnd"/>
      <w:r>
        <w:rPr>
          <w:rtl/>
        </w:rPr>
        <w:t xml:space="preserve"> (יו"ד סי' </w:t>
      </w:r>
      <w:proofErr w:type="spellStart"/>
      <w:r>
        <w:rPr>
          <w:rtl/>
        </w:rPr>
        <w:t>קעט</w:t>
      </w:r>
      <w:proofErr w:type="spellEnd"/>
      <w:r>
        <w:rPr>
          <w:rtl/>
        </w:rPr>
        <w:t xml:space="preserve"> ס"א) שאין שואלים בחוזים בכוכבים ולא בגורלות, וביאר </w:t>
      </w:r>
      <w:proofErr w:type="spellStart"/>
      <w:r>
        <w:rPr>
          <w:rtl/>
        </w:rPr>
        <w:t>הרמ"א</w:t>
      </w:r>
      <w:proofErr w:type="spellEnd"/>
      <w:r>
        <w:rPr>
          <w:rtl/>
        </w:rPr>
        <w:t xml:space="preserve"> שם שהטעם הוא משום שנאמר "תמים תהיה עם ה' </w:t>
      </w:r>
      <w:proofErr w:type="spellStart"/>
      <w:r>
        <w:rPr>
          <w:rtl/>
        </w:rPr>
        <w:t>אלהיך</w:t>
      </w:r>
      <w:proofErr w:type="spellEnd"/>
      <w:r>
        <w:rPr>
          <w:rtl/>
        </w:rPr>
        <w:t>".</w:t>
      </w:r>
    </w:p>
    <w:p w14:paraId="2ED64EA7" w14:textId="77777777" w:rsidR="00AE2B13" w:rsidRDefault="00AE2B13" w:rsidP="00AE2B13">
      <w:pPr>
        <w:spacing w:after="140" w:line="300" w:lineRule="auto"/>
        <w:ind w:firstLine="240"/>
        <w:jc w:val="both"/>
        <w:rPr>
          <w:rtl/>
        </w:rPr>
      </w:pPr>
      <w:r>
        <w:rPr>
          <w:rtl/>
        </w:rPr>
        <w:t>אולם כבר חילק בזה בעל "האלף לך שלמה" (</w:t>
      </w:r>
      <w:proofErr w:type="spellStart"/>
      <w:r>
        <w:rPr>
          <w:rtl/>
        </w:rPr>
        <w:t>או"ח</w:t>
      </w:r>
      <w:proofErr w:type="spellEnd"/>
      <w:r>
        <w:rPr>
          <w:rtl/>
        </w:rPr>
        <w:t xml:space="preserve"> סי' סב), שאין האיסור אמור אלא כשבא לשאול על העתידות, כגון אם יחיה החולה וכדומה, </w:t>
      </w:r>
      <w:proofErr w:type="spellStart"/>
      <w:r>
        <w:rPr>
          <w:rtl/>
        </w:rPr>
        <w:t>דבזה</w:t>
      </w:r>
      <w:proofErr w:type="spellEnd"/>
      <w:r>
        <w:rPr>
          <w:rtl/>
        </w:rPr>
        <w:t xml:space="preserve"> עליו להשליך יהבו על ה' ולהיות תמים עמו. אבל להפיל גורל בין שני אנשים כדי לברר למי שייך דבר מסוים או לחלק נחלה, ודאי </w:t>
      </w:r>
      <w:proofErr w:type="spellStart"/>
      <w:r>
        <w:rPr>
          <w:rtl/>
        </w:rPr>
        <w:t>דשפיר</w:t>
      </w:r>
      <w:proofErr w:type="spellEnd"/>
      <w:r>
        <w:rPr>
          <w:rtl/>
        </w:rPr>
        <w:t xml:space="preserve"> דמי, ולא שייך בזה חסרון בתמימות; שהרי מצינו שהיו </w:t>
      </w:r>
      <w:proofErr w:type="spellStart"/>
      <w:r>
        <w:rPr>
          <w:rtl/>
        </w:rPr>
        <w:t>מפילין</w:t>
      </w:r>
      <w:proofErr w:type="spellEnd"/>
      <w:r>
        <w:rPr>
          <w:rtl/>
        </w:rPr>
        <w:t xml:space="preserve"> גורלות בבית המקדש לסדר עבודת </w:t>
      </w:r>
      <w:proofErr w:type="spellStart"/>
      <w:r>
        <w:rPr>
          <w:rtl/>
        </w:rPr>
        <w:t>הכהנים</w:t>
      </w:r>
      <w:proofErr w:type="spellEnd"/>
      <w:r>
        <w:rPr>
          <w:rtl/>
        </w:rPr>
        <w:t>, וכן חלוקת הארץ נעשתה בגורל.</w:t>
      </w:r>
    </w:p>
    <w:p w14:paraId="6E94329C" w14:textId="77777777" w:rsidR="00AE2B13" w:rsidRDefault="00AE2B13" w:rsidP="00AE2B13">
      <w:pPr>
        <w:spacing w:after="140" w:line="300" w:lineRule="auto"/>
        <w:ind w:firstLine="240"/>
        <w:jc w:val="both"/>
        <w:rPr>
          <w:rtl/>
        </w:rPr>
      </w:pPr>
      <w:r>
        <w:rPr>
          <w:rtl/>
        </w:rPr>
        <w:t xml:space="preserve">ואף בשאלה על העתיד או בבקשת עצה, מצינו שנהגו ישראל לעשות "גורל בספר" לדעת הדרך ילכו בה. וכתב בשיורי ברכה (שם) בשם הילקוט: "אם בקשת ליטול עצה מן התורה - הוי נוטל", ומבואר שמותר לפתוח ספר תורה ולראות מהו הפסוק המזדמן לו ראשונה. והוסיף בשבט מוסר שקיבל מרבותיו, שבעת שהיו מסופקים בדבר מה, היו פותחים חומש או נ"ך ונוהגים כפי הפסוק שהיה עולה בראש הדף, ואין זה בכלל משתמש בתורה, אלא נטילת עצה ממנה. </w:t>
      </w:r>
    </w:p>
    <w:p w14:paraId="466671A0" w14:textId="77777777" w:rsidR="00AE2B13" w:rsidRDefault="00AE2B13" w:rsidP="00AE2B13">
      <w:pPr>
        <w:spacing w:after="140" w:line="300" w:lineRule="auto"/>
        <w:ind w:firstLine="240"/>
        <w:jc w:val="both"/>
        <w:rPr>
          <w:rtl/>
        </w:rPr>
      </w:pPr>
      <w:r>
        <w:rPr>
          <w:rtl/>
        </w:rPr>
        <w:t xml:space="preserve">ומזה השתלשל המנהג הידוע בפי כל כ'גורל </w:t>
      </w:r>
      <w:proofErr w:type="spellStart"/>
      <w:r>
        <w:rPr>
          <w:rtl/>
        </w:rPr>
        <w:t>הגר"א</w:t>
      </w:r>
      <w:proofErr w:type="spellEnd"/>
      <w:r>
        <w:rPr>
          <w:rtl/>
        </w:rPr>
        <w:t>', שרבים מגדולי ישראל סמכו עליו בעתות מצוקה וספק.</w:t>
      </w:r>
    </w:p>
    <w:p w14:paraId="6321D0C7" w14:textId="77777777" w:rsidR="00AE2B13" w:rsidRDefault="00AE2B13" w:rsidP="00AE2B13">
      <w:pPr>
        <w:spacing w:after="140" w:line="300" w:lineRule="auto"/>
        <w:ind w:firstLine="240"/>
        <w:jc w:val="both"/>
        <w:rPr>
          <w:rtl/>
        </w:rPr>
      </w:pPr>
      <w:r>
        <w:rPr>
          <w:rtl/>
        </w:rPr>
        <w:t>עוד יש להוסיף בחומר ענין הגורל, שהביא בכנסת הגדולה (</w:t>
      </w:r>
      <w:proofErr w:type="spellStart"/>
      <w:r>
        <w:rPr>
          <w:rtl/>
        </w:rPr>
        <w:t>חו"מ</w:t>
      </w:r>
      <w:proofErr w:type="spellEnd"/>
      <w:r>
        <w:rPr>
          <w:rtl/>
        </w:rPr>
        <w:t xml:space="preserve"> סי' </w:t>
      </w:r>
      <w:proofErr w:type="spellStart"/>
      <w:r>
        <w:rPr>
          <w:rtl/>
        </w:rPr>
        <w:t>קעג</w:t>
      </w:r>
      <w:proofErr w:type="spellEnd"/>
      <w:r>
        <w:rPr>
          <w:rtl/>
        </w:rPr>
        <w:t xml:space="preserve">) בשם שו"ת גאוני </w:t>
      </w:r>
      <w:proofErr w:type="spellStart"/>
      <w:r>
        <w:rPr>
          <w:rtl/>
        </w:rPr>
        <w:t>קדמאי</w:t>
      </w:r>
      <w:proofErr w:type="spellEnd"/>
      <w:r>
        <w:rPr>
          <w:rtl/>
        </w:rPr>
        <w:t xml:space="preserve">, שכל העובר על הגורל כעובר על עשרת הדברות. וביאר בחוות יאיר (סי' </w:t>
      </w:r>
      <w:proofErr w:type="spellStart"/>
      <w:r>
        <w:rPr>
          <w:rtl/>
        </w:rPr>
        <w:t>סא</w:t>
      </w:r>
      <w:proofErr w:type="spellEnd"/>
      <w:r>
        <w:rPr>
          <w:rtl/>
        </w:rPr>
        <w:t xml:space="preserve">) שהטעם הוא משום שהגורל הנעשה כהוגן יש בו מהשגחת הבורא יתברך, ולכן אם חל טעות בעשיית הגורל על ידי אדם, אין בו ממש, שהרי נתקלקל הצינור שדרכו מופיעה ההשגחה. [וכעין זה כתב </w:t>
      </w:r>
      <w:proofErr w:type="spellStart"/>
      <w:r>
        <w:rPr>
          <w:rtl/>
        </w:rPr>
        <w:t>מהר"י</w:t>
      </w:r>
      <w:proofErr w:type="spellEnd"/>
      <w:r>
        <w:rPr>
          <w:rtl/>
        </w:rPr>
        <w:t xml:space="preserve"> אסאד (יו"ד סי' </w:t>
      </w:r>
      <w:proofErr w:type="spellStart"/>
      <w:r>
        <w:rPr>
          <w:rtl/>
        </w:rPr>
        <w:t>רמג</w:t>
      </w:r>
      <w:proofErr w:type="spellEnd"/>
      <w:r>
        <w:rPr>
          <w:rtl/>
        </w:rPr>
        <w:t>) שהדבר תלוי בזכויותיו של אדם].</w:t>
      </w:r>
    </w:p>
    <w:p w14:paraId="34F176C0" w14:textId="23535157" w:rsidR="00C274B5" w:rsidRDefault="00AE2B13" w:rsidP="00AE2B13">
      <w:pPr>
        <w:spacing w:after="140" w:line="300" w:lineRule="auto"/>
        <w:ind w:firstLine="240"/>
        <w:jc w:val="both"/>
      </w:pPr>
      <w:r>
        <w:rPr>
          <w:rtl/>
        </w:rPr>
        <w:t xml:space="preserve">אמנם, לשיטת חלק מן האחרונים, אין ענין הגורל מורה על השגחה פלאית דווקא, אלא הוא בגדר הסכמה בעלמא והתחייבות הדדית בין אדם לחברו, שקיבלו על עצמם לעשות כפי שיעלה הגורל, ועל דעת כן </w:t>
      </w:r>
      <w:proofErr w:type="spellStart"/>
      <w:r>
        <w:rPr>
          <w:rtl/>
        </w:rPr>
        <w:t>נתקשרו</w:t>
      </w:r>
      <w:proofErr w:type="spellEnd"/>
      <w:r>
        <w:rPr>
          <w:rtl/>
        </w:rPr>
        <w:t xml:space="preserve"> ביניהם.</w:t>
      </w:r>
    </w:p>
    <w:sectPr w:rsidR="00C274B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 Ruhl Libre">
    <w:panose1 w:val="00000500000000000000"/>
    <w:charset w:val="00"/>
    <w:family w:val="auto"/>
    <w:pitch w:val="variable"/>
    <w:sig w:usb0="00000807" w:usb1="40000001" w:usb2="00000000" w:usb3="00000000" w:csb0="000000A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D425A"/>
    <w:multiLevelType w:val="hybridMultilevel"/>
    <w:tmpl w:val="613828C6"/>
    <w:lvl w:ilvl="0" w:tplc="ADAADDA2">
      <w:start w:val="1"/>
      <w:numFmt w:val="bullet"/>
      <w:lvlText w:val="●"/>
      <w:lvlJc w:val="left"/>
      <w:pPr>
        <w:ind w:left="720" w:hanging="360"/>
      </w:pPr>
    </w:lvl>
    <w:lvl w:ilvl="1" w:tplc="3A2041B4">
      <w:start w:val="1"/>
      <w:numFmt w:val="bullet"/>
      <w:lvlText w:val="○"/>
      <w:lvlJc w:val="left"/>
      <w:pPr>
        <w:ind w:left="1440" w:hanging="360"/>
      </w:pPr>
    </w:lvl>
    <w:lvl w:ilvl="2" w:tplc="F508C77A">
      <w:start w:val="1"/>
      <w:numFmt w:val="bullet"/>
      <w:lvlText w:val="■"/>
      <w:lvlJc w:val="left"/>
      <w:pPr>
        <w:ind w:left="2160" w:hanging="360"/>
      </w:pPr>
    </w:lvl>
    <w:lvl w:ilvl="3" w:tplc="11F43A96">
      <w:start w:val="1"/>
      <w:numFmt w:val="bullet"/>
      <w:lvlText w:val="●"/>
      <w:lvlJc w:val="left"/>
      <w:pPr>
        <w:ind w:left="2880" w:hanging="360"/>
      </w:pPr>
    </w:lvl>
    <w:lvl w:ilvl="4" w:tplc="192E4044">
      <w:start w:val="1"/>
      <w:numFmt w:val="bullet"/>
      <w:lvlText w:val="○"/>
      <w:lvlJc w:val="left"/>
      <w:pPr>
        <w:ind w:left="3600" w:hanging="360"/>
      </w:pPr>
    </w:lvl>
    <w:lvl w:ilvl="5" w:tplc="F6525130">
      <w:start w:val="1"/>
      <w:numFmt w:val="bullet"/>
      <w:lvlText w:val="■"/>
      <w:lvlJc w:val="left"/>
      <w:pPr>
        <w:ind w:left="4320" w:hanging="360"/>
      </w:pPr>
    </w:lvl>
    <w:lvl w:ilvl="6" w:tplc="01B61170">
      <w:start w:val="1"/>
      <w:numFmt w:val="bullet"/>
      <w:lvlText w:val="●"/>
      <w:lvlJc w:val="left"/>
      <w:pPr>
        <w:ind w:left="5040" w:hanging="360"/>
      </w:pPr>
    </w:lvl>
    <w:lvl w:ilvl="7" w:tplc="36C8DE44">
      <w:start w:val="1"/>
      <w:numFmt w:val="bullet"/>
      <w:lvlText w:val="●"/>
      <w:lvlJc w:val="left"/>
      <w:pPr>
        <w:ind w:left="5760" w:hanging="360"/>
      </w:pPr>
    </w:lvl>
    <w:lvl w:ilvl="8" w:tplc="5C78EE72">
      <w:start w:val="1"/>
      <w:numFmt w:val="bullet"/>
      <w:lvlText w:val="●"/>
      <w:lvlJc w:val="left"/>
      <w:pPr>
        <w:ind w:left="6480" w:hanging="360"/>
      </w:pPr>
    </w:lvl>
  </w:abstractNum>
  <w:num w:numId="1" w16cid:durableId="2005663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4B5"/>
    <w:rsid w:val="00486D0E"/>
    <w:rsid w:val="00AE2B13"/>
    <w:rsid w:val="00C274B5"/>
    <w:rsid w:val="00CF11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7622"/>
  <w15:docId w15:val="{FD034430-7370-4905-88CB-D4D1D5FA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 Ruhl Libre" w:eastAsia="Frank Ruhl Libre" w:hAnsi="Frank Ruhl Libre" w:cs="Frank Ruhl Libre"/>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1498</Words>
  <Characters>7491</Characters>
  <Application>Microsoft Office Word</Application>
  <DocSecurity>0</DocSecurity>
  <Lines>62</Lines>
  <Paragraphs>17</Paragraphs>
  <ScaleCrop>false</ScaleCrop>
  <HeadingPairs>
    <vt:vector size="2" baseType="variant">
      <vt:variant>
        <vt:lpstr>שם</vt:lpstr>
      </vt:variant>
      <vt:variant>
        <vt:i4>1</vt:i4>
      </vt:variant>
    </vt:vector>
  </HeadingPairs>
  <TitlesOfParts>
    <vt:vector size="1" baseType="lpstr">
      <vt:lpstr>פרדס התורה - פרשת שופטים תשפ"ה</vt:lpstr>
    </vt:vector>
  </TitlesOfParts>
  <Company/>
  <LinksUpToDate>false</LinksUpToDate>
  <CharactersWithSpaces>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פרדס התורה - פרשת שופטים תשפ"ה</dc:title>
  <dc:creator>Slavita Publishing</dc:creator>
  <cp:lastModifiedBy>אשר</cp:lastModifiedBy>
  <cp:revision>2</cp:revision>
  <dcterms:created xsi:type="dcterms:W3CDTF">2026-07-01T11:58:00Z</dcterms:created>
  <dcterms:modified xsi:type="dcterms:W3CDTF">2026-07-01T11:58:00Z</dcterms:modified>
</cp:coreProperties>
</file>