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"/>
    <w:p>
      <w:pPr>
        <w:pStyle w:val="Heading3"/>
      </w:pPr>
    </w:p>
    <w:bookmarkEnd w:id="20"/>
    <w:bookmarkStart w:id="22" w:name="формула-для-расчета-auc"/>
    <w:p>
      <w:pPr>
        <w:pStyle w:val="Heading3"/>
      </w:pPr>
      <w:r>
        <w:t xml:space="preserve">Формула для расчета AUC</w:t>
      </w:r>
    </w:p>
    <w:p>
      <w:pPr>
        <w:pStyle w:val="FirstParagraph"/>
      </w:pPr>
      <w:r>
        <w:t xml:space="preserve">AUC вычисляется как площадь под кривой ROC (Receiver Operating Characteristic), которая строится на основе значений истинных положительных и ложных положительных классификаций при различных порогах.</w:t>
      </w:r>
    </w:p>
    <w:bookmarkStart w:id="21" w:name="шаги-для-расчета-auc"/>
    <w:p>
      <w:pPr>
        <w:pStyle w:val="Heading4"/>
      </w:pPr>
      <w:r>
        <w:t xml:space="preserve">Шаги для расчета AUC: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Построение кривой ROC: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True Positive Rate (TPR)</w:t>
      </w:r>
      <w:r>
        <w:t xml:space="preserve">: Это доля правильных положительных классификаций (т.е. дефолтных заемщиков, которых модель правильно классифицировала как дефолтных).</w:t>
      </w:r>
      <w:r>
        <w:t xml:space="preserve"> </w:t>
      </w:r>
      <m:oMath>
        <m:r>
          <m:rPr>
            <m:nor/>
            <m:sty m:val="p"/>
          </m:rPr>
          <m:t>TPR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True Positives (TP)</m:t>
            </m:r>
          </m:num>
          <m:den>
            <m:r>
              <m:rPr>
                <m:nor/>
                <m:sty m:val="p"/>
              </m:rPr>
              <m:t>True Positives (TP)</m:t>
            </m:r>
            <m:r>
              <m:rPr>
                <m:sty m:val="p"/>
              </m:rPr>
              <m:t>+</m:t>
            </m:r>
            <m:r>
              <m:rPr>
                <m:nor/>
                <m:sty m:val="p"/>
              </m:rPr>
              <m:t>False Negatives (FN)</m:t>
            </m:r>
          </m:den>
        </m:f>
      </m:oMath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False Positive Rate (FPR)</w:t>
      </w:r>
      <w:r>
        <w:t xml:space="preserve">: Это доля ложных положительных классификаций (т.е. заемщиков, которых модель ошибочно классифицировала как дефолтных).</w:t>
      </w:r>
      <w:r>
        <w:t xml:space="preserve"> </w:t>
      </w:r>
      <m:oMath>
        <m:r>
          <m:rPr>
            <m:nor/>
            <m:sty m:val="p"/>
          </m:rPr>
          <m:t>FPR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False Positives (FP)</m:t>
            </m:r>
          </m:num>
          <m:den>
            <m:r>
              <m:rPr>
                <m:nor/>
                <m:sty m:val="p"/>
              </m:rPr>
              <m:t>False Positives (FP)</m:t>
            </m:r>
            <m:r>
              <m:rPr>
                <m:sty m:val="p"/>
              </m:rPr>
              <m:t>+</m:t>
            </m:r>
            <m:r>
              <m:rPr>
                <m:nor/>
                <m:sty m:val="p"/>
              </m:rPr>
              <m:t>True Negatives (TN)</m:t>
            </m:r>
          </m:den>
        </m:f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Построение ROC-кривой:</w:t>
      </w:r>
      <w:r>
        <w:t xml:space="preserve"> </w:t>
      </w:r>
      <w:r>
        <w:t xml:space="preserve">На графике, где ось X — это FPR, а ось Y — это TPR, строится кривая, которая показывает, как меняются значения TPR и FPR при различных порогах классификации.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Расчет AUC:</w:t>
      </w:r>
      <w:r>
        <w:t xml:space="preserve"> </w:t>
      </w:r>
      <w:r>
        <w:t xml:space="preserve">Площадь под ROC-кривой вычисляется интегрированием функции TPR относительно FPR. Эта площадь и будет являться значением AUC:</w:t>
      </w:r>
    </w:p>
    <w:p>
      <w:pPr>
        <w:numPr>
          <w:ilvl w:val="0"/>
          <w:numId w:val="1000"/>
        </w:numPr>
      </w:pPr>
      <m:oMath>
        <m:r>
          <m:rPr>
            <m:nor/>
            <m:sty m:val="p"/>
          </m:rPr>
          <m:t>AUC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r>
              <m:rPr>
                <m:nor/>
                <m:sty m:val="p"/>
              </m:rPr>
              <m:t>TPR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P</m:t>
            </m:r>
            <m:r>
              <m:t>R</m:t>
            </m:r>
          </m:e>
        </m:d>
        <m:r>
          <m:t> 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P</m:t>
            </m:r>
            <m:r>
              <m:t>R</m:t>
            </m:r>
          </m:e>
        </m:d>
      </m:oMath>
    </w:p>
    <w:p>
      <w:pPr>
        <w:numPr>
          <w:ilvl w:val="0"/>
          <w:numId w:val="1000"/>
        </w:numPr>
      </w:pPr>
      <w:r>
        <w:t xml:space="preserve">В реальных вычислениях AUC обычно рассчитывается с использованием численных методов, таких как метод трапеций, для аппроксимации площади под ROC-кривой.</w:t>
      </w:r>
    </w:p>
    <w:bookmarkEnd w:id="21"/>
    <w:bookmarkEnd w:id="22"/>
    <w:bookmarkStart w:id="23" w:name="простое-приближенное-вычисление-auc"/>
    <w:p>
      <w:pPr>
        <w:pStyle w:val="Heading3"/>
      </w:pPr>
      <w:r>
        <w:t xml:space="preserve">Простое приближенное вычисление AUC:</w:t>
      </w:r>
    </w:p>
    <w:p>
      <w:pPr>
        <w:pStyle w:val="FirstParagraph"/>
      </w:pPr>
      <w:r>
        <w:t xml:space="preserve">Для дискретных данных AUC можно вычислить по следующей формуле:</w:t>
      </w:r>
    </w:p>
    <w:p>
      <w:pPr>
        <w:pStyle w:val="BodyText"/>
      </w:pPr>
      <m:oMath>
        <m:r>
          <m:rPr>
            <m:nor/>
            <m:sty m:val="p"/>
          </m:rPr>
          <m:t>AUC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sup>
              <m:e>
                <m:r>
                  <m:t>1</m:t>
                </m:r>
              </m:e>
            </m:nary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&gt;</m:t>
            </m:r>
            <m:sSub>
              <m:e>
                <m:r>
                  <m:t>s</m:t>
                </m:r>
              </m:e>
              <m:sub>
                <m:r>
                  <m:t>j</m:t>
                </m:r>
              </m:sub>
            </m:sSub>
          </m:e>
        </m:d>
      </m:oMath>
    </w:p>
    <w:p>
      <w:pPr>
        <w:pStyle w:val="BodyText"/>
      </w:pPr>
      <w:r>
        <w:t xml:space="preserve">где: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— количество положительных примеров (например, дефолтных заемщиков),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— количество отрицательных примеров (например, заемщиков без дефолта),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— прогнозируемые вероятности дефолта для положительных и отрицательных примеров соответственно,</w:t>
      </w:r>
    </w:p>
    <w:p>
      <w:pPr>
        <w:pStyle w:val="Compact"/>
        <w:numPr>
          <w:ilvl w:val="0"/>
          <w:numId w:val="1003"/>
        </w:numPr>
      </w:pPr>
      <m:oMath>
        <m:r>
          <m:t>1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&gt;</m:t>
            </m:r>
            <m:sSub>
              <m:e>
                <m:r>
                  <m:t>s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— индикаторная функция, которая равна 1, если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(т.е. если модель присвоила более высокий риск дефолта положительному примеру, чем отрицательному), и 0 в противном случае.</w:t>
      </w:r>
    </w:p>
    <w:p>
      <w:pPr>
        <w:pStyle w:val="FirstParagraph"/>
      </w:pPr>
      <w:r>
        <w:t xml:space="preserve">Это выражение подсчитывает количество всех пар из положительных и отрицательных примеров, в которых модель правильно классифицировала положительный пример с более высокой вероятностью дефолта, чем отрицательный.</w:t>
      </w:r>
    </w:p>
    <w:p>
      <w:r>
        <w:pict>
          <v:rect style="width:0;height:1.5pt" o:hralign="center" o:hrstd="t" o:hr="t"/>
        </w:pict>
      </w:r>
    </w:p>
    <w:bookmarkEnd w:id="23"/>
    <w:bookmarkStart w:id="24" w:name="интерпретация-значения-auc"/>
    <w:p>
      <w:pPr>
        <w:pStyle w:val="Heading3"/>
      </w:pPr>
      <w:r>
        <w:t xml:space="preserve">Интерпретация значения AUC: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AUC = 0.5</w:t>
      </w:r>
      <w:r>
        <w:t xml:space="preserve">: Модель не лучше случайного классификатора, т.е. она не может отличить положительные примеры от отрицательных (кривая ROC совпадает с диагональю).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AUC &gt; 0.5</w:t>
      </w:r>
      <w:r>
        <w:t xml:space="preserve">: Модель имеет некоторую предсказательную способность, и чем выше значение AUC, тем лучше она различает дефолтных заемщиков от недефолтных.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AUC = 1</w:t>
      </w:r>
      <w:r>
        <w:t xml:space="preserve">: Модель идеально классифицирует все примеры.</w:t>
      </w:r>
    </w:p>
    <w:p>
      <w:pPr>
        <w:pStyle w:val="FirstParagraph"/>
      </w:pPr>
      <w:r>
        <w:t xml:space="preserve">Для практических целей AUC обычно используется как один из ключевых индикаторов качества модели, особенно когда важен баланс между правильным и ложным распознаванием дефолтов.</w:t>
      </w:r>
    </w:p>
    <w:p>
      <w:pPr>
        <w:pStyle w:val="BodyText"/>
      </w:pPr>
      <w:r>
        <w:t xml:space="preserve">AUC (Area Under the Curve) — это метрика, используемая для оценки качества классификатора, которая измеряет способность модели различать положительные и отрицательные классы. В контексте модели PD Lifetime, AUC будет оценивать, насколько хорошо модель различает дефолтных и не дефолтных заемщиков.</w:t>
      </w:r>
    </w:p>
    <w:bookmarkEnd w:id="24"/>
    <w:bookmarkStart w:id="26" w:name="формула-для-расчета-auc-1"/>
    <w:p>
      <w:pPr>
        <w:pStyle w:val="Heading3"/>
      </w:pPr>
      <w:r>
        <w:t xml:space="preserve">Формула для расчета AUC</w:t>
      </w:r>
    </w:p>
    <w:p>
      <w:pPr>
        <w:pStyle w:val="FirstParagraph"/>
      </w:pPr>
      <w:r>
        <w:t xml:space="preserve">AUC вычисляется как площадь под кривой ROC (Receiver Operating Characteristic), которая строится на основе значений истинных положительных и ложных положительных классификаций при различных порогах.</w:t>
      </w:r>
    </w:p>
    <w:bookmarkStart w:id="25" w:name="шаги-для-расчета-auc-1"/>
    <w:p>
      <w:pPr>
        <w:pStyle w:val="Heading4"/>
      </w:pPr>
      <w:r>
        <w:t xml:space="preserve">Шаги для расчета AUC: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Построение кривой ROC: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True Positive Rate (TPR)</w:t>
      </w:r>
      <w:r>
        <w:t xml:space="preserve">: Это доля правильных положительных классификаций (т.е. дефолтных заемщиков, которых модель правильно классифицировала как дефолтных).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TPR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True Positives (TP)</m:t>
              </m:r>
            </m:num>
            <m:den>
              <m:r>
                <m:rPr>
                  <m:nor/>
                  <m:sty m:val="p"/>
                </m:rPr>
                <m:t>True Positives (TP)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False Negatives (FN)</m:t>
              </m:r>
            </m:den>
          </m:f>
        </m:oMath>
      </m:oMathPara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False Positive Rate (FPR)</w:t>
      </w:r>
      <w:r>
        <w:t xml:space="preserve">: Это доля ложных положительных классификаций (т.е. заемщиков, которых модель ошибочно классифицировала как дефолтных).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FPR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False Positives (FP)</m:t>
              </m:r>
            </m:num>
            <m:den>
              <m:r>
                <m:rPr>
                  <m:nor/>
                  <m:sty m:val="p"/>
                </m:rPr>
                <m:t>False Positives (FP)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True Negatives (TN)</m:t>
              </m:r>
            </m:den>
          </m:f>
        </m:oMath>
      </m:oMathPara>
    </w:p>
    <w:p>
      <w:pPr>
        <w:numPr>
          <w:ilvl w:val="0"/>
          <w:numId w:val="1005"/>
        </w:numPr>
      </w:pPr>
      <w:r>
        <w:rPr>
          <w:b/>
          <w:bCs/>
        </w:rPr>
        <w:t xml:space="preserve">Построение ROC-кривой:</w:t>
      </w:r>
      <w:r>
        <w:t xml:space="preserve"> </w:t>
      </w:r>
      <w:r>
        <w:t xml:space="preserve">На графике, где ось X — это FPR, а ось Y — это TPR, строится кривая, которая показывает, как меняются значения TPR и FPR при различных порогах классификации.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Расчет AUC:</w:t>
      </w:r>
      <w:r>
        <w:t xml:space="preserve"> </w:t>
      </w:r>
      <w:r>
        <w:t xml:space="preserve">Площадь под ROC-кривой вычисляется интегрированием функции TPR относительно FPR. Эта площадь и будет являться значением AUC: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AUC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r>
                <m:rPr>
                  <m:nor/>
                  <m:sty m:val="p"/>
                </m:rPr>
                <m:t>TPR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P</m:t>
              </m:r>
              <m:r>
                <m:t>R</m:t>
              </m:r>
            </m:e>
          </m:d>
          <m:r>
            <m:t> 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P</m:t>
              </m:r>
              <m:r>
                <m:t>R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В реальных вычислениях AUC обычно рассчитывается с использованием численных методов, таких как метод трапеций, для аппроксимации площади под ROC-кривой.</w:t>
      </w:r>
    </w:p>
    <w:bookmarkEnd w:id="25"/>
    <w:bookmarkEnd w:id="26"/>
    <w:bookmarkStart w:id="27" w:name="простое-приближенное-вычисление-auc-1"/>
    <w:p>
      <w:pPr>
        <w:pStyle w:val="Heading3"/>
      </w:pPr>
      <w:r>
        <w:t xml:space="preserve">Простое приближенное вычисление AUC:</w:t>
      </w:r>
    </w:p>
    <w:p>
      <w:pPr>
        <w:pStyle w:val="FirstParagraph"/>
      </w:pPr>
      <w:r>
        <w:t xml:space="preserve">Для дискретных данных AUC можно вычислить по следующей формуле: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AUC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  <m:e>
                  <m:r>
                    <m:t>1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— количество положительных примеров (например, дефолтных заемщиков),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— количество отрицательных примеров (например, заемщиков без дефолта),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— прогнозируемые вероятности дефолта для положительных и отрицательных примеров соответственно,</w:t>
      </w:r>
    </w:p>
    <w:p>
      <w:pPr>
        <w:pStyle w:val="Compact"/>
        <w:numPr>
          <w:ilvl w:val="0"/>
          <w:numId w:val="1007"/>
        </w:numPr>
      </w:pPr>
      <m:oMath>
        <m:r>
          <m:t>1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&gt;</m:t>
            </m:r>
            <m:sSub>
              <m:e>
                <m:r>
                  <m:t>s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— индикаторная функция, которая равна 1, если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(т.е. если модель присвоила более высокий риск дефолта положительному примеру, чем отрицательному), и 0 в противном случае.</w:t>
      </w:r>
    </w:p>
    <w:p>
      <w:pPr>
        <w:pStyle w:val="FirstParagraph"/>
      </w:pPr>
      <w:r>
        <w:t xml:space="preserve">Это выражение подсчитывает количество всех пар из положительных и отрицательных примеров, в которых модель правильно классифицировала положительный пример с более высокой вероятностью дефолта, чем отрицательный.</w:t>
      </w:r>
    </w:p>
    <w:p>
      <w:r>
        <w:pict>
          <v:rect style="width:0;height:1.5pt" o:hralign="center" o:hrstd="t" o:hr="t"/>
        </w:pict>
      </w:r>
    </w:p>
    <w:bookmarkEnd w:id="27"/>
    <w:bookmarkStart w:id="28" w:name="интерпретация-значения-auc-1"/>
    <w:p>
      <w:pPr>
        <w:pStyle w:val="Heading3"/>
      </w:pPr>
      <w:r>
        <w:t xml:space="preserve">Интерпретация значения AUC: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AUC = 0.5</w:t>
      </w:r>
      <w:r>
        <w:t xml:space="preserve">: Модель не лучше случайного классификатора, т.е. она не может отличить положительные примеры от отрицательных (кривая ROC совпадает с диагональю).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AUC &gt; 0.5</w:t>
      </w:r>
      <w:r>
        <w:t xml:space="preserve">: Модель имеет некоторую предсказательную способность, и чем выше значение AUC, тем лучше она различает дефолтных заемщиков от недефолтных.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AUC = 1</w:t>
      </w:r>
      <w:r>
        <w:t xml:space="preserve">: Модель идеально классифицирует все примеры.</w:t>
      </w:r>
    </w:p>
    <w:p>
      <w:pPr>
        <w:pStyle w:val="FirstParagraph"/>
      </w:pPr>
      <w:r>
        <w:t xml:space="preserve">Для практических целей AUC обычно используется как один из ключевых индикаторов качества модели, особенно когда важен баланс между правильным и ложным распознаванием дефолтов.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