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97d7df3e5363ba2e25fb3b6523b76f4884cb235"/>
    <w:p>
      <w:pPr>
        <w:pStyle w:val="Heading3"/>
      </w:pPr>
      <w:r>
        <w:t xml:space="preserve">Оценка модели с помощью бэктеста (Backtesting)</w:t>
      </w:r>
    </w:p>
    <w:p>
      <w:pPr>
        <w:pStyle w:val="FirstParagraph"/>
      </w:pPr>
      <w:r>
        <w:t xml:space="preserve">Бэктестирование (backtesting) — это методика оценки точности модели, основанная на её применении к историческим данным. Бэктест позволяет проверить, как бы модель предсказала поведение дефолтов на основе прошлых данных, что дает представление о её качестве и применимости в реальных условиях.</w:t>
      </w:r>
    </w:p>
    <w:p>
      <w:pPr>
        <w:pStyle w:val="BodyText"/>
      </w:pPr>
      <w:r>
        <w:t xml:space="preserve">Для модели PD Lifetime бэктестирование помогает оценить, насколько хорошо она прогнозирует вероятности дефолта на различные горизонты на основе исторической информации.</w:t>
      </w:r>
    </w:p>
    <w:bookmarkStart w:id="20" w:name="этапы-бэктестирования-модели-pd-lifetime"/>
    <w:p>
      <w:pPr>
        <w:pStyle w:val="Heading4"/>
      </w:pPr>
      <w:r>
        <w:t xml:space="preserve">Этапы бэктестирования модели PD Lifetime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Выбор исторических данных</w:t>
      </w:r>
      <w:r>
        <w:br/>
      </w:r>
      <w:r>
        <w:t xml:space="preserve">Для бэктестирования выбираются исторические данные, которые содержат информацию о фактических дефолтах и соответствующие им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или другие входные параметры, которые использовались для калибровки модели.</w:t>
      </w:r>
      <w:r>
        <w:br/>
      </w:r>
      <w:r>
        <w:t xml:space="preserve">Эти данные могут включать:</w:t>
      </w:r>
    </w:p>
    <w:p>
      <w:pPr>
        <w:pStyle w:val="Compact"/>
        <w:numPr>
          <w:ilvl w:val="1"/>
          <w:numId w:val="1002"/>
        </w:numPr>
      </w:pPr>
      <w:r>
        <w:t xml:space="preserve">Историческую информацию о дефолтах (например, дефолты заемщиков по категориям).</w:t>
      </w:r>
    </w:p>
    <w:p>
      <w:pPr>
        <w:pStyle w:val="Compact"/>
        <w:numPr>
          <w:ilvl w:val="1"/>
          <w:numId w:val="1002"/>
        </w:numPr>
      </w:pPr>
      <w:r>
        <w:t xml:space="preserve">Прогнозируемые моделью вероятности дефолта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или аналогичные переменные.</w:t>
      </w:r>
    </w:p>
    <w:p>
      <w:pPr>
        <w:pStyle w:val="Compact"/>
        <w:numPr>
          <w:ilvl w:val="1"/>
          <w:numId w:val="1002"/>
        </w:numPr>
      </w:pPr>
      <w:r>
        <w:t xml:space="preserve">Дополнительные факторы риска, если они были использованы в модели (например, макроэкономические переменные).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Генерация прогнозов с использованием модели</w:t>
      </w:r>
      <w:r>
        <w:br/>
      </w:r>
      <w:r>
        <w:t xml:space="preserve">Примените модель PD Lifetime к историческим данным и генерируйте прогнозы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(например, на 2, 3, 4 года) для каждого объекта данных.</w:t>
      </w:r>
      <w:r>
        <w:br/>
      </w:r>
      <w:r>
        <w:t xml:space="preserve">Модель будет прогнозировать вероятности дефолта на разных временных горизонтах, используя исходные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Формирование группы для бэктестирования</w:t>
      </w:r>
      <w:r>
        <w:br/>
      </w:r>
      <w:r>
        <w:t xml:space="preserve">Разделите заемщиков на группы в зависимости от их прогнозируемых значений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. Например, вы можете сформировать группы с низким, средним и высоким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, или использовать процентильные группы (например, 0-20%, 21-40%, 41-60%, и так далее).</w:t>
      </w:r>
      <w:r>
        <w:br/>
      </w:r>
      <w:r>
        <w:t xml:space="preserve">Это поможет оценить, как модель справляется с прогнозированием дефолтов для различных категорий заемщиков.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Сравнение прогнозируемых и фактических дефолтов</w:t>
      </w:r>
      <w:r>
        <w:br/>
      </w:r>
      <w:r>
        <w:t xml:space="preserve">Сравните прогнозируемые моделью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с фактическим результатом (дефолт или нет) для каждого заемщика.</w:t>
      </w:r>
      <w:r>
        <w:br/>
      </w:r>
      <w:r>
        <w:t xml:space="preserve">Можно использовать следующие подходы: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Конфигурация ошибок:</w:t>
      </w:r>
      <w:r>
        <w:t xml:space="preserve"> </w:t>
      </w:r>
      <w:r>
        <w:t xml:space="preserve">Подсчитайте количество ложных срабатываний (заемщики, у которых модель предсказала дефолт, но дефолта не произошло) и упущенных дефолтов (заемщики, для которых модель не предсказала дефолт, но дефолт произошел).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Реальные дефолты против прогнозируемых:</w:t>
      </w:r>
      <w:r>
        <w:t xml:space="preserve"> </w:t>
      </w:r>
      <w:r>
        <w:t xml:space="preserve">Сравните процент дефолтов в каждой группе с прогнозируемым значением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для этой группы. Например, если группа с прогнозируемым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</m:oMath>
      <w:r>
        <w:t xml:space="preserve"> </w:t>
      </w:r>
      <w:r>
        <w:t xml:space="preserve">= 10% имеет фактический уровень дефолтов 12%, это может свидетельствовать о проблемах в калибровке.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Оценка точности модели</w:t>
      </w:r>
      <w:r>
        <w:br/>
      </w:r>
      <w:r>
        <w:t xml:space="preserve">Для оценки качества прогнозов можно использовать следующие метрики: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AUC (Area Under the ROC Curve):</w:t>
      </w:r>
      <w:r>
        <w:t xml:space="preserve"> </w:t>
      </w:r>
      <w:r>
        <w:t xml:space="preserve">Эта метрика измеряет дискриминирующую способность модели, то есть её способность правильно отличать дефолтных заемщиков от не дефолтных.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Gini Coefficient:</w:t>
      </w:r>
      <w:r>
        <w:t xml:space="preserve"> </w:t>
      </w:r>
      <w:r>
        <w:t xml:space="preserve">Это также мера дискриминации, тесно связанная с AUC, показывающая, насколько хорошо модель разделяет дефолтных и не дефолтных заемщиков.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Brier Score:</w:t>
      </w:r>
      <w:r>
        <w:t xml:space="preserve"> </w:t>
      </w:r>
      <w:r>
        <w:t xml:space="preserve">Эта метрика измеряет точность вероятностных прогнозов модели. Она учитывает как точность предсказаний, так и их уверенность.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KS-Statistic (Kolmogorov-Smirnov statistic):</w:t>
      </w:r>
      <w:r>
        <w:t xml:space="preserve"> </w:t>
      </w:r>
      <w:r>
        <w:t xml:space="preserve">Эта метрика помогает оценить разницу между кумулятивными распределениями предсказанных вероятностей дефолта для дефолтных и не дефолтных заемщиков.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Оценка качественного соответствия (Calibration Check)</w:t>
      </w:r>
      <w:r>
        <w:br/>
      </w:r>
      <w:r>
        <w:t xml:space="preserve">Один из важных аспектов бэктестирования — это оценка калибровки модели, то есть насколько хорошо прогнозируемая вероятность дефолта соответствует фактической вероятности. Для этого можно построить</w:t>
      </w:r>
      <w:r>
        <w:t xml:space="preserve"> </w:t>
      </w:r>
      <w:r>
        <w:rPr>
          <w:b/>
          <w:bCs/>
        </w:rPr>
        <w:t xml:space="preserve">калибровочные кривые</w:t>
      </w:r>
      <w:r>
        <w:t xml:space="preserve"> </w:t>
      </w:r>
      <w:r>
        <w:t xml:space="preserve">и сравнить их с идеальными линиями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где прогнозируемые вероятности равны фактическим.</w:t>
      </w:r>
    </w:p>
    <w:p>
      <w:pPr>
        <w:pStyle w:val="Compact"/>
        <w:numPr>
          <w:ilvl w:val="1"/>
          <w:numId w:val="1005"/>
        </w:numPr>
      </w:pPr>
      <w:r>
        <w:t xml:space="preserve">Разделите заемщиков на группы по прогнозируемым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и подсчитайте фактические дефолты в этих группах.</w:t>
      </w:r>
    </w:p>
    <w:p>
      <w:pPr>
        <w:pStyle w:val="Compact"/>
        <w:numPr>
          <w:ilvl w:val="1"/>
          <w:numId w:val="1005"/>
        </w:numPr>
      </w:pPr>
      <w:r>
        <w:t xml:space="preserve">Постройте калибровочную кривую и оцените, насколько она отклоняется от линии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Сравнение с альтернативными моделями</w:t>
      </w:r>
      <w:r>
        <w:br/>
      </w:r>
      <w:r>
        <w:t xml:space="preserve">Помимо сравнения с фактическими дефолтами, полезно провести бэктестирование модели PD Lifetime на фоне альтернативных моделей (например, моделей, использующих другие подходы для прогнозирования дефолта).</w:t>
      </w:r>
      <w:r>
        <w:br/>
      </w:r>
      <w:r>
        <w:t xml:space="preserve">Сравнив результаты, можно выявить сильные и слабые стороны модели.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Xbe04280b4ab79700b1539e3a3137293fd82ff46"/>
    <w:p>
      <w:pPr>
        <w:pStyle w:val="Heading3"/>
      </w:pPr>
      <w:r>
        <w:t xml:space="preserve">Пример процесса бэктестирования для модели PD Lifetime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Шаг 1: Применение модели</w:t>
      </w:r>
      <w:r>
        <w:br/>
      </w:r>
      <w:r>
        <w:t xml:space="preserve">Примените модель PD Lifetime для предсказания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3</m:t>
            </m:r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4</m:t>
            </m:r>
            <m:r>
              <m:t>Y</m:t>
            </m:r>
          </m:sub>
        </m:sSub>
      </m:oMath>
      <w:r>
        <w:t xml:space="preserve"> </w:t>
      </w:r>
      <w:r>
        <w:t xml:space="preserve">на исторических данных заемщиков.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Шаг 2: Формирование групп по прогнозам</w:t>
      </w:r>
      <w:r>
        <w:br/>
      </w:r>
      <w:r>
        <w:t xml:space="preserve">Разделите заемщиков на 5 групп по прогнозируемым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</m:oMath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Группа 1: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  <m:r>
          <m:rPr>
            <m:sty m:val="p"/>
          </m:rPr>
          <m:t>≤</m:t>
        </m:r>
        <m:r>
          <m:t>5</m:t>
        </m:r>
        <m:r>
          <m:rPr>
            <m:sty m:val="p"/>
          </m:rPr>
          <m:t>%</m:t>
        </m:r>
      </m:oMath>
    </w:p>
    <w:p>
      <w:pPr>
        <w:pStyle w:val="Compact"/>
        <w:numPr>
          <w:ilvl w:val="1"/>
          <w:numId w:val="1007"/>
        </w:numPr>
      </w:pPr>
      <w:r>
        <w:t xml:space="preserve">Группа 2: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  <m:r>
          <m:rPr>
            <m:sty m:val="p"/>
          </m:rPr>
          <m:t>≤</m:t>
        </m:r>
        <m:r>
          <m:t>10</m:t>
        </m:r>
        <m:r>
          <m:rPr>
            <m:sty m:val="p"/>
          </m:rPr>
          <m:t>%</m:t>
        </m:r>
      </m:oMath>
    </w:p>
    <w:p>
      <w:pPr>
        <w:pStyle w:val="Compact"/>
        <w:numPr>
          <w:ilvl w:val="1"/>
          <w:numId w:val="1007"/>
        </w:numPr>
      </w:pPr>
      <w:r>
        <w:t xml:space="preserve">Группа 3: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  <m:r>
          <m:rPr>
            <m:sty m:val="p"/>
          </m:rPr>
          <m:t>≤</m:t>
        </m:r>
        <m:r>
          <m:t>20</m:t>
        </m:r>
        <m:r>
          <m:rPr>
            <m:sty m:val="p"/>
          </m:rPr>
          <m:t>%</m:t>
        </m:r>
      </m:oMath>
    </w:p>
    <w:p>
      <w:pPr>
        <w:pStyle w:val="Compact"/>
        <w:numPr>
          <w:ilvl w:val="1"/>
          <w:numId w:val="1007"/>
        </w:numPr>
      </w:pPr>
      <w:r>
        <w:t xml:space="preserve">Группа 4:</w:t>
      </w:r>
      <w:r>
        <w:t xml:space="preserve"> </w:t>
      </w:r>
      <m:oMath>
        <m:r>
          <m:t>20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  <m:r>
          <m:rPr>
            <m:sty m:val="p"/>
          </m:rPr>
          <m:t>≤</m:t>
        </m:r>
        <m:r>
          <m:t>30</m:t>
        </m:r>
        <m:r>
          <m:rPr>
            <m:sty m:val="p"/>
          </m:rPr>
          <m:t>%</m:t>
        </m:r>
      </m:oMath>
    </w:p>
    <w:p>
      <w:pPr>
        <w:pStyle w:val="Compact"/>
        <w:numPr>
          <w:ilvl w:val="1"/>
          <w:numId w:val="1007"/>
        </w:numPr>
      </w:pPr>
      <w:r>
        <w:t xml:space="preserve">Группа 5: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  <m:r>
          <m:rPr>
            <m:sty m:val="p"/>
          </m:rPr>
          <m:t>&gt;</m:t>
        </m:r>
        <m:r>
          <m:t>30</m:t>
        </m:r>
        <m:r>
          <m:rPr>
            <m:sty m:val="p"/>
          </m:rPr>
          <m:t>%</m:t>
        </m:r>
      </m:oMath>
    </w:p>
    <w:p>
      <w:pPr>
        <w:numPr>
          <w:ilvl w:val="0"/>
          <w:numId w:val="1006"/>
        </w:numPr>
      </w:pPr>
      <w:r>
        <w:rPr>
          <w:b/>
          <w:bCs/>
        </w:rPr>
        <w:t xml:space="preserve">Шаг 3: Сравнение с фактическими дефолтами</w:t>
      </w:r>
      <w:r>
        <w:br/>
      </w:r>
      <w:r>
        <w:t xml:space="preserve">Для каждой группы заемщиков подсчитайте фактический процент дефолтов.</w:t>
      </w:r>
      <w:r>
        <w:br/>
      </w:r>
      <w:r>
        <w:t xml:space="preserve">Например, в группе с прогнозируемым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</m:oMath>
      <w:r>
        <w:t xml:space="preserve"> </w:t>
      </w:r>
      <w:r>
        <w:t xml:space="preserve">= 10% фактический процент дефолтов может составить 12%.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Шаг 4: Оценка метрик</w:t>
      </w:r>
      <w:r>
        <w:br/>
      </w:r>
      <w:r>
        <w:t xml:space="preserve">Рассчитайте AUC, Brier Score, и другие метрики для всех групп и на уровне всей выборки, чтобы оценить качество модели в различных сегментах.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Шаг 5: Оценка калибровки</w:t>
      </w:r>
      <w:r>
        <w:br/>
      </w:r>
      <w:r>
        <w:t xml:space="preserve">Постройте калибровочные кривые для каждой группы и сравните с идеальными кривыми, чтобы понять, насколько хорошо модель согласуется с реальными дефолтами.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Шаг 6: Анализ ошибок</w:t>
      </w:r>
      <w:r>
        <w:br/>
      </w:r>
      <w:r>
        <w:t xml:space="preserve">Изучите ошибки: ложные срабатывания и упущенные дефолты, чтобы понять, где модель работает хуже всего.</w:t>
      </w:r>
    </w:p>
    <w:p>
      <w:r>
        <w:pict>
          <v:rect style="width:0;height:1.5pt" o:hralign="center" o:hrstd="t" o:hr="t"/>
        </w:pict>
      </w:r>
    </w:p>
    <w:bookmarkEnd w:id="22"/>
    <w:bookmarkStart w:id="25" w:name="X90634c94c0d68cbac6e98a42816df5fbb24179f"/>
    <w:p>
      <w:pPr>
        <w:pStyle w:val="Heading3"/>
      </w:pPr>
      <w:r>
        <w:t xml:space="preserve">Преимущества и ограничения бэктестирования</w:t>
      </w:r>
    </w:p>
    <w:bookmarkStart w:id="23" w:name="преимущества"/>
    <w:p>
      <w:pPr>
        <w:pStyle w:val="Heading4"/>
      </w:pPr>
      <w:r>
        <w:t xml:space="preserve">Преимущества:</w:t>
      </w:r>
    </w:p>
    <w:p>
      <w:pPr>
        <w:pStyle w:val="Compact"/>
        <w:numPr>
          <w:ilvl w:val="0"/>
          <w:numId w:val="1008"/>
        </w:numPr>
      </w:pPr>
      <w:r>
        <w:t xml:space="preserve">Бэктестирование позволяет проверить модель на реальных исторических данных и оценить её способность предсказывать дефолты.</w:t>
      </w:r>
    </w:p>
    <w:p>
      <w:pPr>
        <w:pStyle w:val="Compact"/>
        <w:numPr>
          <w:ilvl w:val="0"/>
          <w:numId w:val="1008"/>
        </w:numPr>
      </w:pPr>
      <w:r>
        <w:t xml:space="preserve">Помогает обнаружить проблемы с калибровкой, дискриминацией или чувствительностью модели.</w:t>
      </w:r>
    </w:p>
    <w:p>
      <w:pPr>
        <w:pStyle w:val="Compact"/>
        <w:numPr>
          <w:ilvl w:val="0"/>
          <w:numId w:val="1008"/>
        </w:numPr>
      </w:pPr>
      <w:r>
        <w:t xml:space="preserve">Выявляет области, где модель работает недостаточно хорошо и требует доработки.</w:t>
      </w:r>
    </w:p>
    <w:bookmarkEnd w:id="23"/>
    <w:bookmarkStart w:id="24" w:name="ограничения"/>
    <w:p>
      <w:pPr>
        <w:pStyle w:val="Heading4"/>
      </w:pPr>
      <w:r>
        <w:t xml:space="preserve">Ограничения:</w:t>
      </w:r>
    </w:p>
    <w:p>
      <w:pPr>
        <w:pStyle w:val="Compact"/>
        <w:numPr>
          <w:ilvl w:val="0"/>
          <w:numId w:val="1009"/>
        </w:numPr>
      </w:pPr>
      <w:r>
        <w:t xml:space="preserve">Бэктестирование зависит от качества исторических данных. Если данные неполные или искажены, результаты могут быть недостоверными.</w:t>
      </w:r>
    </w:p>
    <w:p>
      <w:pPr>
        <w:pStyle w:val="Compact"/>
        <w:numPr>
          <w:ilvl w:val="0"/>
          <w:numId w:val="1009"/>
        </w:numPr>
      </w:pPr>
      <w:r>
        <w:t xml:space="preserve">Модель может быть чувствительна к изменениям в рыночных условиях, и её способность прогнозировать дефолты может измениться в условиях, отличных от тех, на которых она обучалась.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Бэктестирование помогает глубже понять, насколько точна и надежна модель PD Lifetime, и является важным инструментом для её дальнейшего улучшения и адаптации к изменениям в условиях рынка.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