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b8a68bfe7604554e9b730f09eba1d3d06d5d400"/>
    <w:p>
      <w:pPr>
        <w:pStyle w:val="Heading3"/>
      </w:pPr>
      <w:r>
        <w:t xml:space="preserve">Оценка модели CCF с использованием t-test</w:t>
      </w:r>
    </w:p>
    <w:bookmarkStart w:id="20" w:name="введение"/>
    <w:p>
      <w:pPr>
        <w:pStyle w:val="Heading4"/>
      </w:pPr>
      <w:r>
        <w:t xml:space="preserve">Введение</w:t>
      </w:r>
    </w:p>
    <w:p>
      <w:pPr>
        <w:pStyle w:val="FirstParagraph"/>
      </w:pPr>
      <w:r>
        <w:t xml:space="preserve">Оценка модели кредитного конверсии (CCF, Credit Conversion Factor) с помощью t-теста позволяет проверить, насколько значимо отличаются прогнозируемые моделью значения CCF от фактических значений. Этот тест применяется как для анализа всего портфеля, так и для отдельных сегментов, что позволяет выявить, в каких группах модель работает недостаточно точно.</w:t>
      </w:r>
    </w:p>
    <w:p>
      <w:r>
        <w:pict>
          <v:rect style="width:0;height:1.5pt" o:hralign="center" o:hrstd="t" o:hr="t"/>
        </w:pict>
      </w:r>
    </w:p>
    <w:bookmarkEnd w:id="20"/>
    <w:bookmarkStart w:id="21" w:name="постановка-задачи"/>
    <w:p>
      <w:pPr>
        <w:pStyle w:val="Heading4"/>
      </w:pPr>
      <w:r>
        <w:t xml:space="preserve">Постановка задачи</w:t>
      </w:r>
    </w:p>
    <w:p>
      <w:pPr>
        <w:pStyle w:val="FirstParagraph"/>
      </w:pPr>
      <w:r>
        <w:t xml:space="preserve">t-тест используется для проверки нулевой гипотезы, которая утверждает, что среднее значение прогнозируемых CCF (</w:t>
      </w:r>
      <m:oMath>
        <m:sSub>
          <m:e>
            <m:r>
              <m:t>μ</m:t>
            </m:r>
          </m:e>
          <m:sub>
            <m:r>
              <m:rPr>
                <m:nor/>
                <m:sty m:val="p"/>
              </m:rPr>
              <m:t>model</m:t>
            </m:r>
          </m:sub>
        </m:sSub>
      </m:oMath>
      <w:r>
        <w:t xml:space="preserve">) совпадает с фактическим средним значением CCF (</w:t>
      </w:r>
      <m:oMath>
        <m:sSub>
          <m:e>
            <m:r>
              <m:t>μ</m:t>
            </m:r>
          </m:e>
          <m:sub>
            <m:r>
              <m:rPr>
                <m:nor/>
                <m:sty m:val="p"/>
              </m:rPr>
              <m:t>actual</m:t>
            </m:r>
          </m:sub>
        </m:sSub>
      </m:oMath>
      <w:r>
        <w:t xml:space="preserve">). Формально: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sSub>
            <m:e>
              <m:r>
                <m:t>μ</m:t>
              </m:r>
            </m:e>
            <m:sub>
              <m:r>
                <m:rPr>
                  <m:nor/>
                  <m:sty m:val="p"/>
                </m:rPr>
                <m:t>model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μ</m:t>
              </m:r>
            </m:e>
            <m:sub>
              <m:r>
                <m:rPr>
                  <m:nor/>
                  <m:sty m:val="p"/>
                </m:rPr>
                <m:t>actual</m:t>
              </m:r>
            </m:sub>
          </m:sSub>
        </m:oMath>
      </m:oMathPara>
    </w:p>
    <w:p>
      <w:pPr>
        <w:pStyle w:val="FirstParagraph"/>
      </w:pPr>
      <w:r>
        <w:t xml:space="preserve">Альтернативная гипотеза: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:</m:t>
          </m:r>
          <m:sSub>
            <m:e>
              <m:r>
                <m:t>μ</m:t>
              </m:r>
            </m:e>
            <m:sub>
              <m:r>
                <m:rPr>
                  <m:nor/>
                  <m:sty m:val="p"/>
                </m:rPr>
                <m:t>model</m:t>
              </m:r>
            </m:sub>
          </m:sSub>
          <m:r>
            <m:rPr>
              <m:sty m:val="p"/>
            </m:rPr>
            <m:t>≠</m:t>
          </m:r>
          <m:sSub>
            <m:e>
              <m:r>
                <m:t>μ</m:t>
              </m:r>
            </m:e>
            <m:sub>
              <m:r>
                <m:rPr>
                  <m:nor/>
                  <m:sty m:val="p"/>
                </m:rPr>
                <m:t>actual</m:t>
              </m:r>
            </m:sub>
          </m:sSub>
        </m:oMath>
      </m:oMathPara>
    </w:p>
    <w:p>
      <w:r>
        <w:pict>
          <v:rect style="width:0;height:1.5pt" o:hralign="center" o:hrstd="t" o:hr="t"/>
        </w:pict>
      </w:r>
    </w:p>
    <w:bookmarkEnd w:id="21"/>
    <w:bookmarkStart w:id="22" w:name="методика-проведения-t-test"/>
    <w:p>
      <w:pPr>
        <w:pStyle w:val="Heading4"/>
      </w:pPr>
      <w:r>
        <w:t xml:space="preserve">Методика проведения t-test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Подготовка данных</w:t>
      </w:r>
    </w:p>
    <w:p>
      <w:pPr>
        <w:pStyle w:val="Compact"/>
        <w:numPr>
          <w:ilvl w:val="1"/>
          <w:numId w:val="1002"/>
        </w:numPr>
      </w:pPr>
      <w:r>
        <w:t xml:space="preserve">Выберите выборки из данных, где имеются прогнозируемые (</w:t>
      </w:r>
      <m:oMath>
        <m:r>
          <m:t>C</m:t>
        </m:r>
        <m:r>
          <m:t>C</m:t>
        </m:r>
        <m:sSub>
          <m:e>
            <m:r>
              <m:t>F</m:t>
            </m:r>
          </m:e>
          <m:sub>
            <m:r>
              <m:rPr>
                <m:nor/>
                <m:sty m:val="p"/>
              </m:rPr>
              <m:t>model</m:t>
            </m:r>
          </m:sub>
        </m:sSub>
      </m:oMath>
      <w:r>
        <w:t xml:space="preserve">) и фактические (</w:t>
      </w:r>
      <m:oMath>
        <m:r>
          <m:t>C</m:t>
        </m:r>
        <m:r>
          <m:t>C</m:t>
        </m:r>
        <m:sSub>
          <m:e>
            <m:r>
              <m:t>F</m:t>
            </m:r>
          </m:e>
          <m:sub>
            <m:r>
              <m:rPr>
                <m:nor/>
                <m:sty m:val="p"/>
              </m:rPr>
              <m:t>actual</m:t>
            </m:r>
          </m:sub>
        </m:sSub>
      </m:oMath>
      <w:r>
        <w:t xml:space="preserve">) значения.</w:t>
      </w:r>
    </w:p>
    <w:p>
      <w:pPr>
        <w:pStyle w:val="Compact"/>
        <w:numPr>
          <w:ilvl w:val="1"/>
          <w:numId w:val="1002"/>
        </w:numPr>
      </w:pPr>
      <w:r>
        <w:t xml:space="preserve">Убедитесь, что данные очищены от выбросов, пропусков и ошибок, которые могут исказить результаты анализа.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Расчет t-статистики</w:t>
      </w:r>
      <w:r>
        <w:br/>
      </w:r>
      <w:r>
        <w:t xml:space="preserve">t-тест для независимых выборок рассчитывается по формуле: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rPr>
                      <m:nor/>
                      <m:sty m:val="p"/>
                    </m:rPr>
                    <m:t>model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rPr>
                      <m:nor/>
                      <m:sty m:val="p"/>
                    </m:rPr>
                    <m:t>actual</m:t>
                  </m:r>
                </m:sub>
              </m:sSub>
            </m:num>
            <m:den>
              <m:rad>
                <m:radPr>
                  <m:degHide m:val="on"/>
                </m:radPr>
                <m:deg/>
                <m:e>
                  <m:f>
                    <m:fPr>
                      <m:type m:val="bar"/>
                    </m:fPr>
                    <m:num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model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model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actual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actual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>
      <w:pPr>
        <w:numPr>
          <w:ilvl w:val="0"/>
          <w:numId w:val="1000"/>
        </w:numPr>
      </w:pPr>
      <w:r>
        <w:t xml:space="preserve">где:</w:t>
      </w:r>
    </w:p>
    <w:p>
      <w:pPr>
        <w:pStyle w:val="Compact"/>
        <w:numPr>
          <w:ilvl w:val="1"/>
          <w:numId w:val="1003"/>
        </w:numPr>
      </w:pPr>
      <m:oMath>
        <m:sSub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b>
            <m:r>
              <m:rPr>
                <m:nor/>
                <m:sty m:val="p"/>
              </m:rPr>
              <m:t>model</m:t>
            </m:r>
          </m:sub>
        </m:sSub>
      </m:oMath>
      <w:r>
        <w:t xml:space="preserve">,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b>
            <m:r>
              <m:rPr>
                <m:nor/>
                <m:sty m:val="p"/>
              </m:rPr>
              <m:t>actual</m:t>
            </m:r>
          </m:sub>
        </m:sSub>
      </m:oMath>
      <w:r>
        <w:t xml:space="preserve">: средние значения прогнозируемых и фактических CCF;</w:t>
      </w:r>
    </w:p>
    <w:p>
      <w:pPr>
        <w:pStyle w:val="Compact"/>
        <w:numPr>
          <w:ilvl w:val="1"/>
          <w:numId w:val="1003"/>
        </w:numPr>
      </w:pPr>
      <m:oMath>
        <m:sSubSup>
          <m:e>
            <m:r>
              <m:t>s</m:t>
            </m:r>
          </m:e>
          <m:sub>
            <m:r>
              <m:rPr>
                <m:nor/>
                <m:sty m:val="p"/>
              </m:rPr>
              <m:t>model</m:t>
            </m:r>
          </m:sub>
          <m:sup>
            <m:r>
              <m:t>2</m:t>
            </m:r>
          </m:sup>
        </m:sSubSup>
      </m:oMath>
      <w:r>
        <w:t xml:space="preserve">,</w:t>
      </w:r>
      <w:r>
        <w:t xml:space="preserve"> </w:t>
      </w:r>
      <m:oMath>
        <m:sSubSup>
          <m:e>
            <m:r>
              <m:t>s</m:t>
            </m:r>
          </m:e>
          <m:sub>
            <m:r>
              <m:rPr>
                <m:nor/>
                <m:sty m:val="p"/>
              </m:rPr>
              <m:t>actual</m:t>
            </m:r>
          </m:sub>
          <m:sup>
            <m:r>
              <m:t>2</m:t>
            </m:r>
          </m:sup>
        </m:sSubSup>
      </m:oMath>
      <w:r>
        <w:t xml:space="preserve">: дисперсии прогнозируемых и фактических значений;</w:t>
      </w:r>
    </w:p>
    <w:p>
      <w:pPr>
        <w:pStyle w:val="Compact"/>
        <w:numPr>
          <w:ilvl w:val="1"/>
          <w:numId w:val="1003"/>
        </w:numPr>
      </w:pPr>
      <m:oMath>
        <m:sSub>
          <m:e>
            <m:r>
              <m:t>n</m:t>
            </m:r>
          </m:e>
          <m:sub>
            <m:r>
              <m:rPr>
                <m:nor/>
                <m:sty m:val="p"/>
              </m:rPr>
              <m:t>model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nor/>
                <m:sty m:val="p"/>
              </m:rPr>
              <m:t>actual</m:t>
            </m:r>
          </m:sub>
        </m:sSub>
      </m:oMath>
      <w:r>
        <w:t xml:space="preserve">: объемы выборок для прогнозируемых и фактических значений.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Оценка p-value</w:t>
      </w:r>
      <w:r>
        <w:br/>
      </w:r>
      <w:r>
        <w:t xml:space="preserve">На основе рассчитанной t-статистики и степеней свободы (</w:t>
      </w:r>
      <m:oMath>
        <m:r>
          <m:t>d</m:t>
        </m:r>
        <m:r>
          <m:t>f</m:t>
        </m:r>
      </m:oMath>
      <w:r>
        <w:t xml:space="preserve">) определяется p-value. Степени свободы вычисляются как: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f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sSubSup>
                            <m:e>
                              <m:r>
                                <m:t>s</m:t>
                              </m:r>
                            </m:e>
                            <m:sub>
                              <m:r>
                                <m:rPr>
                                  <m:nor/>
                                  <m:sty m:val="p"/>
                                </m:rPr>
                                <m:t>model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rPr>
                                  <m:nor/>
                                  <m:sty m:val="p"/>
                                </m:rPr>
                                <m:t>model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sSubSup>
                            <m:e>
                              <m:r>
                                <m:t>s</m:t>
                              </m:r>
                            </m:e>
                            <m:sub>
                              <m:r>
                                <m:rPr>
                                  <m:nor/>
                                  <m:sty m:val="p"/>
                                </m:rPr>
                                <m:t>actual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rPr>
                                  <m:nor/>
                                  <m:sty m:val="p"/>
                                </m:rPr>
                                <m:t>actual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sSubSup>
                                <m:e>
                                  <m: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  <m:sty m:val="p"/>
                                    </m:rPr>
                                    <m:t>model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  <m:sty m:val="p"/>
                                    </m:rPr>
                                    <m:t>model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model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sSubSup>
                                <m:e>
                                  <m: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  <m:sty m:val="p"/>
                                    </m:rPr>
                                    <m:t>actual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  <m:sty m:val="p"/>
                                    </m:rPr>
                                    <m:t>actual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actual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den>
          </m:f>
        </m:oMath>
      </m:oMathPara>
    </w:p>
    <w:p>
      <w:pPr>
        <w:numPr>
          <w:ilvl w:val="0"/>
          <w:numId w:val="1001"/>
        </w:numPr>
      </w:pPr>
      <w:r>
        <w:rPr>
          <w:b/>
          <w:bCs/>
        </w:rPr>
        <w:t xml:space="preserve">Принятие решения</w:t>
      </w:r>
    </w:p>
    <w:p>
      <w:pPr>
        <w:pStyle w:val="Compact"/>
        <w:numPr>
          <w:ilvl w:val="1"/>
          <w:numId w:val="1004"/>
        </w:numPr>
      </w:pPr>
      <w:r>
        <w:t xml:space="preserve">Если</w:t>
      </w:r>
      <w:r>
        <w:t xml:space="preserve"> </w:t>
      </w:r>
      <m:oMath>
        <m:r>
          <m:t>p</m:t>
        </m:r>
      </m:oMath>
      <w:r>
        <w:t xml:space="preserve">-value меньше уровня значимости (</w:t>
      </w:r>
      <m:oMath>
        <m:r>
          <m:t>α</m:t>
        </m:r>
      </m:oMath>
      <w:r>
        <w:t xml:space="preserve">), то нулевая гипотеза отклоняется, и считается, что средние значения CCF существенно различаются.</w:t>
      </w:r>
    </w:p>
    <w:p>
      <w:pPr>
        <w:pStyle w:val="Compact"/>
        <w:numPr>
          <w:ilvl w:val="1"/>
          <w:numId w:val="1004"/>
        </w:numPr>
      </w:pPr>
      <w:r>
        <w:t xml:space="preserve">Уровень значимости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обычно выбирается равным 0.05, но может быть уменьшен (например, до 0.01) для повышения строгости теста.</w:t>
      </w:r>
    </w:p>
    <w:p>
      <w:r>
        <w:pict>
          <v:rect style="width:0;height:1.5pt" o:hralign="center" o:hrstd="t" o:hr="t"/>
        </w:pict>
      </w:r>
    </w:p>
    <w:bookmarkEnd w:id="22"/>
    <w:bookmarkStart w:id="23" w:name="применение-t-теста-к-сегментам"/>
    <w:p>
      <w:pPr>
        <w:pStyle w:val="Heading4"/>
      </w:pPr>
      <w:r>
        <w:t xml:space="preserve">Применение t-теста к сегментам</w:t>
      </w:r>
    </w:p>
    <w:p>
      <w:pPr>
        <w:pStyle w:val="FirstParagraph"/>
      </w:pPr>
      <w:r>
        <w:t xml:space="preserve">Для повышения точности модели полезно проверить гипотезу отдельно по различным сегментам портфеля. Например: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Сегменты заемщиков:</w:t>
      </w:r>
      <w:r>
        <w:t xml:space="preserve"> </w:t>
      </w:r>
      <w:r>
        <w:t xml:space="preserve">корпоративные клиенты, физические лица.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Сегменты по типам продуктов:</w:t>
      </w:r>
      <w:r>
        <w:t xml:space="preserve"> </w:t>
      </w:r>
      <w:r>
        <w:t xml:space="preserve">кредитные карты, овердрафты, кредитные линии.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Сегменты по географии или отрасли.</w:t>
      </w:r>
    </w:p>
    <w:p>
      <w:pPr>
        <w:pStyle w:val="Compact"/>
        <w:numPr>
          <w:ilvl w:val="0"/>
          <w:numId w:val="1006"/>
        </w:numPr>
      </w:pPr>
      <w:r>
        <w:t xml:space="preserve">Разделите данные на подгруппы в соответствии с выбранными сегментами.</w:t>
      </w:r>
    </w:p>
    <w:p>
      <w:pPr>
        <w:pStyle w:val="Compact"/>
        <w:numPr>
          <w:ilvl w:val="0"/>
          <w:numId w:val="1006"/>
        </w:numPr>
      </w:pPr>
      <w:r>
        <w:t xml:space="preserve">Проведите t-тест для каждой подгруппы. Это позволит выявить, в каких сегментах модель работает лучше или хуже.</w:t>
      </w:r>
    </w:p>
    <w:p>
      <w:r>
        <w:pict>
          <v:rect style="width:0;height:1.5pt" o:hralign="center" o:hrstd="t" o:hr="t"/>
        </w:pict>
      </w:r>
    </w:p>
    <w:bookmarkEnd w:id="23"/>
    <w:bookmarkStart w:id="24" w:name="интерпретация-результатов"/>
    <w:p>
      <w:pPr>
        <w:pStyle w:val="Heading4"/>
      </w:pPr>
      <w:r>
        <w:t xml:space="preserve">Интерпретация результатов</w:t>
      </w:r>
    </w:p>
    <w:p>
      <w:pPr>
        <w:pStyle w:val="Compact"/>
        <w:numPr>
          <w:ilvl w:val="0"/>
          <w:numId w:val="1007"/>
        </w:numPr>
      </w:pPr>
      <w:r>
        <w:t xml:space="preserve">Если</w:t>
      </w:r>
      <w:r>
        <w:t xml:space="preserve"> </w:t>
      </w:r>
      <m:oMath>
        <m:r>
          <m:t>p</m:t>
        </m:r>
      </m:oMath>
      <w:r>
        <w:t xml:space="preserve">-value значимо меньше</w:t>
      </w:r>
      <w:r>
        <w:t xml:space="preserve"> </w:t>
      </w:r>
      <m:oMath>
        <m:r>
          <m:t>α</m:t>
        </m:r>
      </m:oMath>
      <w:r>
        <w:t xml:space="preserve">, это указывает на то, что модель требует доработки, так как она недостаточно точно прогнозирует CCF.</w:t>
      </w:r>
    </w:p>
    <w:p>
      <w:pPr>
        <w:pStyle w:val="Compact"/>
        <w:numPr>
          <w:ilvl w:val="0"/>
          <w:numId w:val="1007"/>
        </w:numPr>
      </w:pPr>
      <w:r>
        <w:t xml:space="preserve">Если</w:t>
      </w:r>
      <w:r>
        <w:t xml:space="preserve"> </w:t>
      </w:r>
      <m:oMath>
        <m:r>
          <m:t>p</m:t>
        </m:r>
      </m:oMath>
      <w:r>
        <w:t xml:space="preserve">-value больше</w:t>
      </w:r>
      <w:r>
        <w:t xml:space="preserve"> </w:t>
      </w:r>
      <m:oMath>
        <m:r>
          <m:t>α</m:t>
        </m:r>
      </m:oMath>
      <w:r>
        <w:t xml:space="preserve">, это говорит о том, что средние прогнозы и фактические значения статистически совпадают.</w:t>
      </w:r>
    </w:p>
    <w:p>
      <w:r>
        <w:pict>
          <v:rect style="width:0;height:1.5pt" o:hralign="center" o:hrstd="t" o:hr="t"/>
        </w:pict>
      </w:r>
    </w:p>
    <w:bookmarkEnd w:id="24"/>
    <w:bookmarkStart w:id="25" w:name="преимущества-t-теста"/>
    <w:p>
      <w:pPr>
        <w:pStyle w:val="Heading4"/>
      </w:pPr>
      <w:r>
        <w:t xml:space="preserve">Преимущества t-теста</w:t>
      </w:r>
    </w:p>
    <w:p>
      <w:pPr>
        <w:pStyle w:val="Compact"/>
        <w:numPr>
          <w:ilvl w:val="0"/>
          <w:numId w:val="1008"/>
        </w:numPr>
      </w:pPr>
      <w:r>
        <w:t xml:space="preserve">Простота расчета и интерпретации.</w:t>
      </w:r>
    </w:p>
    <w:p>
      <w:pPr>
        <w:pStyle w:val="Compact"/>
        <w:numPr>
          <w:ilvl w:val="0"/>
          <w:numId w:val="1008"/>
        </w:numPr>
      </w:pPr>
      <w:r>
        <w:t xml:space="preserve">Возможность применения как для всего портфеля, так и для отдельных сегментов.</w:t>
      </w:r>
    </w:p>
    <w:p>
      <w:pPr>
        <w:pStyle w:val="Compact"/>
        <w:numPr>
          <w:ilvl w:val="0"/>
          <w:numId w:val="1008"/>
        </w:numPr>
      </w:pPr>
      <w:r>
        <w:t xml:space="preserve">Статистическая строгость, позволяющая сделать обоснованные выводы о точности модели.</w:t>
      </w:r>
    </w:p>
    <w:bookmarkEnd w:id="25"/>
    <w:bookmarkStart w:id="26" w:name="ограничения-t-теста"/>
    <w:p>
      <w:pPr>
        <w:pStyle w:val="Heading4"/>
      </w:pPr>
      <w:r>
        <w:t xml:space="preserve">Ограничения t-теста</w:t>
      </w:r>
    </w:p>
    <w:p>
      <w:pPr>
        <w:pStyle w:val="Compact"/>
        <w:numPr>
          <w:ilvl w:val="0"/>
          <w:numId w:val="1009"/>
        </w:numPr>
      </w:pPr>
      <w:r>
        <w:t xml:space="preserve">Требование нормальности распределения данных (для выборок малого объема).</w:t>
      </w:r>
    </w:p>
    <w:p>
      <w:pPr>
        <w:pStyle w:val="Compact"/>
        <w:numPr>
          <w:ilvl w:val="1"/>
          <w:numId w:val="1010"/>
        </w:numPr>
      </w:pPr>
      <w:r>
        <w:t xml:space="preserve">Если выборки велики (</w:t>
      </w:r>
      <m:oMath>
        <m:r>
          <m:t>n</m:t>
        </m:r>
        <m:r>
          <m:rPr>
            <m:sty m:val="p"/>
          </m:rPr>
          <m:t>&gt;</m:t>
        </m:r>
        <m:r>
          <m:t>30</m:t>
        </m:r>
      </m:oMath>
      <w:r>
        <w:t xml:space="preserve">), можно полагаться на центральную предельную теорему.</w:t>
      </w:r>
    </w:p>
    <w:p>
      <w:pPr>
        <w:pStyle w:val="Compact"/>
        <w:numPr>
          <w:ilvl w:val="0"/>
          <w:numId w:val="1009"/>
        </w:numPr>
      </w:pPr>
      <w:r>
        <w:t xml:space="preserve">Чувствительность к выбросам.</w:t>
      </w:r>
    </w:p>
    <w:p>
      <w:pPr>
        <w:pStyle w:val="Compact"/>
        <w:numPr>
          <w:ilvl w:val="1"/>
          <w:numId w:val="1011"/>
        </w:numPr>
      </w:pPr>
      <w:r>
        <w:t xml:space="preserve">Выбросы могут существенно исказить результаты анализа, поэтому важно заранее проверять данные.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Таким образом, t-тест является важным инструментом для проверки качества прогнозов модели CCF. Его результаты позволяют выявить сегменты портфеля, где требуется улучшение модели, что особенно важно для управления кредитными рисками.</w:t>
      </w:r>
    </w:p>
    <w:bookmarkEnd w:id="26"/>
    <w:bookmarkEnd w:id="27"/>
    <w:bookmarkStart w:id="34" w:name="X09591c2c45f7f1dd9769bac6f5545ff760b8887"/>
    <w:p>
      <w:pPr>
        <w:pStyle w:val="Heading3"/>
      </w:pPr>
      <w:r>
        <w:t xml:space="preserve">Проверка корректности сегментации модели CCF</w:t>
      </w:r>
    </w:p>
    <w:bookmarkStart w:id="28" w:name="введение-1"/>
    <w:p>
      <w:pPr>
        <w:pStyle w:val="Heading4"/>
      </w:pPr>
      <w:r>
        <w:t xml:space="preserve">Введение</w:t>
      </w:r>
    </w:p>
    <w:p>
      <w:pPr>
        <w:pStyle w:val="FirstParagraph"/>
      </w:pPr>
      <w:r>
        <w:t xml:space="preserve">Сегментация играет ключевую роль в построении и оценке моделей, таких как модель CCF. Она позволяет адаптировать модель к особенностям различных групп заемщиков или продуктов, улучшая точность прогнозирования. Проверка корректности сегментации направлена на подтверждение того, что выбранные сегменты являются логически обоснованными и статистически различимыми, а также что они вносят вклад в повышение качества модели.</w:t>
      </w:r>
    </w:p>
    <w:p>
      <w:r>
        <w:pict>
          <v:rect style="width:0;height:1.5pt" o:hralign="center" o:hrstd="t" o:hr="t"/>
        </w:pict>
      </w:r>
    </w:p>
    <w:bookmarkEnd w:id="28"/>
    <w:bookmarkStart w:id="29" w:name="цели-проверки-корректности-сегментации"/>
    <w:p>
      <w:pPr>
        <w:pStyle w:val="Heading4"/>
      </w:pPr>
      <w:r>
        <w:t xml:space="preserve">Цели проверки корректности сегментации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Оценка различий между сегментами:</w:t>
      </w:r>
      <w:r>
        <w:t xml:space="preserve"> </w:t>
      </w:r>
      <w:r>
        <w:t xml:space="preserve">Проверка, действительно ли сегменты статистически отличаются друг от друга по ключевым характеристикам, таким как средние значения CCF, уровень риска, тип продукта и т. д.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Подтверждение эффективности сегментации:</w:t>
      </w:r>
      <w:r>
        <w:t xml:space="preserve"> </w:t>
      </w:r>
      <w:r>
        <w:t xml:space="preserve">Анализ, приводит ли сегментация к улучшению точности модели.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Выявление избыточной или некорректной сегментации:</w:t>
      </w:r>
      <w:r>
        <w:t xml:space="preserve"> </w:t>
      </w:r>
      <w:r>
        <w:t xml:space="preserve">Проверка, не создает ли сегментация избыточное разделение данных, которое не повышает качество модели или даже ухудшает ее производительность.</w:t>
      </w:r>
    </w:p>
    <w:p>
      <w:r>
        <w:pict>
          <v:rect style="width:0;height:1.5pt" o:hralign="center" o:hrstd="t" o:hr="t"/>
        </w:pict>
      </w:r>
    </w:p>
    <w:bookmarkEnd w:id="29"/>
    <w:bookmarkStart w:id="30" w:name="Xbbd4656121714816d04fc18bf3b293d703532fb"/>
    <w:p>
      <w:pPr>
        <w:pStyle w:val="Heading4"/>
      </w:pPr>
      <w:r>
        <w:t xml:space="preserve">Методика проверки корректности сегментации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Описание сегментов</w:t>
      </w:r>
      <w:r>
        <w:br/>
      </w:r>
      <w:r>
        <w:t xml:space="preserve">На первом этапе необходимо четко определить, какие критерии использовались для сегментации, например:</w:t>
      </w:r>
    </w:p>
    <w:p>
      <w:pPr>
        <w:pStyle w:val="Compact"/>
        <w:numPr>
          <w:ilvl w:val="1"/>
          <w:numId w:val="1014"/>
        </w:numPr>
      </w:pPr>
      <w:r>
        <w:t xml:space="preserve">Тип продукта (кредитные линии, карты, овердрафты).</w:t>
      </w:r>
    </w:p>
    <w:p>
      <w:pPr>
        <w:pStyle w:val="Compact"/>
        <w:numPr>
          <w:ilvl w:val="1"/>
          <w:numId w:val="1014"/>
        </w:numPr>
      </w:pPr>
      <w:r>
        <w:t xml:space="preserve">Размер компании (малый, средний, крупный бизнес).</w:t>
      </w:r>
    </w:p>
    <w:p>
      <w:pPr>
        <w:pStyle w:val="Compact"/>
        <w:numPr>
          <w:ilvl w:val="1"/>
          <w:numId w:val="1014"/>
        </w:numPr>
      </w:pPr>
      <w:r>
        <w:t xml:space="preserve">Географическое положение.</w:t>
      </w:r>
    </w:p>
    <w:p>
      <w:pPr>
        <w:pStyle w:val="Compact"/>
        <w:numPr>
          <w:ilvl w:val="1"/>
          <w:numId w:val="1014"/>
        </w:numPr>
      </w:pPr>
      <w:r>
        <w:t xml:space="preserve">Отрасль заемщика.</w:t>
      </w:r>
    </w:p>
    <w:p>
      <w:pPr>
        <w:pStyle w:val="Compact"/>
        <w:numPr>
          <w:ilvl w:val="1"/>
          <w:numId w:val="1014"/>
        </w:numPr>
      </w:pPr>
      <w:r>
        <w:t xml:space="preserve">Кредитное качество (рейтинг, PD).</w:t>
      </w:r>
    </w:p>
    <w:p>
      <w:pPr>
        <w:numPr>
          <w:ilvl w:val="0"/>
          <w:numId w:val="1000"/>
        </w:numPr>
      </w:pPr>
      <w:r>
        <w:t xml:space="preserve">Описание должно включать количественное распределение данных по сегментам, чтобы убедиться в их достаточной представленности.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Статистическое обоснование сегментации</w:t>
      </w:r>
      <w:r>
        <w:br/>
      </w:r>
      <w:r>
        <w:t xml:space="preserve">Для проверки того, что сегменты действительно различаются, используются статистические тесты:</w:t>
      </w:r>
    </w:p>
    <w:p>
      <w:pPr>
        <w:numPr>
          <w:ilvl w:val="1"/>
          <w:numId w:val="1015"/>
        </w:numPr>
      </w:pPr>
      <w:r>
        <w:rPr>
          <w:b/>
          <w:bCs/>
        </w:rPr>
        <w:t xml:space="preserve">ANOVA (дисперсионный анализ):</w:t>
      </w:r>
      <w:r>
        <w:br/>
      </w:r>
      <w:r>
        <w:t xml:space="preserve">Используется для сравнения средних значений CCF между сегментами.</w:t>
      </w:r>
      <w:r>
        <w:br/>
      </w:r>
      <w:r>
        <w:t xml:space="preserve">Нулевая гипотеза (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): Средние значения CCF для всех сегментов одинаковы.</w:t>
      </w:r>
      <w:r>
        <w:br/>
      </w:r>
      <w:r>
        <w:t xml:space="preserve">Альтернативная гипотеза (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): Средние значения CCF различаются хотя бы для одного сегмента.</w:t>
      </w:r>
      <w:r>
        <w:br/>
      </w:r>
      <w:r>
        <w:t xml:space="preserve">Если p-value меньше уровня значимости (</w:t>
      </w:r>
      <m:oMath>
        <m:r>
          <m:t>α</m:t>
        </m:r>
      </m:oMath>
      <w:r>
        <w:t xml:space="preserve">, обычно 0.05), то сегменты статистически различны.</w:t>
      </w:r>
    </w:p>
    <w:p>
      <w:pPr>
        <w:numPr>
          <w:ilvl w:val="1"/>
          <w:numId w:val="1000"/>
        </w:numPr>
      </w:pPr>
      <w:r>
        <w:t xml:space="preserve">Формула для F-статистики в ANOVA: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rPr>
                      <m:nor/>
                      <m:sty m:val="p"/>
                    </m:rPr>
                    <m:t>MS</m:t>
                  </m:r>
                </m:e>
                <m:sub>
                  <m:r>
                    <m:rPr>
                      <m:nor/>
                      <m:sty m:val="p"/>
                    </m:rPr>
                    <m:t>between</m:t>
                  </m:r>
                </m:sub>
              </m:sSub>
            </m:num>
            <m:den>
              <m:sSub>
                <m:e>
                  <m:r>
                    <m:rPr>
                      <m:nor/>
                      <m:sty m:val="p"/>
                    </m:rPr>
                    <m:t>MS</m:t>
                  </m:r>
                </m:e>
                <m:sub>
                  <m:r>
                    <m:rPr>
                      <m:nor/>
                      <m:sty m:val="p"/>
                    </m:rPr>
                    <m:t>within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</w:pPr>
      <w:r>
        <w:t xml:space="preserve">где:</w:t>
      </w:r>
    </w:p>
    <w:p>
      <w:pPr>
        <w:pStyle w:val="Compact"/>
        <w:numPr>
          <w:ilvl w:val="2"/>
          <w:numId w:val="1016"/>
        </w:numPr>
      </w:pPr>
      <m:oMath>
        <m:sSub>
          <m:e>
            <m:r>
              <m:rPr>
                <m:nor/>
                <m:sty m:val="p"/>
              </m:rPr>
              <m:t>MS</m:t>
            </m:r>
          </m:e>
          <m:sub>
            <m:r>
              <m:rPr>
                <m:nor/>
                <m:sty m:val="p"/>
              </m:rPr>
              <m:t>between</m:t>
            </m:r>
          </m:sub>
        </m:sSub>
      </m:oMath>
      <w:r>
        <w:t xml:space="preserve">: Средняя межгрупповая сумма квадратов.</w:t>
      </w:r>
    </w:p>
    <w:p>
      <w:pPr>
        <w:pStyle w:val="Compact"/>
        <w:numPr>
          <w:ilvl w:val="2"/>
          <w:numId w:val="1016"/>
        </w:numPr>
      </w:pPr>
      <m:oMath>
        <m:sSub>
          <m:e>
            <m:r>
              <m:rPr>
                <m:nor/>
                <m:sty m:val="p"/>
              </m:rPr>
              <m:t>MS</m:t>
            </m:r>
          </m:e>
          <m:sub>
            <m:r>
              <m:rPr>
                <m:nor/>
                <m:sty m:val="p"/>
              </m:rPr>
              <m:t>within</m:t>
            </m:r>
          </m:sub>
        </m:sSub>
      </m:oMath>
      <w:r>
        <w:t xml:space="preserve">: Средняя внутригрупповая сумма квадратов.</w:t>
      </w:r>
    </w:p>
    <w:p>
      <w:pPr>
        <w:numPr>
          <w:ilvl w:val="1"/>
          <w:numId w:val="1015"/>
        </w:numPr>
      </w:pPr>
      <w:r>
        <w:rPr>
          <w:b/>
          <w:bCs/>
        </w:rPr>
        <w:t xml:space="preserve">t-test для парных сравнений:</w:t>
      </w:r>
      <w:r>
        <w:br/>
      </w:r>
      <w:r>
        <w:t xml:space="preserve">В случае небольшого количества сегментов можно использовать t-test для проверки значимости различий между каждой парой сегментов. Это особенно полезно, если ANOVA показывает значимость различий, но не указывает, какие именно группы отличаются.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Анализ эффективности модели по сегментам</w:t>
      </w:r>
      <w:r>
        <w:br/>
      </w:r>
      <w:r>
        <w:t xml:space="preserve">Проверяется, насколько сегментация улучшает предсказательную способность модели:</w:t>
      </w:r>
    </w:p>
    <w:p>
      <w:pPr>
        <w:pStyle w:val="Compact"/>
        <w:numPr>
          <w:ilvl w:val="1"/>
          <w:numId w:val="1017"/>
        </w:numPr>
      </w:pPr>
      <w:r>
        <w:t xml:space="preserve">Оцените метрики качества модели (например, RMSE, MAE) по каждому сегменту.</w:t>
      </w:r>
    </w:p>
    <w:p>
      <w:pPr>
        <w:pStyle w:val="Compact"/>
        <w:numPr>
          <w:ilvl w:val="1"/>
          <w:numId w:val="1017"/>
        </w:numPr>
      </w:pPr>
      <w:r>
        <w:t xml:space="preserve">Сравните результаты модели на уровне сегментов с результатами по всему портфелю. Если сегментация приводит к снижению ошибок прогноза, она считается эффективной.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Анализ однородности внутри сегментов</w:t>
      </w:r>
      <w:r>
        <w:br/>
      </w:r>
      <w:r>
        <w:t xml:space="preserve">Важно проверить, что данные внутри каждого сегмента однородны, а не содержат сильные различия. Для этого можно использовать: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Коэффициент вариации:</w:t>
      </w:r>
      <w:r>
        <w:t xml:space="preserve"> </w:t>
      </w:r>
      <w:r>
        <w:t xml:space="preserve">Проверка разброса CCF внутри сегмента. Если вариативность велика, это может быть сигналом к необходимости более глубокой сегментации.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Кластеры:</w:t>
      </w:r>
      <w:r>
        <w:t xml:space="preserve"> </w:t>
      </w:r>
      <w:r>
        <w:t xml:space="preserve">Использование алгоритмов кластеризации (например, k-means) для проверки, не содержит ли сегмент скрытых подгрупп.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Проверка избыточной сегментации</w:t>
      </w:r>
      <w:r>
        <w:br/>
      </w:r>
      <w:r>
        <w:t xml:space="preserve">Используйте сравнение метрик модели на уровне сегментов и портфеля, чтобы убедиться, что сегментация не добавляет ненужной сложности. Избыточная сегментация может привести к переобучению модели или снижению ее интерпретируемости.</w:t>
      </w:r>
    </w:p>
    <w:p>
      <w:r>
        <w:pict>
          <v:rect style="width:0;height:1.5pt" o:hralign="center" o:hrstd="t" o:hr="t"/>
        </w:pict>
      </w:r>
    </w:p>
    <w:bookmarkEnd w:id="30"/>
    <w:bookmarkStart w:id="31" w:name="пример-проверки"/>
    <w:p>
      <w:pPr>
        <w:pStyle w:val="Heading4"/>
      </w:pPr>
      <w:r>
        <w:t xml:space="preserve">Пример проверки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Сегментация по типу продукта:</w:t>
      </w:r>
      <w:r>
        <w:t xml:space="preserve"> </w:t>
      </w:r>
      <w:r>
        <w:t xml:space="preserve">Проверьте, отличаются ли средние значения CCF для кредитных карт, кредитных линий и овердрафтов. Если различия статистически значимы, сегментация оправдана.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Сегментация по размеру компании:</w:t>
      </w:r>
      <w:r>
        <w:t xml:space="preserve"> </w:t>
      </w:r>
      <w:r>
        <w:t xml:space="preserve">Проверьте, одинаковы ли значения CCF для малых, средних и крупных компаний. Если различий нет, возможно, сегментация по этому критерию не нужна.</w:t>
      </w:r>
    </w:p>
    <w:p>
      <w:r>
        <w:pict>
          <v:rect style="width:0;height:1.5pt" o:hralign="center" o:hrstd="t" o:hr="t"/>
        </w:pict>
      </w:r>
    </w:p>
    <w:bookmarkEnd w:id="31"/>
    <w:bookmarkStart w:id="32" w:name="интерпретация-результатов-1"/>
    <w:p>
      <w:pPr>
        <w:pStyle w:val="Heading4"/>
      </w:pPr>
      <w:r>
        <w:t xml:space="preserve">Интерпретация результатов</w:t>
      </w:r>
    </w:p>
    <w:p>
      <w:pPr>
        <w:pStyle w:val="Compact"/>
        <w:numPr>
          <w:ilvl w:val="0"/>
          <w:numId w:val="1020"/>
        </w:numPr>
      </w:pPr>
      <w:r>
        <w:t xml:space="preserve">Если сегменты статистически различимы, это подтверждает обоснованность сегментации.</w:t>
      </w:r>
    </w:p>
    <w:p>
      <w:pPr>
        <w:pStyle w:val="Compact"/>
        <w:numPr>
          <w:ilvl w:val="0"/>
          <w:numId w:val="1020"/>
        </w:numPr>
      </w:pPr>
      <w:r>
        <w:t xml:space="preserve">Если сегменты не отличаются или не приводят к улучшению качества модели, следует пересмотреть критерии сегментации.</w:t>
      </w:r>
    </w:p>
    <w:p>
      <w:r>
        <w:pict>
          <v:rect style="width:0;height:1.5pt" o:hralign="center" o:hrstd="t" o:hr="t"/>
        </w:pict>
      </w:r>
    </w:p>
    <w:bookmarkEnd w:id="32"/>
    <w:bookmarkStart w:id="33" w:name="заключение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Проверка корректности сегментации модели CCF позволяет убедиться, что сегменты имеют логическую и статистическую обоснованность. Этот этап критически важен для создания надежной модели, которая эффективно отражает различия между группами заемщиков или продуктов, минимизируя ошибки прогнозирования.</w:t>
      </w:r>
    </w:p>
    <w:bookmarkEnd w:id="33"/>
    <w:bookmarkEnd w:id="34"/>
    <w:bookmarkStart w:id="42" w:name="бэктест-модели-ccf"/>
    <w:p>
      <w:pPr>
        <w:pStyle w:val="Heading3"/>
      </w:pPr>
      <w:r>
        <w:t xml:space="preserve">Бэктест модели CCF</w:t>
      </w:r>
    </w:p>
    <w:bookmarkStart w:id="35" w:name="введение-2"/>
    <w:p>
      <w:pPr>
        <w:pStyle w:val="Heading4"/>
      </w:pPr>
      <w:r>
        <w:t xml:space="preserve">Введение</w:t>
      </w:r>
    </w:p>
    <w:p>
      <w:pPr>
        <w:pStyle w:val="FirstParagraph"/>
      </w:pPr>
      <w:r>
        <w:t xml:space="preserve">Бэктест (backtesting) модели CCF позволяет оценить, насколько хорошо прогнозы модели соответствуют фактическим значениям в исторических данных. Это ключевой этап проверки модели, направленный на выявление систематических ошибок и оценку ее предсказательной способности.</w:t>
      </w:r>
    </w:p>
    <w:p>
      <w:r>
        <w:pict>
          <v:rect style="width:0;height:1.5pt" o:hralign="center" o:hrstd="t" o:hr="t"/>
        </w:pict>
      </w:r>
    </w:p>
    <w:bookmarkEnd w:id="35"/>
    <w:bookmarkStart w:id="36" w:name="подход-к-проведению-бэктеста"/>
    <w:p>
      <w:pPr>
        <w:pStyle w:val="Heading4"/>
      </w:pPr>
      <w:r>
        <w:t xml:space="preserve">Подход к проведению бэктеста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Постановка задачи</w:t>
      </w:r>
      <w:r>
        <w:br/>
      </w:r>
      <w:r>
        <w:t xml:space="preserve">Цель бэктеста — сравнить прогнозируемые значения CCF (</w:t>
      </w:r>
      <m:oMath>
        <m:r>
          <m:t>C</m:t>
        </m:r>
        <m:r>
          <m:t>C</m:t>
        </m:r>
        <m:sSub>
          <m:e>
            <m:r>
              <m:t>F</m:t>
            </m:r>
          </m:e>
          <m:sub>
            <m:r>
              <m:rPr>
                <m:nor/>
                <m:sty m:val="p"/>
              </m:rPr>
              <m:t>model</m:t>
            </m:r>
          </m:sub>
        </m:sSub>
      </m:oMath>
      <w:r>
        <w:t xml:space="preserve">) с фактическими значениями (</w:t>
      </w:r>
      <m:oMath>
        <m:r>
          <m:t>C</m:t>
        </m:r>
        <m:r>
          <m:t>C</m:t>
        </m:r>
        <m:sSub>
          <m:e>
            <m:r>
              <m:t>F</m:t>
            </m:r>
          </m:e>
          <m:sub>
            <m:r>
              <m:rPr>
                <m:nor/>
                <m:sty m:val="p"/>
              </m:rPr>
              <m:t>actual</m:t>
            </m:r>
          </m:sub>
        </m:sSub>
      </m:oMath>
      <w:r>
        <w:t xml:space="preserve">) для ретроспективного периода, используя метрики точности и статистические тесты.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Выбор данных для бэктеста</w:t>
      </w:r>
    </w:p>
    <w:p>
      <w:pPr>
        <w:pStyle w:val="Compact"/>
        <w:numPr>
          <w:ilvl w:val="1"/>
          <w:numId w:val="1022"/>
        </w:numPr>
      </w:pPr>
      <w:r>
        <w:t xml:space="preserve">Используются данные, не участвовавшие в обучении модели (out-of-sample).</w:t>
      </w:r>
    </w:p>
    <w:p>
      <w:pPr>
        <w:pStyle w:val="Compact"/>
        <w:numPr>
          <w:ilvl w:val="1"/>
          <w:numId w:val="1022"/>
        </w:numPr>
      </w:pPr>
      <w:r>
        <w:t xml:space="preserve">Данные должны включать фактические значения CCF, рассчитанные на основе реальной информации о конверсии неиспользованных лимитов в задолженность.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Метрики для сравнения прогнозов и фактических значений</w:t>
      </w:r>
      <w:r>
        <w:br/>
      </w:r>
      <w:r>
        <w:t xml:space="preserve">Для количественной оценки точности модели используются следующие метрики:</w:t>
      </w:r>
    </w:p>
    <w:p>
      <w:r>
        <w:pict>
          <v:rect style="width:0;height:1.5pt" o:hralign="center" o:hrstd="t" o:hr="t"/>
        </w:pict>
      </w:r>
    </w:p>
    <w:bookmarkEnd w:id="36"/>
    <w:bookmarkStart w:id="37" w:name="формулы-для-метрик"/>
    <w:p>
      <w:pPr>
        <w:pStyle w:val="Heading4"/>
      </w:pPr>
      <w:r>
        <w:t xml:space="preserve">Формулы для метрик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Средняя абсолютная ошибка (Mean Absolute Error, MAE):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A</m:t>
          </m:r>
          <m:r>
            <m:t>E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∣</m:t>
              </m:r>
              <m:r>
                <m:t>C</m:t>
              </m:r>
              <m:r>
                <m:t>C</m:t>
              </m:r>
              <m:sSub>
                <m:e>
                  <m:r>
                    <m:t>F</m:t>
                  </m:r>
                </m:e>
                <m:sub>
                  <m:r>
                    <m:rPr>
                      <m:nor/>
                      <m:sty m:val="p"/>
                    </m:rPr>
                    <m:t>actual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C</m:t>
              </m:r>
              <m:r>
                <m:t>C</m:t>
              </m:r>
              <m:sSub>
                <m:e>
                  <m:r>
                    <m:t>F</m:t>
                  </m:r>
                </m:e>
                <m:sub>
                  <m:r>
                    <m:rPr>
                      <m:nor/>
                      <m:sty m:val="p"/>
                    </m:rPr>
                    <m:t>model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</m:e>
          </m:nary>
        </m:oMath>
      </m:oMathPara>
    </w:p>
    <w:p>
      <w:pPr>
        <w:numPr>
          <w:ilvl w:val="0"/>
          <w:numId w:val="1000"/>
        </w:numPr>
      </w:pPr>
      <w:r>
        <w:t xml:space="preserve">где:</w:t>
      </w:r>
    </w:p>
    <w:p>
      <w:pPr>
        <w:pStyle w:val="Compact"/>
        <w:numPr>
          <w:ilvl w:val="1"/>
          <w:numId w:val="1024"/>
        </w:numPr>
      </w:pPr>
      <m:oMath>
        <m:r>
          <m:t>N</m:t>
        </m:r>
      </m:oMath>
      <w:r>
        <w:t xml:space="preserve">: количество наблюдений;</w:t>
      </w:r>
    </w:p>
    <w:p>
      <w:pPr>
        <w:pStyle w:val="Compact"/>
        <w:numPr>
          <w:ilvl w:val="1"/>
          <w:numId w:val="1024"/>
        </w:numPr>
      </w:pPr>
      <m:oMath>
        <m:r>
          <m:t>C</m:t>
        </m:r>
        <m:r>
          <m:t>C</m:t>
        </m:r>
        <m:sSub>
          <m:e>
            <m:r>
              <m:t>F</m:t>
            </m:r>
          </m:e>
          <m:sub>
            <m:r>
              <m:rPr>
                <m:nor/>
                <m:sty m:val="p"/>
              </m:rPr>
              <m:t>actual</m:t>
            </m:r>
            <m:r>
              <m:rPr>
                <m:sty m:val="p"/>
              </m:rPr>
              <m:t>,</m:t>
            </m:r>
            <m:r>
              <m:t>i</m:t>
            </m:r>
          </m:sub>
        </m:sSub>
      </m:oMath>
      <w:r>
        <w:t xml:space="preserve">: фактическое значение CCF для</w:t>
      </w:r>
      <w:r>
        <w:t xml:space="preserve"> </w:t>
      </w:r>
      <m:oMath>
        <m:r>
          <m:t>i</m:t>
        </m:r>
      </m:oMath>
      <w:r>
        <w:t xml:space="preserve">-го клиента;</w:t>
      </w:r>
    </w:p>
    <w:p>
      <w:pPr>
        <w:pStyle w:val="Compact"/>
        <w:numPr>
          <w:ilvl w:val="1"/>
          <w:numId w:val="1024"/>
        </w:numPr>
      </w:pPr>
      <m:oMath>
        <m:r>
          <m:t>C</m:t>
        </m:r>
        <m:r>
          <m:t>C</m:t>
        </m:r>
        <m:sSub>
          <m:e>
            <m:r>
              <m:t>F</m:t>
            </m:r>
          </m:e>
          <m:sub>
            <m:r>
              <m:rPr>
                <m:nor/>
                <m:sty m:val="p"/>
              </m:rPr>
              <m:t>model</m:t>
            </m:r>
            <m:r>
              <m:rPr>
                <m:sty m:val="p"/>
              </m:rPr>
              <m:t>,</m:t>
            </m:r>
            <m:r>
              <m:t>i</m:t>
            </m:r>
          </m:sub>
        </m:sSub>
      </m:oMath>
      <w:r>
        <w:t xml:space="preserve">: прогноз модели для</w:t>
      </w:r>
      <w:r>
        <w:t xml:space="preserve"> </w:t>
      </w:r>
      <m:oMath>
        <m:r>
          <m:t>i</m:t>
        </m:r>
      </m:oMath>
      <w:r>
        <w:t xml:space="preserve">-го клиента.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Среднеквадратичная ошибка (Mean Squared Error, MSE):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C</m:t>
                      </m:r>
                      <m:r>
                        <m:t>C</m:t>
                      </m:r>
                      <m:sSub>
                        <m:e>
                          <m:r>
                            <m:t>F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actual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  <m:r>
                        <m:t>C</m:t>
                      </m:r>
                      <m:sSub>
                        <m:e>
                          <m:r>
                            <m:t>F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model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numPr>
          <w:ilvl w:val="0"/>
          <w:numId w:val="1023"/>
        </w:numPr>
      </w:pPr>
      <w:r>
        <w:rPr>
          <w:b/>
          <w:bCs/>
        </w:rPr>
        <w:t xml:space="preserve">Корень из среднеквадратичной ошибки (Root Mean Squared Error, RMSE):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M</m:t>
          </m:r>
          <m:r>
            <m:t>S</m:t>
          </m:r>
          <m:r>
            <m:t>E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C</m:t>
                          </m:r>
                          <m:r>
                            <m:t>C</m:t>
                          </m:r>
                          <m:sSub>
                            <m:e>
                              <m:r>
                                <m:t>F</m:t>
                              </m:r>
                            </m:e>
                            <m:sub>
                              <m:r>
                                <m:rPr>
                                  <m:nor/>
                                  <m:sty m:val="p"/>
                                </m:rPr>
                                <m:t>actual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C</m:t>
                          </m:r>
                          <m:r>
                            <m:t>C</m:t>
                          </m:r>
                          <m:sSub>
                            <m:e>
                              <m:r>
                                <m:t>F</m:t>
                              </m:r>
                            </m:e>
                            <m:sub>
                              <m:r>
                                <m:rPr>
                                  <m:nor/>
                                  <m:sty m:val="p"/>
                                </m:rPr>
                                <m:t>model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</m:oMath>
      </m:oMathPara>
    </w:p>
    <w:p>
      <w:pPr>
        <w:numPr>
          <w:ilvl w:val="0"/>
          <w:numId w:val="1000"/>
        </w:numPr>
      </w:pPr>
      <w:r>
        <w:t xml:space="preserve">RMSE более чувствителен к большим отклонениям, чем MAE.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Коэффициент детерминации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rPr>
          <w:b/>
          <w:bCs/>
        </w:rPr>
        <w:t xml:space="preserve">):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R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C</m:t>
                          </m:r>
                          <m:r>
                            <m:t>C</m:t>
                          </m:r>
                          <m:sSub>
                            <m:e>
                              <m:r>
                                <m:t>F</m:t>
                              </m:r>
                            </m:e>
                            <m:sub>
                              <m:r>
                                <m:rPr>
                                  <m:nor/>
                                  <m:sty m:val="p"/>
                                </m:rPr>
                                <m:t>actual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C</m:t>
                          </m:r>
                          <m:r>
                            <m:t>C</m:t>
                          </m:r>
                          <m:sSub>
                            <m:e>
                              <m:r>
                                <m:t>F</m:t>
                              </m:r>
                            </m:e>
                            <m:sub>
                              <m:r>
                                <m:rPr>
                                  <m:nor/>
                                  <m:sty m:val="p"/>
                                </m:rPr>
                                <m:t>model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C</m:t>
                          </m:r>
                          <m:r>
                            <m:t>C</m:t>
                          </m:r>
                          <m:sSub>
                            <m:e>
                              <m:r>
                                <m:t>F</m:t>
                              </m:r>
                            </m:e>
                            <m:sub>
                              <m:r>
                                <m:rPr>
                                  <m:nor/>
                                  <m:sty m:val="p"/>
                                </m:rPr>
                                <m:t>actual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C</m:t>
                                  </m:r>
                                  <m:r>
                                    <m:t>C</m:t>
                                  </m:r>
                                  <m: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nor/>
                                  <m:sty m:val="p"/>
                                </m:rPr>
                                <m:t>actual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den>
          </m:f>
        </m:oMath>
      </m:oMathPara>
    </w:p>
    <w:p>
      <w:pPr>
        <w:numPr>
          <w:ilvl w:val="0"/>
          <w:numId w:val="1000"/>
        </w:numPr>
      </w:pPr>
      <w:r>
        <w:t xml:space="preserve">где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C</m:t>
                </m:r>
                <m:r>
                  <m:t>C</m:t>
                </m:r>
                <m:r>
                  <m:t>F</m:t>
                </m:r>
              </m:e>
            </m:acc>
          </m:e>
          <m:sub>
            <m:r>
              <m:rPr>
                <m:nor/>
                <m:sty m:val="p"/>
              </m:rPr>
              <m:t>actual</m:t>
            </m:r>
          </m:sub>
        </m:sSub>
      </m:oMath>
      <w:r>
        <w:t xml:space="preserve"> </w:t>
      </w:r>
      <w:r>
        <w:t xml:space="preserve">— среднее фактическое значение CCF. Значение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близкое к 1, указывает на высокую точность модели.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Средняя ошибка прогноза (Mean Forecast Error, MFE):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F</m:t>
          </m:r>
          <m:r>
            <m:t>E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t>C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model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C</m:t>
                  </m:r>
                  <m:r>
                    <m:t>C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actual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i</m:t>
                      </m:r>
                    </m:sub>
                  </m:sSub>
                </m:e>
              </m:d>
            </m:e>
          </m:nary>
        </m:oMath>
      </m:oMathPara>
    </w:p>
    <w:p>
      <w:pPr>
        <w:numPr>
          <w:ilvl w:val="0"/>
          <w:numId w:val="1000"/>
        </w:numPr>
      </w:pPr>
      <w:r>
        <w:t xml:space="preserve">Используется для оценки смещения модели. Если</w:t>
      </w:r>
      <w:r>
        <w:t xml:space="preserve"> </w:t>
      </w:r>
      <m:oMath>
        <m:r>
          <m:t>M</m:t>
        </m:r>
        <m:r>
          <m:t>F</m:t>
        </m:r>
        <m:r>
          <m:t>E</m:t>
        </m:r>
      </m:oMath>
      <w:r>
        <w:t xml:space="preserve"> </w:t>
      </w:r>
      <w:r>
        <w:t xml:space="preserve">значительно отклоняется от 0, модель имеет систематическую ошибку.</w:t>
      </w:r>
    </w:p>
    <w:p>
      <w:r>
        <w:pict>
          <v:rect style="width:0;height:1.5pt" o:hralign="center" o:hrstd="t" o:hr="t"/>
        </w:pict>
      </w:r>
    </w:p>
    <w:bookmarkEnd w:id="37"/>
    <w:bookmarkStart w:id="38" w:name="графический-анализ"/>
    <w:p>
      <w:pPr>
        <w:pStyle w:val="Heading4"/>
      </w:pPr>
      <w:r>
        <w:t xml:space="preserve">Графический анализ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График ошибок:</w:t>
      </w:r>
      <w:r>
        <w:br/>
      </w:r>
      <w:r>
        <w:t xml:space="preserve">Постройте распределение ошибок (</w:t>
      </w:r>
      <m:oMath>
        <m:r>
          <m:t>C</m:t>
        </m:r>
        <m:r>
          <m:t>C</m:t>
        </m:r>
        <m:sSub>
          <m:e>
            <m:r>
              <m:t>F</m:t>
            </m:r>
          </m:e>
          <m:sub>
            <m:r>
              <m:rPr>
                <m:nor/>
                <m:sty m:val="p"/>
              </m:rPr>
              <m:t>actual</m:t>
            </m:r>
            <m:r>
              <m:rPr>
                <m:sty m:val="p"/>
              </m:rPr>
              <m:t>,</m:t>
            </m:r>
            <m:r>
              <m:t>i</m:t>
            </m:r>
          </m:sub>
        </m:sSub>
        <m:r>
          <m:rPr>
            <m:sty m:val="p"/>
          </m:rPr>
          <m:t>−</m:t>
        </m:r>
        <m:r>
          <m:t>C</m:t>
        </m:r>
        <m:r>
          <m:t>C</m:t>
        </m:r>
        <m:sSub>
          <m:e>
            <m:r>
              <m:t>F</m:t>
            </m:r>
          </m:e>
          <m:sub>
            <m:r>
              <m:rPr>
                <m:nor/>
                <m:sty m:val="p"/>
              </m:rPr>
              <m:t>model</m:t>
            </m:r>
            <m:r>
              <m:rPr>
                <m:sty m:val="p"/>
              </m:rPr>
              <m:t>,</m:t>
            </m:r>
            <m:r>
              <m:t>i</m:t>
            </m:r>
          </m:sub>
        </m:sSub>
      </m:oMath>
      <w:r>
        <w:t xml:space="preserve">) для выявления систематических смещений.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График фактических и прогнозных значений:</w:t>
      </w:r>
      <w:r>
        <w:br/>
      </w:r>
      <w:r>
        <w:t xml:space="preserve">Постройте диаграмму рассеяния, где на оси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отображаются прогнозные значения (</w:t>
      </w:r>
      <m:oMath>
        <m:r>
          <m:t>C</m:t>
        </m:r>
        <m:r>
          <m:t>C</m:t>
        </m:r>
        <m:sSub>
          <m:e>
            <m:r>
              <m:t>F</m:t>
            </m:r>
          </m:e>
          <m:sub>
            <m:r>
              <m:rPr>
                <m:nor/>
                <m:sty m:val="p"/>
              </m:rPr>
              <m:t>model</m:t>
            </m:r>
          </m:sub>
        </m:sSub>
      </m:oMath>
      <w:r>
        <w:t xml:space="preserve">), а на оси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— фактические (</w:t>
      </w:r>
      <m:oMath>
        <m:r>
          <m:t>C</m:t>
        </m:r>
        <m:r>
          <m:t>C</m:t>
        </m:r>
        <m:sSub>
          <m:e>
            <m:r>
              <m:t>F</m:t>
            </m:r>
          </m:e>
          <m:sub>
            <m:r>
              <m:rPr>
                <m:nor/>
                <m:sty m:val="p"/>
              </m:rPr>
              <m:t>actual</m:t>
            </m:r>
          </m:sub>
        </m:sSub>
      </m:oMath>
      <w:r>
        <w:t xml:space="preserve">). Линия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указывает на идеальное соответствие.</w:t>
      </w:r>
    </w:p>
    <w:p>
      <w:r>
        <w:pict>
          <v:rect style="width:0;height:1.5pt" o:hralign="center" o:hrstd="t" o:hr="t"/>
        </w:pict>
      </w:r>
    </w:p>
    <w:bookmarkEnd w:id="38"/>
    <w:bookmarkStart w:id="39" w:name="шаги-проведения-бэктеста"/>
    <w:p>
      <w:pPr>
        <w:pStyle w:val="Heading4"/>
      </w:pPr>
      <w:r>
        <w:t xml:space="preserve">Шаги проведения бэктеста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Расчет метрик на уровне портфеля:</w:t>
      </w:r>
      <w:r>
        <w:br/>
      </w:r>
      <w:r>
        <w:t xml:space="preserve">Вычислите описанные метрики (MAE, RMSE,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 MFE) для всего портфеля.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Анализ по сегментам:</w:t>
      </w:r>
      <w:r>
        <w:br/>
      </w:r>
      <w:r>
        <w:t xml:space="preserve">Проведите те же расчеты для отдельных сегментов (по типу заемщика, продуктам, географии и т. д.). Это позволяет выявить сегменты, где модель недостаточно точна.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Сравнение прогнозов и фактических значений:</w:t>
      </w:r>
      <w:r>
        <w:br/>
      </w:r>
      <w:r>
        <w:t xml:space="preserve">Постройте графики, отражающие соответствие прогнозов и фактических значений.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Интерпретация результатов:</w:t>
      </w:r>
    </w:p>
    <w:p>
      <w:pPr>
        <w:pStyle w:val="Compact"/>
        <w:numPr>
          <w:ilvl w:val="1"/>
          <w:numId w:val="1027"/>
        </w:numPr>
      </w:pPr>
      <w:r>
        <w:t xml:space="preserve">Высокие значения RMSE или значительное смещение (MFE) указывают на необходимость доработки модели.</w:t>
      </w:r>
    </w:p>
    <w:p>
      <w:pPr>
        <w:pStyle w:val="Compact"/>
        <w:numPr>
          <w:ilvl w:val="1"/>
          <w:numId w:val="1027"/>
        </w:numPr>
      </w:pPr>
      <w:r>
        <w:t xml:space="preserve">Низкие значения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(например, ниже 0.5) свидетельствуют о слабой объясняющей способности модели.</w:t>
      </w:r>
    </w:p>
    <w:p>
      <w:r>
        <w:pict>
          <v:rect style="width:0;height:1.5pt" o:hralign="center" o:hrstd="t" o:hr="t"/>
        </w:pict>
      </w:r>
    </w:p>
    <w:bookmarkEnd w:id="39"/>
    <w:bookmarkStart w:id="40" w:name="пример"/>
    <w:p>
      <w:pPr>
        <w:pStyle w:val="Heading4"/>
      </w:pPr>
      <w:r>
        <w:t xml:space="preserve">Пример</w:t>
      </w:r>
    </w:p>
    <w:p>
      <w:pPr>
        <w:pStyle w:val="FirstParagraph"/>
      </w:pPr>
      <w:r>
        <w:t xml:space="preserve">Допустим, у вас есть следующие данные для 5 наблюдений:</w:t>
      </w:r>
      <w:r>
        <w:br/>
      </w:r>
      <w:r>
        <w:t xml:space="preserve">Фактические значения</w:t>
      </w:r>
      <w:r>
        <w:t xml:space="preserve"> </w:t>
      </w:r>
      <m:oMath>
        <m:r>
          <m:t>C</m:t>
        </m:r>
        <m:r>
          <m:t>C</m:t>
        </m:r>
        <m:sSub>
          <m:e>
            <m:r>
              <m:t>F</m:t>
            </m:r>
          </m:e>
          <m:sub>
            <m:r>
              <m:rPr>
                <m:nor/>
                <m:sty m:val="p"/>
              </m:rPr>
              <m:t>actual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[</m:t>
        </m:r>
        <m:r>
          <m:t>0.4</m:t>
        </m:r>
        <m:r>
          <m:rPr>
            <m:sty m:val="p"/>
          </m:rPr>
          <m:t>,</m:t>
        </m:r>
        <m:r>
          <m:t>0.6</m:t>
        </m:r>
        <m:r>
          <m:rPr>
            <m:sty m:val="p"/>
          </m:rPr>
          <m:t>,</m:t>
        </m:r>
        <m:r>
          <m:t>0.5</m:t>
        </m:r>
        <m:r>
          <m:rPr>
            <m:sty m:val="p"/>
          </m:rPr>
          <m:t>,</m:t>
        </m:r>
        <m:r>
          <m:t>0.7</m:t>
        </m:r>
        <m:r>
          <m:rPr>
            <m:sty m:val="p"/>
          </m:rPr>
          <m:t>,</m:t>
        </m:r>
        <m:r>
          <m:t>0.8</m:t>
        </m:r>
        <m:r>
          <m:rPr>
            <m:sty m:val="p"/>
          </m:rPr>
          <m:t>]</m:t>
        </m:r>
      </m:oMath>
      <w:r>
        <w:br/>
      </w:r>
      <w:r>
        <w:t xml:space="preserve">Прогнозируемые значения</w:t>
      </w:r>
      <w:r>
        <w:t xml:space="preserve"> </w:t>
      </w:r>
      <m:oMath>
        <m:r>
          <m:t>C</m:t>
        </m:r>
        <m:r>
          <m:t>C</m:t>
        </m:r>
        <m:sSub>
          <m:e>
            <m:r>
              <m:t>F</m:t>
            </m:r>
          </m:e>
          <m:sub>
            <m:r>
              <m:rPr>
                <m:nor/>
                <m:sty m:val="p"/>
              </m:rPr>
              <m:t>model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[</m:t>
        </m:r>
        <m:r>
          <m:t>0.5</m:t>
        </m:r>
        <m:r>
          <m:rPr>
            <m:sty m:val="p"/>
          </m:rPr>
          <m:t>,</m:t>
        </m:r>
        <m:r>
          <m:t>0.55</m:t>
        </m:r>
        <m:r>
          <m:rPr>
            <m:sty m:val="p"/>
          </m:rPr>
          <m:t>,</m:t>
        </m:r>
        <m:r>
          <m:t>0.45</m:t>
        </m:r>
        <m:r>
          <m:rPr>
            <m:sty m:val="p"/>
          </m:rPr>
          <m:t>,</m:t>
        </m:r>
        <m:r>
          <m:t>0.75</m:t>
        </m:r>
        <m:r>
          <m:rPr>
            <m:sty m:val="p"/>
          </m:rPr>
          <m:t>,</m:t>
        </m:r>
        <m:r>
          <m:t>0.85</m:t>
        </m:r>
        <m:r>
          <m:rPr>
            <m:sty m:val="p"/>
          </m:rPr>
          <m:t>]</m:t>
        </m:r>
      </m:oMath>
    </w:p>
    <w:p>
      <w:pPr>
        <w:pStyle w:val="BodyText"/>
      </w:pPr>
      <w:r>
        <w:t xml:space="preserve">Вычислим метрики:</w:t>
      </w:r>
    </w:p>
    <w:p>
      <w:pPr>
        <w:pStyle w:val="Compact"/>
        <w:numPr>
          <w:ilvl w:val="0"/>
          <w:numId w:val="1028"/>
        </w:numPr>
      </w:pPr>
      <m:oMath>
        <m:r>
          <m:t>M</m:t>
        </m:r>
        <m:r>
          <m:t>A</m:t>
        </m:r>
        <m:r>
          <m:t>E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∣</m:t>
            </m:r>
            <m:r>
              <m:t>0.4</m:t>
            </m:r>
            <m:r>
              <m:rPr>
                <m:sty m:val="p"/>
              </m:rPr>
              <m:t>−</m:t>
            </m:r>
            <m:r>
              <m:t>0.5</m:t>
            </m:r>
            <m:r>
              <m:rPr>
                <m:sty m:val="p"/>
              </m:rPr>
              <m:t>∣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∣</m:t>
            </m:r>
            <m:r>
              <m:t>0.6</m:t>
            </m:r>
            <m:r>
              <m:rPr>
                <m:sty m:val="p"/>
              </m:rPr>
              <m:t>−</m:t>
            </m:r>
            <m:r>
              <m:t>0.55</m:t>
            </m:r>
            <m:r>
              <m:rPr>
                <m:sty m:val="p"/>
              </m:rPr>
              <m:t>∣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∣</m:t>
            </m:r>
            <m:r>
              <m:t>0.5</m:t>
            </m:r>
            <m:r>
              <m:rPr>
                <m:sty m:val="p"/>
              </m:rPr>
              <m:t>−</m:t>
            </m:r>
            <m:r>
              <m:t>0.45</m:t>
            </m:r>
            <m:r>
              <m:rPr>
                <m:sty m:val="p"/>
              </m:rPr>
              <m:t>∣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∣</m:t>
            </m:r>
            <m:r>
              <m:t>0.7</m:t>
            </m:r>
            <m:r>
              <m:rPr>
                <m:sty m:val="p"/>
              </m:rPr>
              <m:t>−</m:t>
            </m:r>
            <m:r>
              <m:t>0.75</m:t>
            </m:r>
            <m:r>
              <m:rPr>
                <m:sty m:val="p"/>
              </m:rPr>
              <m:t>∣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∣</m:t>
            </m:r>
            <m:r>
              <m:t>0.8</m:t>
            </m:r>
            <m:r>
              <m:rPr>
                <m:sty m:val="p"/>
              </m:rPr>
              <m:t>−</m:t>
            </m:r>
            <m:r>
              <m:t>0.85</m:t>
            </m:r>
            <m:r>
              <m:rPr>
                <m:sty m:val="p"/>
              </m:rPr>
              <m:t>∣</m:t>
            </m:r>
          </m:num>
          <m:den>
            <m:r>
              <m:t>5</m:t>
            </m:r>
          </m:den>
        </m:f>
        <m:r>
          <m:rPr>
            <m:sty m:val="p"/>
          </m:rPr>
          <m:t>=</m:t>
        </m:r>
        <m:r>
          <m:t>0.06</m:t>
        </m:r>
      </m:oMath>
    </w:p>
    <w:p>
      <w:pPr>
        <w:pStyle w:val="Compact"/>
        <w:numPr>
          <w:ilvl w:val="0"/>
          <w:numId w:val="1028"/>
        </w:numPr>
      </w:pPr>
      <m:oMath>
        <m:r>
          <m:t>M</m:t>
        </m:r>
        <m:r>
          <m:t>S</m:t>
        </m:r>
        <m:r>
          <m:t>E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0.7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0.8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0.85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r>
              <m:t>5</m:t>
            </m:r>
          </m:den>
        </m:f>
        <m:r>
          <m:rPr>
            <m:sty m:val="p"/>
          </m:rPr>
          <m:t>=</m:t>
        </m:r>
        <m:r>
          <m:t>0.004</m:t>
        </m:r>
      </m:oMath>
    </w:p>
    <w:p>
      <w:pPr>
        <w:pStyle w:val="Compact"/>
        <w:numPr>
          <w:ilvl w:val="0"/>
          <w:numId w:val="1028"/>
        </w:numPr>
      </w:pPr>
      <m:oMath>
        <m:r>
          <m:t>R</m:t>
        </m:r>
        <m:r>
          <m:t>M</m:t>
        </m:r>
        <m:r>
          <m:t>S</m:t>
        </m:r>
        <m:r>
          <m:t>E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0.004</m:t>
            </m:r>
          </m:e>
        </m:rad>
        <m:r>
          <m:rPr>
            <m:sty m:val="p"/>
          </m:rPr>
          <m:t>=</m:t>
        </m:r>
        <m:r>
          <m:t>0.063</m:t>
        </m:r>
      </m:oMath>
    </w:p>
    <w:p>
      <w:r>
        <w:pict>
          <v:rect style="width:0;height:1.5pt" o:hralign="center" o:hrstd="t" o:hr="t"/>
        </w:pict>
      </w:r>
    </w:p>
    <w:bookmarkEnd w:id="40"/>
    <w:bookmarkStart w:id="41" w:name="заключение-1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Бэктест модели CCF позволяет оценить точность прогнозов и выявить слабые места модели. Расчет количественных метрик и визуализация результатов дают объективное понимание качества модели, а также помогают принять решения о необходимости доработок.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