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gd"/>
    <w:p>
      <w:pPr>
        <w:pStyle w:val="Heading3"/>
      </w:pPr>
      <w:r>
        <w:t xml:space="preserve">LGD</w:t>
      </w:r>
    </w:p>
    <w:bookmarkEnd w:id="20"/>
    <w:bookmarkStart w:id="27" w:name="оценка-модели-lgd-с-помощью-t-теста"/>
    <w:p>
      <w:pPr>
        <w:pStyle w:val="Heading3"/>
      </w:pPr>
      <w:r>
        <w:t xml:space="preserve">Оценка модели LGD с помощью</w:t>
      </w:r>
      <w:r>
        <w:t xml:space="preserve"> </w:t>
      </w:r>
      <m:oMath>
        <m:r>
          <m:t>t</m:t>
        </m:r>
      </m:oMath>
      <w:r>
        <w:t xml:space="preserve">-теста</w:t>
      </w:r>
    </w:p>
    <w:bookmarkStart w:id="21" w:name="цель-применения-t-теста"/>
    <w:p>
      <w:pPr>
        <w:pStyle w:val="Heading4"/>
      </w:pPr>
      <w:r>
        <w:t xml:space="preserve">Цель применения</w:t>
      </w:r>
      <w:r>
        <w:t xml:space="preserve"> </w:t>
      </w:r>
      <m:oMath>
        <m:r>
          <m:t>t</m:t>
        </m:r>
      </m:oMath>
      <w:r>
        <w:t xml:space="preserve">-теста</w:t>
      </w:r>
    </w:p>
    <w:p>
      <w:pPr>
        <w:pStyle w:val="FirstParagraph"/>
      </w:pPr>
      <m:oMath>
        <m:r>
          <m:t>t</m:t>
        </m:r>
      </m:oMath>
      <w:r>
        <w:t xml:space="preserve">-тест используется для проверки статистической значимости различий между средними значениями прогнозируемого и фактического LGD как на уровне всего портфеля, так и в отдельных сегментах. Это позволяет выявить систематические отклонения модели в прогнозировании потерь, которые могут быть признаком некорректной калибровки или других ошибок модели.</w:t>
      </w:r>
    </w:p>
    <w:p>
      <w:r>
        <w:pict>
          <v:rect style="width:0;height:1.5pt" o:hralign="center" o:hrstd="t" o:hr="t"/>
        </w:pict>
      </w:r>
    </w:p>
    <w:bookmarkEnd w:id="21"/>
    <w:bookmarkStart w:id="22" w:name="постановка-задачи"/>
    <w:p>
      <w:pPr>
        <w:pStyle w:val="Heading4"/>
      </w:pPr>
      <w:r>
        <w:t xml:space="preserve">Постановка задачи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Нулевая гипотеза (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rPr>
          <w:b/>
          <w:bCs/>
        </w:rPr>
        <w:t xml:space="preserve">)</w:t>
      </w:r>
      <w:r>
        <w:t xml:space="preserve">:</w:t>
      </w:r>
      <w:r>
        <w:t xml:space="preserve"> </w:t>
      </w:r>
      <w:r>
        <w:t xml:space="preserve">Среднее значение прогнозируемого LGD (</w:t>
      </w:r>
      <m:oMath>
        <m:sSub>
          <m:e>
            <m:r>
              <m:rPr>
                <m:nor/>
                <m:sty m:val="p"/>
              </m:rPr>
              <m:t>LGD</m:t>
            </m:r>
          </m:e>
          <m:sub>
            <m:r>
              <m:rPr>
                <m:nor/>
                <m:sty m:val="p"/>
              </m:rPr>
              <m:t>pred</m:t>
            </m:r>
          </m:sub>
        </m:sSub>
      </m:oMath>
      <w:r>
        <w:t xml:space="preserve">) совпадает с средним фактическим значением LGD (</w:t>
      </w:r>
      <m:oMath>
        <m:sSub>
          <m:e>
            <m:r>
              <m:rPr>
                <m:nor/>
                <m:sty m:val="p"/>
              </m:rPr>
              <m:t>LGD</m:t>
            </m:r>
          </m:e>
          <m:sub>
            <m:r>
              <m:rPr>
                <m:nor/>
                <m:sty m:val="p"/>
              </m:rPr>
              <m:t>actual</m:t>
            </m:r>
          </m:sub>
        </m:sSub>
      </m:oMath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:</m:t>
          </m:r>
          <m:sSub>
            <m:e>
              <m:r>
                <m:t>μ</m:t>
              </m:r>
            </m:e>
            <m:sub>
              <m:r>
                <m:rPr>
                  <m:nor/>
                  <m:sty m:val="p"/>
                </m:rPr>
                <m:t>pred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μ</m:t>
              </m:r>
            </m:e>
            <m:sub>
              <m:r>
                <m:rPr>
                  <m:nor/>
                  <m:sty m:val="p"/>
                </m:rPr>
                <m:t>actual</m:t>
              </m:r>
            </m:sub>
          </m:sSub>
        </m:oMath>
      </m:oMathPara>
    </w:p>
    <w:p>
      <w:pPr>
        <w:numPr>
          <w:ilvl w:val="0"/>
          <w:numId w:val="1001"/>
        </w:numPr>
      </w:pPr>
      <w:r>
        <w:rPr>
          <w:b/>
          <w:bCs/>
        </w:rPr>
        <w:t xml:space="preserve">Альтернативная гипотеза (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rPr>
          <w:b/>
          <w:bCs/>
        </w:rPr>
        <w:t xml:space="preserve">)</w:t>
      </w:r>
      <w:r>
        <w:t xml:space="preserve">:</w:t>
      </w:r>
      <w:r>
        <w:t xml:space="preserve"> </w:t>
      </w:r>
      <w:r>
        <w:t xml:space="preserve">Средние значения прогнозируемого и фактического LGD различаются: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:</m:t>
          </m:r>
          <m:sSub>
            <m:e>
              <m:r>
                <m:t>μ</m:t>
              </m:r>
            </m:e>
            <m:sub>
              <m:r>
                <m:rPr>
                  <m:nor/>
                  <m:sty m:val="p"/>
                </m:rPr>
                <m:t>pred</m:t>
              </m:r>
            </m:sub>
          </m:sSub>
          <m:r>
            <m:rPr>
              <m:sty m:val="p"/>
            </m:rPr>
            <m:t>≠</m:t>
          </m:r>
          <m:sSub>
            <m:e>
              <m:r>
                <m:t>μ</m:t>
              </m:r>
            </m:e>
            <m:sub>
              <m:r>
                <m:rPr>
                  <m:nor/>
                  <m:sty m:val="p"/>
                </m:rPr>
                <m:t>actual</m:t>
              </m:r>
            </m:sub>
          </m:sSub>
        </m:oMath>
      </m:oMathPara>
    </w:p>
    <w:p>
      <w:pPr>
        <w:numPr>
          <w:ilvl w:val="0"/>
          <w:numId w:val="1001"/>
        </w:numPr>
      </w:pPr>
      <w:r>
        <w:rPr>
          <w:b/>
          <w:bCs/>
        </w:rPr>
        <w:t xml:space="preserve">Уровень значимости (</w:t>
      </w:r>
      <m:oMath>
        <m:r>
          <m:t>α</m:t>
        </m:r>
      </m:oMath>
      <w:r>
        <w:rPr>
          <w:b/>
          <w:bCs/>
        </w:rPr>
        <w:t xml:space="preserve">)</w:t>
      </w:r>
      <w:r>
        <w:t xml:space="preserve">:</w:t>
      </w:r>
      <w:r>
        <w:t xml:space="preserve"> </w:t>
      </w:r>
      <w:r>
        <w:t xml:space="preserve">Обычно задается значение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</m:oMath>
      <w:r>
        <w:t xml:space="preserve">. Оно определяет порог</w:t>
      </w:r>
      <w:r>
        <w:t xml:space="preserve"> </w:t>
      </w:r>
      <m:oMath>
        <m:r>
          <m:t>p</m:t>
        </m:r>
      </m:oMath>
      <w:r>
        <w:t xml:space="preserve">-value, при котором нулевая гипотеза будет отвергнута.</w:t>
      </w:r>
    </w:p>
    <w:p>
      <w:r>
        <w:pict>
          <v:rect style="width:0;height:1.5pt" o:hralign="center" o:hrstd="t" o:hr="t"/>
        </w:pict>
      </w:r>
    </w:p>
    <w:bookmarkEnd w:id="22"/>
    <w:bookmarkStart w:id="23" w:name="алгоритм-проведения-t-теста"/>
    <w:p>
      <w:pPr>
        <w:pStyle w:val="Heading4"/>
      </w:pPr>
      <w:r>
        <w:t xml:space="preserve">Алгоритм проведения</w:t>
      </w:r>
      <w:r>
        <w:t xml:space="preserve"> </w:t>
      </w:r>
      <m:oMath>
        <m:r>
          <m:t>t</m:t>
        </m:r>
      </m:oMath>
      <w:r>
        <w:t xml:space="preserve">-теста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Сбор данных</w:t>
      </w:r>
      <w:r>
        <w:t xml:space="preserve">:</w:t>
      </w:r>
      <w:r>
        <w:br/>
      </w:r>
      <w:r>
        <w:t xml:space="preserve">Собираются данные по фактическим значениям LGD (</w:t>
      </w:r>
      <m:oMath>
        <m:sSub>
          <m:e>
            <m:r>
              <m:rPr>
                <m:nor/>
                <m:sty m:val="p"/>
              </m:rPr>
              <m:t>LGD</m:t>
            </m:r>
          </m:e>
          <m:sub>
            <m:r>
              <m:rPr>
                <m:nor/>
                <m:sty m:val="p"/>
              </m:rPr>
              <m:t>actual</m:t>
            </m:r>
          </m:sub>
        </m:sSub>
      </m:oMath>
      <w:r>
        <w:t xml:space="preserve">) и прогнозируемым моделью значениям LGD (</w:t>
      </w:r>
      <m:oMath>
        <m:sSub>
          <m:e>
            <m:r>
              <m:rPr>
                <m:nor/>
                <m:sty m:val="p"/>
              </m:rPr>
              <m:t>LGD</m:t>
            </m:r>
          </m:e>
          <m:sub>
            <m:r>
              <m:rPr>
                <m:nor/>
                <m:sty m:val="p"/>
              </m:rPr>
              <m:t>pred</m:t>
            </m:r>
          </m:sub>
        </m:sSub>
      </m:oMath>
      <w:r>
        <w:t xml:space="preserve">) для всего портфеля и каждого сегмента.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Расчет статистики</w:t>
      </w:r>
      <w:r>
        <w:rPr>
          <w:b/>
          <w:bCs/>
        </w:rPr>
        <w:t xml:space="preserve"> </w:t>
      </w:r>
      <m:oMath>
        <m:r>
          <m:t>t</m:t>
        </m:r>
      </m:oMath>
      <w:r>
        <w:t xml:space="preserve">:</w:t>
      </w:r>
      <w:r>
        <w:br/>
      </w:r>
      <w:r>
        <w:t xml:space="preserve">Для независимых выборок: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limUpp>
                    <m:e>
                      <m:r>
                        <m:t>X</m:t>
                      </m:r>
                    </m:e>
                    <m:lim>
                      <m:r>
                        <m:t>ˉ</m:t>
                      </m:r>
                    </m:lim>
                  </m:limUpp>
                </m:e>
                <m:sub>
                  <m:r>
                    <m:rPr>
                      <m:nor/>
                      <m:sty m:val="p"/>
                    </m:rPr>
                    <m:t>pred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limUpp>
                    <m:e>
                      <m:r>
                        <m:t>X</m:t>
                      </m:r>
                    </m:e>
                    <m:lim>
                      <m:r>
                        <m:t>ˉ</m:t>
                      </m:r>
                    </m:lim>
                  </m:limUpp>
                </m:e>
                <m:sub>
                  <m:r>
                    <m:rPr>
                      <m:nor/>
                      <m:sty m:val="p"/>
                    </m:rPr>
                    <m:t>actual</m:t>
                  </m:r>
                </m:sub>
              </m:sSub>
            </m:num>
            <m:den>
              <m:rad>
                <m:radPr>
                  <m:degHide m:val="on"/>
                </m:radPr>
                <m:deg/>
                <m:e>
                  <m:f>
                    <m:fPr>
                      <m:type m:val="bar"/>
                    </m:fPr>
                    <m:num>
                      <m:sSubSup>
                        <m:e>
                          <m:r>
                            <m:t>S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pred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pred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bSup>
                        <m:e>
                          <m:r>
                            <m:t>S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actual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actual</m:t>
                          </m:r>
                        </m:sub>
                      </m:sSub>
                    </m:den>
                  </m:f>
                </m:e>
              </m:rad>
            </m:den>
          </m:f>
        </m:oMath>
      </m:oMathPara>
    </w:p>
    <w:p>
      <w:pPr>
        <w:numPr>
          <w:ilvl w:val="0"/>
          <w:numId w:val="1000"/>
        </w:numPr>
      </w:pPr>
      <w:r>
        <w:t xml:space="preserve">где:</w:t>
      </w:r>
    </w:p>
    <w:p>
      <w:pPr>
        <w:pStyle w:val="Compact"/>
        <w:numPr>
          <w:ilvl w:val="1"/>
          <w:numId w:val="1003"/>
        </w:numPr>
      </w:pPr>
      <m:oMath>
        <m:sSub>
          <m:e>
            <m:limUpp>
              <m:e>
                <m:r>
                  <m:t>X</m:t>
                </m:r>
              </m:e>
              <m:lim>
                <m:r>
                  <m:t>ˉ</m:t>
                </m:r>
              </m:lim>
            </m:limUpp>
          </m:e>
          <m:sub>
            <m:r>
              <m:rPr>
                <m:nor/>
                <m:sty m:val="p"/>
              </m:rPr>
              <m:t>pred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limUpp>
              <m:e>
                <m:r>
                  <m:t>X</m:t>
                </m:r>
              </m:e>
              <m:lim>
                <m:r>
                  <m:t>ˉ</m:t>
                </m:r>
              </m:lim>
            </m:limUpp>
          </m:e>
          <m:sub>
            <m:r>
              <m:rPr>
                <m:nor/>
                <m:sty m:val="p"/>
              </m:rPr>
              <m:t>actual</m:t>
            </m:r>
          </m:sub>
        </m:sSub>
      </m:oMath>
      <w:r>
        <w:t xml:space="preserve"> </w:t>
      </w:r>
      <w:r>
        <w:t xml:space="preserve">— средние значения прогнозируемого и фактического LGD соответственно.</w:t>
      </w:r>
    </w:p>
    <w:p>
      <w:pPr>
        <w:pStyle w:val="Compact"/>
        <w:numPr>
          <w:ilvl w:val="1"/>
          <w:numId w:val="1003"/>
        </w:numPr>
      </w:pPr>
      <m:oMath>
        <m:sSubSup>
          <m:e>
            <m:r>
              <m:t>S</m:t>
            </m:r>
          </m:e>
          <m:sub>
            <m:r>
              <m:rPr>
                <m:nor/>
                <m:sty m:val="p"/>
              </m:rPr>
              <m:t>pred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и</w:t>
      </w:r>
      <w:r>
        <w:t xml:space="preserve"> </w:t>
      </w:r>
      <m:oMath>
        <m:sSubSup>
          <m:e>
            <m:r>
              <m:t>S</m:t>
            </m:r>
          </m:e>
          <m:sub>
            <m:r>
              <m:rPr>
                <m:nor/>
                <m:sty m:val="p"/>
              </m:rPr>
              <m:t>actual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— дисперсии прогнозируемого и фактического LGD.</w:t>
      </w:r>
    </w:p>
    <w:p>
      <w:pPr>
        <w:pStyle w:val="Compact"/>
        <w:numPr>
          <w:ilvl w:val="1"/>
          <w:numId w:val="1003"/>
        </w:numPr>
      </w:pPr>
      <m:oMath>
        <m:sSub>
          <m:e>
            <m:r>
              <m:t>n</m:t>
            </m:r>
          </m:e>
          <m:sub>
            <m:r>
              <m:rPr>
                <m:nor/>
                <m:sty m:val="p"/>
              </m:rPr>
              <m:t>pred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n</m:t>
            </m:r>
          </m:e>
          <m:sub>
            <m:r>
              <m:rPr>
                <m:nor/>
                <m:sty m:val="p"/>
              </m:rPr>
              <m:t>actual</m:t>
            </m:r>
          </m:sub>
        </m:sSub>
      </m:oMath>
      <w:r>
        <w:t xml:space="preserve"> </w:t>
      </w:r>
      <w:r>
        <w:t xml:space="preserve">— объемы выборок.</w:t>
      </w:r>
    </w:p>
    <w:p>
      <w:pPr>
        <w:numPr>
          <w:ilvl w:val="0"/>
          <w:numId w:val="1000"/>
        </w:numPr>
      </w:pPr>
      <w:r>
        <w:t xml:space="preserve">Для связанных выборок (например, если прогноз и факт оцениваются по одним и тем же клиентам):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limUpp>
                <m:e>
                  <m:r>
                    <m:t>D</m:t>
                  </m:r>
                </m:e>
                <m:lim>
                  <m:r>
                    <m:t>ˉ</m:t>
                  </m:r>
                </m:lim>
              </m:limUpp>
            </m:num>
            <m:den>
              <m:f>
                <m:fPr>
                  <m:type m:val="bar"/>
                </m:fPr>
                <m:num>
                  <m:sSub>
                    <m:e>
                      <m:r>
                        <m:t>S</m:t>
                      </m:r>
                    </m:e>
                    <m:sub>
                      <m:r>
                        <m:t>D</m:t>
                      </m:r>
                    </m:sub>
                  </m:sSub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n</m:t>
                      </m:r>
                    </m:e>
                  </m:rad>
                </m:den>
              </m:f>
            </m:den>
          </m:f>
        </m:oMath>
      </m:oMathPara>
    </w:p>
    <w:p>
      <w:pPr>
        <w:numPr>
          <w:ilvl w:val="0"/>
          <w:numId w:val="1000"/>
        </w:numPr>
      </w:pPr>
      <w:r>
        <w:t xml:space="preserve">где:</w:t>
      </w:r>
    </w:p>
    <w:p>
      <w:pPr>
        <w:pStyle w:val="Compact"/>
        <w:numPr>
          <w:ilvl w:val="1"/>
          <w:numId w:val="1004"/>
        </w:numPr>
      </w:pPr>
      <m:oMath>
        <m:limUpp>
          <m:e>
            <m:r>
              <m:t>D</m:t>
            </m:r>
          </m:e>
          <m:lim>
            <m:r>
              <m:t>ˉ</m:t>
            </m:r>
          </m:lim>
        </m:limUpp>
      </m:oMath>
      <w:r>
        <w:t xml:space="preserve"> </w:t>
      </w:r>
      <w:r>
        <w:t xml:space="preserve">— среднее значение разницы между</w:t>
      </w:r>
      <w:r>
        <w:t xml:space="preserve"> </w:t>
      </w:r>
      <m:oMath>
        <m:sSub>
          <m:e>
            <m:r>
              <m:rPr>
                <m:nor/>
                <m:sty m:val="p"/>
              </m:rPr>
              <m:t>LGD</m:t>
            </m:r>
          </m:e>
          <m:sub>
            <m:r>
              <m:rPr>
                <m:nor/>
                <m:sty m:val="p"/>
              </m:rPr>
              <m:t>pred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rPr>
                <m:nor/>
                <m:sty m:val="p"/>
              </m:rPr>
              <m:t>LGD</m:t>
            </m:r>
          </m:e>
          <m:sub>
            <m:r>
              <m:rPr>
                <m:nor/>
                <m:sty m:val="p"/>
              </m:rPr>
              <m:t>actual</m:t>
            </m:r>
          </m:sub>
        </m:sSub>
      </m:oMath>
      <w:r>
        <w:t xml:space="preserve"> </w:t>
      </w:r>
      <w:r>
        <w:t xml:space="preserve">для каждой записи.</w:t>
      </w:r>
    </w:p>
    <w:p>
      <w:pPr>
        <w:pStyle w:val="Compact"/>
        <w:numPr>
          <w:ilvl w:val="1"/>
          <w:numId w:val="1004"/>
        </w:numPr>
      </w:pPr>
      <m:oMath>
        <m:sSub>
          <m:e>
            <m:r>
              <m:t>S</m:t>
            </m:r>
          </m:e>
          <m:sub>
            <m:r>
              <m:t>D</m:t>
            </m:r>
          </m:sub>
        </m:sSub>
      </m:oMath>
      <w:r>
        <w:t xml:space="preserve"> </w:t>
      </w:r>
      <w:r>
        <w:t xml:space="preserve">— стандартное отклонение разницы.</w:t>
      </w:r>
    </w:p>
    <w:p>
      <w:pPr>
        <w:pStyle w:val="Compact"/>
        <w:numPr>
          <w:ilvl w:val="1"/>
          <w:numId w:val="1004"/>
        </w:numPr>
      </w:pPr>
      <m:oMath>
        <m:r>
          <m:t>n</m:t>
        </m:r>
      </m:oMath>
      <w:r>
        <w:t xml:space="preserve"> </w:t>
      </w:r>
      <w:r>
        <w:t xml:space="preserve">— объем выборки.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Расчет степени свободы (</w:t>
      </w:r>
      <m:oMath>
        <m:r>
          <m:t>d</m:t>
        </m:r>
        <m:r>
          <m:t>f</m:t>
        </m:r>
      </m:oMath>
      <w:r>
        <w:rPr>
          <w:b/>
          <w:bCs/>
        </w:rPr>
        <w:t xml:space="preserve">)</w:t>
      </w:r>
      <w:r>
        <w:t xml:space="preserve">:</w:t>
      </w:r>
      <w:r>
        <w:br/>
      </w:r>
      <w:r>
        <w:t xml:space="preserve">Для независимых выборок: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f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sSubSup>
                            <m:e>
                              <m:r>
                                <m:t>S</m:t>
                              </m:r>
                            </m:e>
                            <m:sub>
                              <m:r>
                                <m:rPr>
                                  <m:nor/>
                                  <m:sty m:val="p"/>
                                </m:rPr>
                                <m:t>pred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rPr>
                                  <m:nor/>
                                  <m:sty m:val="p"/>
                                </m:rPr>
                                <m:t>pred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m:t>+</m:t>
                      </m:r>
                      <m:f>
                        <m:fPr>
                          <m:type m:val="bar"/>
                        </m:fPr>
                        <m:num>
                          <m:sSubSup>
                            <m:e>
                              <m:r>
                                <m:t>S</m:t>
                              </m:r>
                            </m:e>
                            <m:sub>
                              <m:r>
                                <m:rPr>
                                  <m:nor/>
                                  <m:sty m:val="p"/>
                                </m:rPr>
                                <m:t>actual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rPr>
                                  <m:nor/>
                                  <m:sty m:val="p"/>
                                </m:rPr>
                                <m:t>actual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sSubSup>
                                <m:e>
                                  <m: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nor/>
                                      <m:sty m:val="p"/>
                                    </m:rPr>
                                    <m:t>pred</m:t>
                                  </m:r>
                                </m:sub>
                                <m:sup>
                                  <m: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b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rPr>
                                      <m:nor/>
                                      <m:sty m:val="p"/>
                                    </m:rPr>
                                    <m:t>pred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pred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sSubSup>
                                <m:e>
                                  <m: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nor/>
                                      <m:sty m:val="p"/>
                                    </m:rPr>
                                    <m:t>actual</m:t>
                                  </m:r>
                                </m:sub>
                                <m:sup>
                                  <m: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b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rPr>
                                      <m:nor/>
                                      <m:sty m:val="p"/>
                                    </m:rPr>
                                    <m:t>actual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actual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</m:den>
          </m:f>
        </m:oMath>
      </m:oMathPara>
    </w:p>
    <w:p>
      <w:pPr>
        <w:numPr>
          <w:ilvl w:val="0"/>
          <w:numId w:val="1002"/>
        </w:numPr>
      </w:pPr>
      <w:r>
        <w:rPr>
          <w:b/>
          <w:bCs/>
        </w:rPr>
        <w:t xml:space="preserve">Определение</w:t>
      </w:r>
      <w:r>
        <w:rPr>
          <w:b/>
          <w:bCs/>
        </w:rPr>
        <w:t xml:space="preserve"> </w:t>
      </w:r>
      <m:oMath>
        <m:r>
          <m:t>p</m:t>
        </m:r>
      </m:oMath>
      <w:r>
        <w:rPr>
          <w:b/>
          <w:bCs/>
        </w:rPr>
        <w:t xml:space="preserve">-value</w:t>
      </w:r>
      <w:r>
        <w:t xml:space="preserve">:</w:t>
      </w:r>
      <w:r>
        <w:br/>
      </w:r>
      <w:r>
        <w:t xml:space="preserve">С использованием таблицы распределения Стьюдента или соответствующей функции в статистических пакетах (например, Python, R, Excel) рассчитывается</w:t>
      </w:r>
      <w:r>
        <w:t xml:space="preserve"> </w:t>
      </w:r>
      <m:oMath>
        <m:r>
          <m:t>p</m:t>
        </m:r>
      </m:oMath>
      <w:r>
        <w:t xml:space="preserve">-value.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Сравнение</w:t>
      </w:r>
      <w:r>
        <w:rPr>
          <w:b/>
          <w:bCs/>
        </w:rPr>
        <w:t xml:space="preserve"> </w:t>
      </w:r>
      <m:oMath>
        <m:r>
          <m:t>p</m:t>
        </m:r>
      </m:oMath>
      <w:r>
        <w:rPr>
          <w:b/>
          <w:bCs/>
        </w:rPr>
        <w:t xml:space="preserve">-value с</w:t>
      </w:r>
      <w:r>
        <w:rPr>
          <w:b/>
          <w:bCs/>
        </w:rPr>
        <w:t xml:space="preserve"> </w:t>
      </w:r>
      <m:oMath>
        <m:r>
          <m:t>α</m:t>
        </m:r>
      </m:oMath>
      <w:r>
        <w:t xml:space="preserve">:</w:t>
      </w:r>
    </w:p>
    <w:p>
      <w:pPr>
        <w:pStyle w:val="Compact"/>
        <w:numPr>
          <w:ilvl w:val="1"/>
          <w:numId w:val="1005"/>
        </w:numPr>
      </w:pPr>
      <w:r>
        <w:t xml:space="preserve">Если</w:t>
      </w:r>
      <w:r>
        <w:t xml:space="preserve"> </w:t>
      </w:r>
      <m:oMath>
        <m:r>
          <m:t>p</m:t>
        </m:r>
      </m:oMath>
      <w:r>
        <w:t xml:space="preserve">-value</w:t>
      </w:r>
      <w:r>
        <w:t xml:space="preserve"> </w:t>
      </w:r>
      <m:oMath>
        <m:r>
          <m:rPr>
            <m:sty m:val="p"/>
          </m:rPr>
          <m:t>≤</m:t>
        </m:r>
        <m:r>
          <m:t>α</m:t>
        </m:r>
      </m:oMath>
      <w:r>
        <w:t xml:space="preserve">: нулевая гипотеза отклоняется, что указывает на статистически значимую разницу между прогнозируемыми и фактическими значениями LGD.</w:t>
      </w:r>
    </w:p>
    <w:p>
      <w:pPr>
        <w:pStyle w:val="Compact"/>
        <w:numPr>
          <w:ilvl w:val="1"/>
          <w:numId w:val="1005"/>
        </w:numPr>
      </w:pPr>
      <w:r>
        <w:t xml:space="preserve">Если</w:t>
      </w:r>
      <w:r>
        <w:t xml:space="preserve"> </w:t>
      </w:r>
      <m:oMath>
        <m:r>
          <m:t>p</m:t>
        </m:r>
      </m:oMath>
      <w:r>
        <w:t xml:space="preserve">-value</w:t>
      </w:r>
      <w:r>
        <w:t xml:space="preserve"> </w:t>
      </w:r>
      <m:oMath>
        <m:r>
          <m:rPr>
            <m:sty m:val="p"/>
          </m:rPr>
          <m:t>&gt;</m:t>
        </m:r>
        <m:r>
          <m:t>α</m:t>
        </m:r>
      </m:oMath>
      <w:r>
        <w:t xml:space="preserve">: недостаточно оснований для отклонения нулевой гипотезы, модель демонстрирует удовлетворительную точность на данном уровне значимости.</w:t>
      </w:r>
    </w:p>
    <w:p>
      <w:r>
        <w:pict>
          <v:rect style="width:0;height:1.5pt" o:hralign="center" o:hrstd="t" o:hr="t"/>
        </w:pict>
      </w:r>
    </w:p>
    <w:bookmarkEnd w:id="23"/>
    <w:bookmarkStart w:id="24" w:name="применение-на-уровне-сегментов"/>
    <w:p>
      <w:pPr>
        <w:pStyle w:val="Heading4"/>
      </w:pPr>
      <w:r>
        <w:t xml:space="preserve">Применение на уровне сегментов</w:t>
      </w:r>
    </w:p>
    <w:p>
      <w:pPr>
        <w:pStyle w:val="FirstParagraph"/>
      </w:pPr>
      <w:r>
        <w:t xml:space="preserve">Для оценки модели в разрезе различных сегментов (например, по отраслям, уровням риска или срокам кредита) применяется тот же алгоритм. Каждая группа анализируется отдельно, и результаты сравниваются для выявления сегментов с возможными проблемами калибровки модели.</w:t>
      </w:r>
    </w:p>
    <w:p>
      <w:r>
        <w:pict>
          <v:rect style="width:0;height:1.5pt" o:hralign="center" o:hrstd="t" o:hr="t"/>
        </w:pict>
      </w:r>
    </w:p>
    <w:bookmarkEnd w:id="24"/>
    <w:bookmarkStart w:id="25" w:name="интерпретация-результатов-t-теста"/>
    <w:p>
      <w:pPr>
        <w:pStyle w:val="Heading4"/>
      </w:pPr>
      <w:r>
        <w:t xml:space="preserve">Интерпретация результатов</w:t>
      </w:r>
      <w:r>
        <w:t xml:space="preserve"> </w:t>
      </w:r>
      <m:oMath>
        <m:r>
          <m:t>t</m:t>
        </m:r>
      </m:oMath>
      <w:r>
        <w:t xml:space="preserve">-теста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Нулевая гипотеза принята (</w:t>
      </w:r>
      <m:oMath>
        <m:r>
          <m:t>p</m:t>
        </m:r>
      </m:oMath>
      <w:r>
        <w:rPr>
          <w:b/>
          <w:bCs/>
        </w:rPr>
        <w:t xml:space="preserve">-value &gt;</w:t>
      </w:r>
      <w:r>
        <w:rPr>
          <w:b/>
          <w:bCs/>
        </w:rPr>
        <w:t xml:space="preserve"> </w:t>
      </w:r>
      <m:oMath>
        <m:r>
          <m:t>α</m:t>
        </m:r>
      </m:oMath>
      <w:r>
        <w:rPr>
          <w:b/>
          <w:bCs/>
        </w:rPr>
        <w:t xml:space="preserve">)</w:t>
      </w:r>
      <w:r>
        <w:t xml:space="preserve">:</w:t>
      </w:r>
      <w:r>
        <w:br/>
      </w:r>
      <w:r>
        <w:t xml:space="preserve">Средние значения</w:t>
      </w:r>
      <w:r>
        <w:t xml:space="preserve"> </w:t>
      </w:r>
      <m:oMath>
        <m:sSub>
          <m:e>
            <m:r>
              <m:rPr>
                <m:nor/>
                <m:sty m:val="p"/>
              </m:rPr>
              <m:t>LGD</m:t>
            </m:r>
          </m:e>
          <m:sub>
            <m:r>
              <m:rPr>
                <m:nor/>
                <m:sty m:val="p"/>
              </m:rPr>
              <m:t>pred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rPr>
                <m:nor/>
                <m:sty m:val="p"/>
              </m:rPr>
              <m:t>LGD</m:t>
            </m:r>
          </m:e>
          <m:sub>
            <m:r>
              <m:rPr>
                <m:nor/>
                <m:sty m:val="p"/>
              </m:rPr>
              <m:t>actual</m:t>
            </m:r>
          </m:sub>
        </m:sSub>
      </m:oMath>
      <w:r>
        <w:t xml:space="preserve"> </w:t>
      </w:r>
      <w:r>
        <w:t xml:space="preserve">статистически не различаются. Это свидетельствует о том, что модель адекватно предсказывает LGD.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Нулевая гипотеза отклонена (</w:t>
      </w:r>
      <m:oMath>
        <m:r>
          <m:t>p</m:t>
        </m:r>
      </m:oMath>
      <w:r>
        <w:rPr>
          <w:b/>
          <w:bCs/>
        </w:rPr>
        <w:t xml:space="preserve">-value</w:t>
      </w:r>
      <w:r>
        <w:rPr>
          <w:b/>
          <w:bCs/>
        </w:rPr>
        <w:t xml:space="preserve"> </w:t>
      </w:r>
      <m:oMath>
        <m:r>
          <m:rPr>
            <m:sty m:val="p"/>
          </m:rPr>
          <m:t>≤</m:t>
        </m:r>
        <m:r>
          <m:t>α</m:t>
        </m:r>
      </m:oMath>
      <w:r>
        <w:rPr>
          <w:b/>
          <w:bCs/>
        </w:rPr>
        <w:t xml:space="preserve">)</w:t>
      </w:r>
      <w:r>
        <w:t xml:space="preserve">:</w:t>
      </w:r>
      <w:r>
        <w:br/>
      </w:r>
      <w:r>
        <w:t xml:space="preserve">Обнаружена статистически значимая разница между средними значениями</w:t>
      </w:r>
      <w:r>
        <w:t xml:space="preserve"> </w:t>
      </w:r>
      <m:oMath>
        <m:sSub>
          <m:e>
            <m:r>
              <m:rPr>
                <m:nor/>
                <m:sty m:val="p"/>
              </m:rPr>
              <m:t>LGD</m:t>
            </m:r>
          </m:e>
          <m:sub>
            <m:r>
              <m:rPr>
                <m:nor/>
                <m:sty m:val="p"/>
              </m:rPr>
              <m:t>pred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rPr>
                <m:nor/>
                <m:sty m:val="p"/>
              </m:rPr>
              <m:t>LGD</m:t>
            </m:r>
          </m:e>
          <m:sub>
            <m:r>
              <m:rPr>
                <m:nor/>
                <m:sty m:val="p"/>
              </m:rPr>
              <m:t>actual</m:t>
            </m:r>
          </m:sub>
        </m:sSub>
      </m:oMath>
      <w:r>
        <w:t xml:space="preserve">. Это может указывать на систематическое смещение в прогнозах модели, которое требует доработки или уточнения.</w:t>
      </w:r>
    </w:p>
    <w:p>
      <w:r>
        <w:pict>
          <v:rect style="width:0;height:1.5pt" o:hralign="center" o:hrstd="t" o:hr="t"/>
        </w:pict>
      </w:r>
    </w:p>
    <w:bookmarkEnd w:id="25"/>
    <w:bookmarkStart w:id="26" w:name="ограничения-и-рекомендации"/>
    <w:p>
      <w:pPr>
        <w:pStyle w:val="Heading4"/>
      </w:pPr>
      <w:r>
        <w:t xml:space="preserve">Ограничения и рекомендации</w:t>
      </w:r>
    </w:p>
    <w:p>
      <w:pPr>
        <w:pStyle w:val="Compact"/>
        <w:numPr>
          <w:ilvl w:val="0"/>
          <w:numId w:val="1007"/>
        </w:numPr>
      </w:pPr>
      <m:oMath>
        <m:r>
          <m:t>t</m:t>
        </m:r>
      </m:oMath>
      <w:r>
        <w:t xml:space="preserve">-тест чувствителен к распределению данных. Если распределение сильно отличается от нормального, могут быть искажены результаты. В этом случае рекомендуется использовать непараметрические тесты, такие как тест Манна-Уитни.</w:t>
      </w:r>
    </w:p>
    <w:p>
      <w:pPr>
        <w:pStyle w:val="Compact"/>
        <w:numPr>
          <w:ilvl w:val="0"/>
          <w:numId w:val="1007"/>
        </w:numPr>
      </w:pPr>
      <w:r>
        <w:t xml:space="preserve">Тест следует проводить как для всего портфеля, так и в разрезе значимых сегментов, чтобы выявить локальные проблемы модели.</w:t>
      </w:r>
    </w:p>
    <w:p>
      <w:pPr>
        <w:pStyle w:val="Compact"/>
        <w:numPr>
          <w:ilvl w:val="0"/>
          <w:numId w:val="1007"/>
        </w:numPr>
      </w:pPr>
      <w:r>
        <w:t xml:space="preserve">Если</w:t>
      </w:r>
      <w:r>
        <w:t xml:space="preserve"> </w:t>
      </w:r>
      <m:oMath>
        <m:r>
          <m:t>p</m:t>
        </m:r>
      </m:oMath>
      <w:r>
        <w:t xml:space="preserve">-value близко к</w:t>
      </w:r>
      <w:r>
        <w:t xml:space="preserve"> </w:t>
      </w:r>
      <m:oMath>
        <m:r>
          <m:t>α</m:t>
        </m:r>
      </m:oMath>
      <w:r>
        <w:t xml:space="preserve">, рекомендуется дополнительно провести визуализацию (гистограммы, плотности) для анализа различий между прогнозами и фактами.</w:t>
      </w:r>
    </w:p>
    <w:p>
      <w:pPr>
        <w:pStyle w:val="FirstParagraph"/>
      </w:pPr>
      <w:r>
        <w:t xml:space="preserve">Этот тест дает количественную оценку различий между прогнозами модели и фактическими значениями LGD и служит основой для последующих тестов, таких как автокорреляция, волатильность или бэктестирование.</w:t>
      </w:r>
    </w:p>
    <w:bookmarkEnd w:id="26"/>
    <w:bookmarkEnd w:id="27"/>
    <w:bookmarkStart w:id="35" w:name="Xa7ea827cce064f086208f2a7fad7dccb710e4be"/>
    <w:p>
      <w:pPr>
        <w:pStyle w:val="Heading3"/>
      </w:pPr>
      <w:r>
        <w:t xml:space="preserve">Тесты для проверки корректности сегментации модели LGD</w:t>
      </w:r>
    </w:p>
    <w:p>
      <w:pPr>
        <w:pStyle w:val="FirstParagraph"/>
      </w:pPr>
      <w:r>
        <w:t xml:space="preserve">Проверка корректности сегментации — важный этап валидации модели LGD, так как правильное разделение данных на сегменты позволяет учитывать специфические особенности заемщиков и сделок, влияющие на уровень потерь при дефолте. Тесты в этом разделе направлены на выявление ошибок или недостатков в существующей сегментации, а также на подтверждение, что выбранные сегменты релевантны для прогнозирования LGD.</w:t>
      </w:r>
    </w:p>
    <w:p>
      <w:r>
        <w:pict>
          <v:rect style="width:0;height:1.5pt" o:hralign="center" o:hrstd="t" o:hr="t"/>
        </w:pict>
      </w:r>
    </w:p>
    <w:bookmarkStart w:id="28" w:name="анализ-различий-между-сегментами"/>
    <w:p>
      <w:pPr>
        <w:pStyle w:val="Heading4"/>
      </w:pPr>
      <w:r>
        <w:t xml:space="preserve">1.</w:t>
      </w:r>
      <w:r>
        <w:t xml:space="preserve"> </w:t>
      </w:r>
      <w:r>
        <w:rPr>
          <w:b/>
          <w:bCs/>
        </w:rPr>
        <w:t xml:space="preserve">Анализ различий между сегментами</w:t>
      </w:r>
    </w:p>
    <w:p>
      <w:pPr>
        <w:pStyle w:val="FirstParagraph"/>
      </w:pPr>
      <w:r>
        <w:t xml:space="preserve">Цель: проверить, есть ли статистически значимые различия в средних значениях LGD между сегментами.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Метод</w:t>
      </w:r>
      <w:r>
        <w:t xml:space="preserve">:</w:t>
      </w:r>
      <w:r>
        <w:br/>
      </w:r>
      <w:r>
        <w:t xml:space="preserve">Используется анализ дисперсии (ANOVA) или</w:t>
      </w:r>
      <w:r>
        <w:t xml:space="preserve"> </w:t>
      </w:r>
      <m:oMath>
        <m:r>
          <m:t>t</m:t>
        </m:r>
      </m:oMath>
      <w:r>
        <w:t xml:space="preserve">-тест для парных сравнений между сегментами.</w:t>
      </w:r>
    </w:p>
    <w:p>
      <w:pPr>
        <w:pStyle w:val="Compact"/>
        <w:numPr>
          <w:ilvl w:val="1"/>
          <w:numId w:val="1009"/>
        </w:numPr>
      </w:pPr>
      <w:r>
        <w:t xml:space="preserve">Гипотезы:</w:t>
      </w:r>
    </w:p>
    <w:p>
      <w:pPr>
        <w:pStyle w:val="Compact"/>
        <w:numPr>
          <w:ilvl w:val="2"/>
          <w:numId w:val="1010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 Средние значения LGD для всех сегментов равны.</w:t>
      </w:r>
    </w:p>
    <w:p>
      <w:pPr>
        <w:pStyle w:val="Compact"/>
        <w:numPr>
          <w:ilvl w:val="2"/>
          <w:numId w:val="1010"/>
        </w:numPr>
      </w:pP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: Есть по крайней мере одна пара сегментов с различными средними значениями LGD.</w:t>
      </w:r>
    </w:p>
    <w:p>
      <w:pPr>
        <w:pStyle w:val="Compact"/>
        <w:numPr>
          <w:ilvl w:val="1"/>
          <w:numId w:val="1009"/>
        </w:numPr>
      </w:pPr>
      <w:r>
        <w:t xml:space="preserve">Пример: сравнение сегментов "обеспеченные кредиты" и "необеспеченные кредиты". Если разница незначима, сегментация по обеспеченности может быть нерелевантной.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Результат</w:t>
      </w:r>
      <w:r>
        <w:t xml:space="preserve">:</w:t>
      </w:r>
      <w:r>
        <w:br/>
      </w:r>
      <w:r>
        <w:t xml:space="preserve">Если</w:t>
      </w:r>
      <w:r>
        <w:t xml:space="preserve"> </w:t>
      </w:r>
      <m:oMath>
        <m:r>
          <m:t>p</m:t>
        </m:r>
      </m:oMath>
      <w:r>
        <w:t xml:space="preserve">-value для ANOVA или</w:t>
      </w:r>
      <w:r>
        <w:t xml:space="preserve"> </w:t>
      </w:r>
      <m:oMath>
        <m:r>
          <m:t>t</m:t>
        </m:r>
      </m:oMath>
      <w:r>
        <w:t xml:space="preserve">-теста</w:t>
      </w:r>
      <w:r>
        <w:t xml:space="preserve"> </w:t>
      </w:r>
      <m:oMath>
        <m:r>
          <m:rPr>
            <m:sty m:val="p"/>
          </m:rPr>
          <m:t>≤</m:t>
        </m:r>
        <m:r>
          <m:t>α</m:t>
        </m:r>
      </m:oMath>
      <w:r>
        <w:t xml:space="preserve">, сегментация считается значимой. Если различия отсутствуют, необходимо пересмотреть или уточнить критерии сегментации.</w:t>
      </w:r>
    </w:p>
    <w:p>
      <w:r>
        <w:pict>
          <v:rect style="width:0;height:1.5pt" o:hralign="center" o:hrstd="t" o:hr="t"/>
        </w:pict>
      </w:r>
    </w:p>
    <w:bookmarkEnd w:id="28"/>
    <w:bookmarkStart w:id="29" w:name="проверка-однородности-внутри-сегментов"/>
    <w:p>
      <w:pPr>
        <w:pStyle w:val="Heading4"/>
      </w:pPr>
      <w:r>
        <w:t xml:space="preserve">2.</w:t>
      </w:r>
      <w:r>
        <w:t xml:space="preserve"> </w:t>
      </w:r>
      <w:r>
        <w:rPr>
          <w:b/>
          <w:bCs/>
        </w:rPr>
        <w:t xml:space="preserve">Проверка однородности внутри сегментов</w:t>
      </w:r>
    </w:p>
    <w:p>
      <w:pPr>
        <w:pStyle w:val="FirstParagraph"/>
      </w:pPr>
      <w:r>
        <w:t xml:space="preserve">Цель: убедиться, что внутри каждого сегмента значения LGD демонстрируют однородность.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Метод</w:t>
      </w:r>
      <w:r>
        <w:t xml:space="preserve">:</w:t>
      </w:r>
    </w:p>
    <w:p>
      <w:pPr>
        <w:pStyle w:val="Compact"/>
        <w:numPr>
          <w:ilvl w:val="1"/>
          <w:numId w:val="1012"/>
        </w:numPr>
      </w:pPr>
      <w:r>
        <w:t xml:space="preserve">Расчет внутригрупповой дисперсии LGD для каждого сегмента. Низкая дисперсия свидетельствует о том, что сегментация успешно группирует данные с похожими характеристиками.</w:t>
      </w:r>
    </w:p>
    <w:p>
      <w:pPr>
        <w:pStyle w:val="Compact"/>
        <w:numPr>
          <w:ilvl w:val="1"/>
          <w:numId w:val="1012"/>
        </w:numPr>
      </w:pPr>
      <w:r>
        <w:t xml:space="preserve">Тестирование гомогенности дисперсий между сегментами (например, с помощью теста Левена):</w:t>
      </w:r>
    </w:p>
    <w:p>
      <w:pPr>
        <w:pStyle w:val="Compact"/>
        <w:numPr>
          <w:ilvl w:val="2"/>
          <w:numId w:val="1013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 Дисперсии LGD внутри сегментов равны.</w:t>
      </w:r>
    </w:p>
    <w:p>
      <w:pPr>
        <w:pStyle w:val="Compact"/>
        <w:numPr>
          <w:ilvl w:val="2"/>
          <w:numId w:val="1013"/>
        </w:numPr>
      </w:pP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: Дисперсии LGD различаются.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Результат</w:t>
      </w:r>
      <w:r>
        <w:t xml:space="preserve">:</w:t>
      </w:r>
    </w:p>
    <w:p>
      <w:pPr>
        <w:pStyle w:val="Compact"/>
        <w:numPr>
          <w:ilvl w:val="1"/>
          <w:numId w:val="1014"/>
        </w:numPr>
      </w:pPr>
      <w:r>
        <w:t xml:space="preserve">Если в сегментах высокая внутригрупповая дисперсия, это может свидетельствовать о некорректной сегментации.</w:t>
      </w:r>
    </w:p>
    <w:p>
      <w:pPr>
        <w:pStyle w:val="Compact"/>
        <w:numPr>
          <w:ilvl w:val="1"/>
          <w:numId w:val="1014"/>
        </w:numPr>
      </w:pPr>
      <w:r>
        <w:t xml:space="preserve">Если дисперсии LGD между сегментами одинаковы, возможно, текущая сегментация неэффективна.</w:t>
      </w:r>
    </w:p>
    <w:p>
      <w:r>
        <w:pict>
          <v:rect style="width:0;height:1.5pt" o:hralign="center" o:hrstd="t" o:hr="t"/>
        </w:pict>
      </w:r>
    </w:p>
    <w:bookmarkEnd w:id="29"/>
    <w:bookmarkStart w:id="30" w:name="визуализация-различий-между-сегментами"/>
    <w:p>
      <w:pPr>
        <w:pStyle w:val="Heading4"/>
      </w:pPr>
      <w:r>
        <w:t xml:space="preserve">3.</w:t>
      </w:r>
      <w:r>
        <w:t xml:space="preserve"> </w:t>
      </w:r>
      <w:r>
        <w:rPr>
          <w:b/>
          <w:bCs/>
        </w:rPr>
        <w:t xml:space="preserve">Визуализация различий между сегментами</w:t>
      </w:r>
    </w:p>
    <w:p>
      <w:pPr>
        <w:pStyle w:val="FirstParagraph"/>
      </w:pPr>
      <w:r>
        <w:t xml:space="preserve">Цель: наглядно проанализировать распределение LGD по сегментам.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Метод</w:t>
      </w:r>
      <w:r>
        <w:t xml:space="preserve">:</w:t>
      </w:r>
    </w:p>
    <w:p>
      <w:pPr>
        <w:pStyle w:val="Compact"/>
        <w:numPr>
          <w:ilvl w:val="1"/>
          <w:numId w:val="1016"/>
        </w:numPr>
      </w:pPr>
      <w:r>
        <w:t xml:space="preserve">Построение графиков распределений LGD (гистограмм, диаграмм плотности) для каждого сегмента.</w:t>
      </w:r>
    </w:p>
    <w:p>
      <w:pPr>
        <w:pStyle w:val="Compact"/>
        <w:numPr>
          <w:ilvl w:val="1"/>
          <w:numId w:val="1016"/>
        </w:numPr>
      </w:pPr>
      <w:r>
        <w:t xml:space="preserve">Использование boxplot (ящиковых диаграмм) для выявления медианных различий и наличия выбросов.</w:t>
      </w:r>
    </w:p>
    <w:p>
      <w:pPr>
        <w:pStyle w:val="Compact"/>
        <w:numPr>
          <w:ilvl w:val="1"/>
          <w:numId w:val="1016"/>
        </w:numPr>
      </w:pPr>
      <w:r>
        <w:t xml:space="preserve">Построение графиков зависимости LGD от ключевых факторов (например, уровня обеспечения, срока кредита) внутри каждого сегмента.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Результат</w:t>
      </w:r>
      <w:r>
        <w:t xml:space="preserve">:</w:t>
      </w:r>
      <w:r>
        <w:br/>
      </w:r>
      <w:r>
        <w:t xml:space="preserve">Четкие различия между сегментами подтверждают обоснованность сегментации. Отсутствие видимых различий может быть признаком некорректного разбиения.</w:t>
      </w:r>
    </w:p>
    <w:p>
      <w:r>
        <w:pict>
          <v:rect style="width:0;height:1.5pt" o:hralign="center" o:hrstd="t" o:hr="t"/>
        </w:pict>
      </w:r>
    </w:p>
    <w:bookmarkEnd w:id="30"/>
    <w:bookmarkStart w:id="31" w:name="кросс-сегментный-анализ-lgd"/>
    <w:p>
      <w:pPr>
        <w:pStyle w:val="Heading4"/>
      </w:pPr>
      <w:r>
        <w:t xml:space="preserve">4.</w:t>
      </w:r>
      <w:r>
        <w:t xml:space="preserve"> </w:t>
      </w:r>
      <w:r>
        <w:rPr>
          <w:b/>
          <w:bCs/>
        </w:rPr>
        <w:t xml:space="preserve">Кросс-сегментный анализ LGD</w:t>
      </w:r>
    </w:p>
    <w:p>
      <w:pPr>
        <w:pStyle w:val="FirstParagraph"/>
      </w:pPr>
      <w:r>
        <w:t xml:space="preserve">Цель: проверить, существует ли пересечение данных между сегментами, которые должны быть разделены.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Метод</w:t>
      </w:r>
      <w:r>
        <w:t xml:space="preserve">:</w:t>
      </w:r>
    </w:p>
    <w:p>
      <w:pPr>
        <w:pStyle w:val="Compact"/>
        <w:numPr>
          <w:ilvl w:val="1"/>
          <w:numId w:val="1018"/>
        </w:numPr>
      </w:pPr>
      <w:r>
        <w:t xml:space="preserve">Анализ распределения LGD для случаев, находящихся на границах сегментов (например, слабо обеспеченные кредиты в группе "обеспеченные").</w:t>
      </w:r>
    </w:p>
    <w:p>
      <w:pPr>
        <w:pStyle w:val="Compact"/>
        <w:numPr>
          <w:ilvl w:val="1"/>
          <w:numId w:val="1018"/>
        </w:numPr>
      </w:pPr>
      <w:r>
        <w:t xml:space="preserve">Проверка перекрытия сегментов с использованием кластерного анализа или алгоритмов классификации (например, K-Means или Decision Tree), чтобы подтвердить, что сегменты четко разделены.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Результат</w:t>
      </w:r>
      <w:r>
        <w:t xml:space="preserve">:</w:t>
      </w:r>
      <w:r>
        <w:br/>
      </w:r>
      <w:r>
        <w:t xml:space="preserve">Если наблюдаются значительные пересечения, текущая сегментация требует пересмотра.</w:t>
      </w:r>
    </w:p>
    <w:p>
      <w:r>
        <w:pict>
          <v:rect style="width:0;height:1.5pt" o:hralign="center" o:hrstd="t" o:hr="t"/>
        </w:pict>
      </w:r>
    </w:p>
    <w:bookmarkEnd w:id="31"/>
    <w:bookmarkStart w:id="32" w:name="X9badf3be816e27e54e68f8353fc607f2fa61821"/>
    <w:p>
      <w:pPr>
        <w:pStyle w:val="Heading4"/>
      </w:pPr>
      <w:r>
        <w:t xml:space="preserve">5.</w:t>
      </w:r>
      <w:r>
        <w:t xml:space="preserve"> </w:t>
      </w:r>
      <w:r>
        <w:rPr>
          <w:b/>
          <w:bCs/>
        </w:rPr>
        <w:t xml:space="preserve">Проверка влияния сегментации на качество модели</w:t>
      </w:r>
    </w:p>
    <w:p>
      <w:pPr>
        <w:pStyle w:val="FirstParagraph"/>
      </w:pPr>
      <w:r>
        <w:t xml:space="preserve">Цель: оценить, улучшает ли сегментация точность прогнозов LGD.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Метод</w:t>
      </w:r>
      <w:r>
        <w:t xml:space="preserve">:</w:t>
      </w:r>
    </w:p>
    <w:p>
      <w:pPr>
        <w:pStyle w:val="Compact"/>
        <w:numPr>
          <w:ilvl w:val="1"/>
          <w:numId w:val="1020"/>
        </w:numPr>
      </w:pPr>
      <w:r>
        <w:t xml:space="preserve">Рассчитать показатели качества модели (например,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, среднеквадратичную ошибку) для сегментированной и несегментированной выборок.</w:t>
      </w:r>
    </w:p>
    <w:p>
      <w:pPr>
        <w:pStyle w:val="Compact"/>
        <w:numPr>
          <w:ilvl w:val="1"/>
          <w:numId w:val="1020"/>
        </w:numPr>
      </w:pPr>
      <w:r>
        <w:t xml:space="preserve">Сравнить результаты для каждой группы.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Результат</w:t>
      </w:r>
      <w:r>
        <w:t xml:space="preserve">:</w:t>
      </w:r>
      <w:r>
        <w:br/>
      </w:r>
      <w:r>
        <w:t xml:space="preserve">Если сегментация значительно улучшает точность модели, она считается оправданной. Если качество модели не улучшается, стоит пересмотреть критерии сегментации.</w:t>
      </w:r>
    </w:p>
    <w:p>
      <w:r>
        <w:pict>
          <v:rect style="width:0;height:1.5pt" o:hralign="center" o:hrstd="t" o:hr="t"/>
        </w:pict>
      </w:r>
    </w:p>
    <w:bookmarkEnd w:id="32"/>
    <w:bookmarkStart w:id="33" w:name="проверка-бизнес-логики-сегментации"/>
    <w:p>
      <w:pPr>
        <w:pStyle w:val="Heading4"/>
      </w:pPr>
      <w:r>
        <w:t xml:space="preserve">6.</w:t>
      </w:r>
      <w:r>
        <w:t xml:space="preserve"> </w:t>
      </w:r>
      <w:r>
        <w:rPr>
          <w:b/>
          <w:bCs/>
        </w:rPr>
        <w:t xml:space="preserve">Проверка бизнес-логики сегментации</w:t>
      </w:r>
    </w:p>
    <w:p>
      <w:pPr>
        <w:pStyle w:val="FirstParagraph"/>
      </w:pPr>
      <w:r>
        <w:t xml:space="preserve">Цель: убедиться, что сегменты имеют экономическое обоснование и соответствуют бизнес-процессам.</w:t>
      </w:r>
    </w:p>
    <w:p>
      <w:pPr>
        <w:numPr>
          <w:ilvl w:val="0"/>
          <w:numId w:val="1021"/>
        </w:numPr>
      </w:pPr>
      <w:r>
        <w:rPr>
          <w:b/>
          <w:bCs/>
        </w:rPr>
        <w:t xml:space="preserve">Метод</w:t>
      </w:r>
      <w:r>
        <w:t xml:space="preserve">:</w:t>
      </w:r>
    </w:p>
    <w:p>
      <w:pPr>
        <w:pStyle w:val="Compact"/>
        <w:numPr>
          <w:ilvl w:val="1"/>
          <w:numId w:val="1022"/>
        </w:numPr>
      </w:pPr>
      <w:r>
        <w:t xml:space="preserve">Сравнение сегментов с бизнес-правилами или экспертными оценками. Например:</w:t>
      </w:r>
    </w:p>
    <w:p>
      <w:pPr>
        <w:pStyle w:val="Compact"/>
        <w:numPr>
          <w:ilvl w:val="2"/>
          <w:numId w:val="1023"/>
        </w:numPr>
      </w:pPr>
      <w:r>
        <w:t xml:space="preserve">Обеспеченные кредиты должны иметь, как правило, более низкие значения LGD.</w:t>
      </w:r>
    </w:p>
    <w:p>
      <w:pPr>
        <w:pStyle w:val="Compact"/>
        <w:numPr>
          <w:ilvl w:val="2"/>
          <w:numId w:val="1023"/>
        </w:numPr>
      </w:pPr>
      <w:r>
        <w:t xml:space="preserve">Длинные сроки кредита могут коррелировать с более высоким LGD.</w:t>
      </w:r>
    </w:p>
    <w:p>
      <w:pPr>
        <w:pStyle w:val="Compact"/>
        <w:numPr>
          <w:ilvl w:val="1"/>
          <w:numId w:val="1022"/>
        </w:numPr>
      </w:pPr>
      <w:r>
        <w:t xml:space="preserve">В случае несоответствия данных этим ожиданиям проводится дополнительный анализ и, при необходимости, пересмотр сегментации.</w:t>
      </w:r>
    </w:p>
    <w:p>
      <w:pPr>
        <w:numPr>
          <w:ilvl w:val="0"/>
          <w:numId w:val="1021"/>
        </w:numPr>
      </w:pPr>
      <w:r>
        <w:rPr>
          <w:b/>
          <w:bCs/>
        </w:rPr>
        <w:t xml:space="preserve">Результат</w:t>
      </w:r>
      <w:r>
        <w:t xml:space="preserve">:</w:t>
      </w:r>
      <w:r>
        <w:br/>
      </w:r>
      <w:r>
        <w:t xml:space="preserve">Если сегменты не имеют экономического обоснования или нарушают бизнес-правила, сегментация требует доработки.</w:t>
      </w:r>
    </w:p>
    <w:p>
      <w:r>
        <w:pict>
          <v:rect style="width:0;height:1.5pt" o:hralign="center" o:hrstd="t" o:hr="t"/>
        </w:pict>
      </w:r>
    </w:p>
    <w:bookmarkEnd w:id="33"/>
    <w:bookmarkStart w:id="34" w:name="проверка-стабильности-сегментации"/>
    <w:p>
      <w:pPr>
        <w:pStyle w:val="Heading4"/>
      </w:pPr>
      <w:r>
        <w:t xml:space="preserve">7.</w:t>
      </w:r>
      <w:r>
        <w:t xml:space="preserve"> </w:t>
      </w:r>
      <w:r>
        <w:rPr>
          <w:b/>
          <w:bCs/>
        </w:rPr>
        <w:t xml:space="preserve">Проверка стабильности сегментации</w:t>
      </w:r>
    </w:p>
    <w:p>
      <w:pPr>
        <w:pStyle w:val="FirstParagraph"/>
      </w:pPr>
      <w:r>
        <w:t xml:space="preserve">Цель: оценить, сохраняются ли различия между сегментами при изменении условий.</w:t>
      </w:r>
    </w:p>
    <w:p>
      <w:pPr>
        <w:numPr>
          <w:ilvl w:val="0"/>
          <w:numId w:val="1024"/>
        </w:numPr>
      </w:pPr>
      <w:r>
        <w:rPr>
          <w:b/>
          <w:bCs/>
        </w:rPr>
        <w:t xml:space="preserve">Метод</w:t>
      </w:r>
      <w:r>
        <w:t xml:space="preserve">:</w:t>
      </w:r>
    </w:p>
    <w:p>
      <w:pPr>
        <w:pStyle w:val="Compact"/>
        <w:numPr>
          <w:ilvl w:val="1"/>
          <w:numId w:val="1025"/>
        </w:numPr>
      </w:pPr>
      <w:r>
        <w:t xml:space="preserve">Анализ значений LGD в сегментах за разные периоды времени (например, до и после кризисных событий).</w:t>
      </w:r>
    </w:p>
    <w:p>
      <w:pPr>
        <w:pStyle w:val="Compact"/>
        <w:numPr>
          <w:ilvl w:val="1"/>
          <w:numId w:val="1025"/>
        </w:numPr>
      </w:pPr>
      <w:r>
        <w:t xml:space="preserve">Проверка изменений LGD при различных макроэкономических сценариях.</w:t>
      </w:r>
    </w:p>
    <w:p>
      <w:pPr>
        <w:numPr>
          <w:ilvl w:val="0"/>
          <w:numId w:val="1024"/>
        </w:numPr>
      </w:pPr>
      <w:r>
        <w:rPr>
          <w:b/>
          <w:bCs/>
        </w:rPr>
        <w:t xml:space="preserve">Результат</w:t>
      </w:r>
      <w:r>
        <w:t xml:space="preserve">:</w:t>
      </w:r>
      <w:r>
        <w:br/>
      </w:r>
      <w:r>
        <w:t xml:space="preserve">Если сегментация нестабильна (например, различия между сегментами исчезают при изменении внешних условий), следует пересмотреть подходы к разбиению данных.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6" w:name="итог"/>
    <w:p>
      <w:pPr>
        <w:pStyle w:val="Heading3"/>
      </w:pPr>
      <w:r>
        <w:t xml:space="preserve">Итог</w:t>
      </w:r>
    </w:p>
    <w:p>
      <w:pPr>
        <w:pStyle w:val="FirstParagraph"/>
      </w:pPr>
      <w:r>
        <w:t xml:space="preserve">Тесты для проверки корректности сегментации помогают подтвердить, что выбранное разбиение данных является статистически значимым, экономически обоснованным и способствует повышению точности модели LGD. В случае выявления недостатков сегментацию следует пересмотреть, например, уточнив критерии или добавив дополнительные параметры.</w:t>
      </w:r>
    </w:p>
    <w:bookmarkEnd w:id="36"/>
    <w:bookmarkStart w:id="42" w:name="бэктестинг-модели-lgd"/>
    <w:p>
      <w:pPr>
        <w:pStyle w:val="Heading3"/>
      </w:pPr>
      <w:r>
        <w:t xml:space="preserve">Бэктестинг модели LGD</w:t>
      </w:r>
    </w:p>
    <w:p>
      <w:pPr>
        <w:pStyle w:val="FirstParagraph"/>
      </w:pPr>
      <w:r>
        <w:t xml:space="preserve">Бэктестинг — это процесс проверки точности прогнозов модели на исторических данных, где уже известны фактические значения LGD. Цель бэктестинга — подтвердить, что модель способна адекватно прогнозировать потери при дефолте на основе данных, доступных на момент построения прогнозов.</w:t>
      </w:r>
    </w:p>
    <w:p>
      <w:r>
        <w:pict>
          <v:rect style="width:0;height:1.5pt" o:hralign="center" o:hrstd="t" o:hr="t"/>
        </w:pict>
      </w:r>
    </w:p>
    <w:bookmarkStart w:id="37" w:name="цели-бэктестинга"/>
    <w:p>
      <w:pPr>
        <w:pStyle w:val="Heading4"/>
      </w:pPr>
      <w:r>
        <w:t xml:space="preserve">Цели бэктестинга</w:t>
      </w:r>
    </w:p>
    <w:p>
      <w:pPr>
        <w:pStyle w:val="Compact"/>
        <w:numPr>
          <w:ilvl w:val="0"/>
          <w:numId w:val="1026"/>
        </w:numPr>
      </w:pPr>
      <w:r>
        <w:t xml:space="preserve">Оценить степень точности прогнозов модели LGD на исторических данных.</w:t>
      </w:r>
    </w:p>
    <w:p>
      <w:pPr>
        <w:pStyle w:val="Compact"/>
        <w:numPr>
          <w:ilvl w:val="0"/>
          <w:numId w:val="1026"/>
        </w:numPr>
      </w:pPr>
      <w:r>
        <w:t xml:space="preserve">Проверить, насколько модель устойчива к изменениям рыночных и экономических условий.</w:t>
      </w:r>
    </w:p>
    <w:p>
      <w:pPr>
        <w:pStyle w:val="Compact"/>
        <w:numPr>
          <w:ilvl w:val="0"/>
          <w:numId w:val="1026"/>
        </w:numPr>
      </w:pPr>
      <w:r>
        <w:t xml:space="preserve">Выявить сегменты или периоды, в которых модель демонстрирует систематические отклонения.</w:t>
      </w:r>
    </w:p>
    <w:p>
      <w:r>
        <w:pict>
          <v:rect style="width:0;height:1.5pt" o:hralign="center" o:hrstd="t" o:hr="t"/>
        </w:pict>
      </w:r>
    </w:p>
    <w:bookmarkEnd w:id="37"/>
    <w:bookmarkStart w:id="38" w:name="постановка-задачи-бэктеста"/>
    <w:p>
      <w:pPr>
        <w:pStyle w:val="Heading4"/>
      </w:pPr>
      <w:r>
        <w:t xml:space="preserve">Постановка задачи бэктеста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Данные</w:t>
      </w:r>
      <w:r>
        <w:t xml:space="preserve">:</w:t>
      </w:r>
      <w:r>
        <w:t xml:space="preserve"> </w:t>
      </w:r>
      <w:r>
        <w:t xml:space="preserve">Используются исторические данные, включающие прогнозируемые значения</w:t>
      </w:r>
      <w:r>
        <w:t xml:space="preserve"> </w:t>
      </w:r>
      <m:oMath>
        <m:sSub>
          <m:e>
            <m:r>
              <m:rPr>
                <m:nor/>
                <m:sty m:val="p"/>
              </m:rPr>
              <m:t>LGD</m:t>
            </m:r>
          </m:e>
          <m:sub>
            <m:r>
              <m:rPr>
                <m:nor/>
                <m:sty m:val="p"/>
              </m:rPr>
              <m:t>pred</m:t>
            </m:r>
          </m:sub>
        </m:sSub>
      </m:oMath>
      <w:r>
        <w:t xml:space="preserve"> </w:t>
      </w:r>
      <w:r>
        <w:t xml:space="preserve">и реализованные фактические значения</w:t>
      </w:r>
      <w:r>
        <w:t xml:space="preserve"> </w:t>
      </w:r>
      <m:oMath>
        <m:sSub>
          <m:e>
            <m:r>
              <m:rPr>
                <m:nor/>
                <m:sty m:val="p"/>
              </m:rPr>
              <m:t>LGD</m:t>
            </m:r>
          </m:e>
          <m:sub>
            <m:r>
              <m:rPr>
                <m:nor/>
                <m:sty m:val="p"/>
              </m:rPr>
              <m:t>actual</m:t>
            </m:r>
          </m:sub>
        </m:sSub>
      </m:oMath>
      <w:r>
        <w:t xml:space="preserve">.</w:t>
      </w:r>
    </w:p>
    <w:p>
      <w:pPr>
        <w:pStyle w:val="Compact"/>
        <w:numPr>
          <w:ilvl w:val="1"/>
          <w:numId w:val="1028"/>
        </w:numPr>
      </w:pPr>
      <w:r>
        <w:t xml:space="preserve">Прогнозы должны быть сделаны на основе информации, доступной на момент прогнозирования.</w:t>
      </w:r>
    </w:p>
    <w:p>
      <w:pPr>
        <w:pStyle w:val="Compact"/>
        <w:numPr>
          <w:ilvl w:val="1"/>
          <w:numId w:val="1028"/>
        </w:numPr>
      </w:pPr>
      <w:r>
        <w:t xml:space="preserve">Данные должны включать различные временные периоды и сегменты портфеля (например, типы клиентов, отрасли, сроки кредитов).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Метрики для оценки</w:t>
      </w:r>
      <w:r>
        <w:t xml:space="preserve">:</w:t>
      </w:r>
      <w:r>
        <w:t xml:space="preserve"> </w:t>
      </w:r>
      <w:r>
        <w:t xml:space="preserve">Бэктест проводится с использованием нескольких метрик, позволяющих оценить точность и стабильность модели:</w:t>
      </w:r>
    </w:p>
    <w:p>
      <w:pPr>
        <w:pStyle w:val="Compact"/>
        <w:numPr>
          <w:ilvl w:val="1"/>
          <w:numId w:val="1029"/>
        </w:numPr>
      </w:pPr>
      <w:r>
        <w:rPr>
          <w:b/>
          <w:bCs/>
        </w:rPr>
        <w:t xml:space="preserve">Среднеквадратичная ошибка (RMSE)</w:t>
      </w:r>
      <w:r>
        <w:t xml:space="preserve">:</w:t>
      </w:r>
    </w:p>
    <w:p>
      <w:pPr>
        <w:pStyle w:val="Compact"/>
      </w:pPr>
      <m:oMathPara>
        <m:oMathParaPr>
          <m:jc m:val="center"/>
        </m:oMathParaPr>
        <m:oMath>
          <m:r>
            <m:rPr>
              <m:nor/>
              <m:sty m:val="p"/>
            </m:rPr>
            <m:t>RMSE</m:t>
          </m:r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rPr>
                                  <m:nor/>
                                  <m:sty m:val="p"/>
                                </m:rPr>
                                <m:t>LGD</m:t>
                              </m:r>
                            </m:e>
                            <m:sub>
                              <m:r>
                                <m:rPr>
                                  <m:nor/>
                                  <m:sty m:val="p"/>
                                </m:rPr>
                                <m:t>actual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r>
                                <m:rPr>
                                  <m:nor/>
                                  <m:sty m:val="p"/>
                                </m:rPr>
                                <m:t>LGD</m:t>
                              </m:r>
                            </m:e>
                            <m:sub>
                              <m:r>
                                <m:rPr>
                                  <m:nor/>
                                  <m:sty m:val="p"/>
                                </m:rPr>
                                <m:t>pred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rad>
        </m:oMath>
      </m:oMathPara>
    </w:p>
    <w:p>
      <w:pPr>
        <w:pStyle w:val="Compact"/>
        <w:numPr>
          <w:ilvl w:val="1"/>
          <w:numId w:val="1000"/>
        </w:numPr>
      </w:pPr>
      <w:r>
        <w:t xml:space="preserve">Отражает степень отклонения прогнозов модели от фактических значений.</w:t>
      </w:r>
    </w:p>
    <w:p>
      <w:pPr>
        <w:pStyle w:val="Compact"/>
        <w:numPr>
          <w:ilvl w:val="1"/>
          <w:numId w:val="1029"/>
        </w:numPr>
      </w:pPr>
      <w:r>
        <w:rPr>
          <w:b/>
          <w:bCs/>
        </w:rPr>
        <w:t xml:space="preserve">Средняя абсолютная ошибка (MAE)</w:t>
      </w:r>
      <w:r>
        <w:t xml:space="preserve">:</w:t>
      </w:r>
    </w:p>
    <w:p>
      <w:pPr>
        <w:pStyle w:val="Compact"/>
      </w:pPr>
      <m:oMathPara>
        <m:oMathParaPr>
          <m:jc m:val="center"/>
        </m:oMathParaPr>
        <m:oMath>
          <m:r>
            <m:rPr>
              <m:nor/>
              <m:sty m:val="p"/>
            </m:rPr>
            <m:t>MAE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</m:rPr>
                <m:t>∣</m:t>
              </m:r>
            </m:e>
          </m:nary>
          <m:sSub>
            <m:e>
              <m:r>
                <m:rPr>
                  <m:nor/>
                  <m:sty m:val="p"/>
                </m:rPr>
                <m:t>LGD</m:t>
              </m:r>
            </m:e>
            <m:sub>
              <m:r>
                <m:rPr>
                  <m:nor/>
                  <m:sty m:val="p"/>
                </m:rPr>
                <m:t>actual</m:t>
              </m:r>
              <m:r>
                <m:rPr>
                  <m:sty m:val="p"/>
                </m:rPr>
                <m:t>,</m:t>
              </m:r>
              <m:r>
                <m:t>i</m:t>
              </m:r>
            </m:sub>
          </m:sSub>
          <m:r>
            <m:rPr>
              <m:sty m:val="p"/>
            </m:rPr>
            <m:t>−</m:t>
          </m:r>
          <m:sSub>
            <m:e>
              <m:r>
                <m:rPr>
                  <m:nor/>
                  <m:sty m:val="p"/>
                </m:rPr>
                <m:t>LGD</m:t>
              </m:r>
            </m:e>
            <m:sub>
              <m:r>
                <m:rPr>
                  <m:nor/>
                  <m:sty m:val="p"/>
                </m:rPr>
                <m:t>pred</m:t>
              </m:r>
              <m:r>
                <m:rPr>
                  <m:sty m:val="p"/>
                </m:rPr>
                <m:t>,</m:t>
              </m:r>
              <m:r>
                <m:t>i</m:t>
              </m:r>
            </m:sub>
          </m:sSub>
          <m:r>
            <m:rPr>
              <m:sty m:val="p"/>
            </m:rPr>
            <m:t>∣</m:t>
          </m:r>
        </m:oMath>
      </m:oMathPara>
    </w:p>
    <w:p>
      <w:pPr>
        <w:pStyle w:val="Compact"/>
        <w:numPr>
          <w:ilvl w:val="1"/>
          <w:numId w:val="1000"/>
        </w:numPr>
      </w:pPr>
      <w:r>
        <w:t xml:space="preserve">Подчеркивает среднее абсолютное отклонение прогнозов.</w:t>
      </w:r>
    </w:p>
    <w:p>
      <w:pPr>
        <w:pStyle w:val="Compact"/>
        <w:numPr>
          <w:ilvl w:val="1"/>
          <w:numId w:val="1029"/>
        </w:numPr>
      </w:pPr>
      <w:r>
        <w:rPr>
          <w:b/>
          <w:bCs/>
        </w:rPr>
        <w:t xml:space="preserve">Среднее отклонение (Mean Bias)</w:t>
      </w:r>
      <w:r>
        <w:t xml:space="preserve">:</w:t>
      </w:r>
    </w:p>
    <w:p>
      <w:pPr>
        <w:pStyle w:val="Compact"/>
      </w:pPr>
      <m:oMathPara>
        <m:oMathParaPr>
          <m:jc m:val="center"/>
        </m:oMathParaPr>
        <m:oMath>
          <m:r>
            <m:rPr>
              <m:nor/>
              <m:sty m:val="p"/>
            </m:rPr>
            <m:t>Bias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rPr>
                          <m:nor/>
                          <m:sty m:val="p"/>
                        </m:rPr>
                        <m:t>LGD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pred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rPr>
                          <m:nor/>
                          <m:sty m:val="p"/>
                        </m:rPr>
                        <m:t>LGD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actual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i</m:t>
                      </m:r>
                    </m:sub>
                  </m:sSub>
                </m:e>
              </m:d>
            </m:e>
          </m:nary>
        </m:oMath>
      </m:oMathPara>
    </w:p>
    <w:p>
      <w:pPr>
        <w:pStyle w:val="Compact"/>
        <w:numPr>
          <w:ilvl w:val="1"/>
          <w:numId w:val="1000"/>
        </w:numPr>
      </w:pPr>
      <w:r>
        <w:t xml:space="preserve">Позволяет выявить систематические смещения модели (переоценка или недооценка LGD).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Сегментация для анализа</w:t>
      </w:r>
      <w:r>
        <w:t xml:space="preserve">:</w:t>
      </w:r>
      <w:r>
        <w:t xml:space="preserve"> </w:t>
      </w:r>
      <w:r>
        <w:t xml:space="preserve">Результаты бэктеста анализируются по сегментам, чтобы оценить стабильность модели для различных групп данных:</w:t>
      </w:r>
    </w:p>
    <w:p>
      <w:pPr>
        <w:pStyle w:val="Compact"/>
        <w:numPr>
          <w:ilvl w:val="1"/>
          <w:numId w:val="1030"/>
        </w:numPr>
      </w:pPr>
      <w:r>
        <w:t xml:space="preserve">Сегментация по срокам кредитов.</w:t>
      </w:r>
    </w:p>
    <w:p>
      <w:pPr>
        <w:pStyle w:val="Compact"/>
        <w:numPr>
          <w:ilvl w:val="1"/>
          <w:numId w:val="1030"/>
        </w:numPr>
      </w:pPr>
      <w:r>
        <w:t xml:space="preserve">Обеспеченные и необеспеченные кредиты.</w:t>
      </w:r>
    </w:p>
    <w:p>
      <w:pPr>
        <w:pStyle w:val="Compact"/>
        <w:numPr>
          <w:ilvl w:val="1"/>
          <w:numId w:val="1030"/>
        </w:numPr>
      </w:pPr>
      <w:r>
        <w:t xml:space="preserve">Отрасли или типы клиентов.</w:t>
      </w:r>
    </w:p>
    <w:p>
      <w:r>
        <w:pict>
          <v:rect style="width:0;height:1.5pt" o:hralign="center" o:hrstd="t" o:hr="t"/>
        </w:pict>
      </w:r>
    </w:p>
    <w:bookmarkEnd w:id="38"/>
    <w:bookmarkStart w:id="39" w:name="этапы-проведения-бэктеста"/>
    <w:p>
      <w:pPr>
        <w:pStyle w:val="Heading4"/>
      </w:pPr>
      <w:r>
        <w:t xml:space="preserve">Этапы проведения бэктеста</w:t>
      </w:r>
    </w:p>
    <w:p>
      <w:pPr>
        <w:numPr>
          <w:ilvl w:val="0"/>
          <w:numId w:val="1031"/>
        </w:numPr>
      </w:pPr>
      <w:r>
        <w:rPr>
          <w:b/>
          <w:bCs/>
        </w:rPr>
        <w:t xml:space="preserve">Сбор данных</w:t>
      </w:r>
      <w:r>
        <w:t xml:space="preserve">:</w:t>
      </w:r>
    </w:p>
    <w:p>
      <w:pPr>
        <w:pStyle w:val="Compact"/>
        <w:numPr>
          <w:ilvl w:val="1"/>
          <w:numId w:val="1032"/>
        </w:numPr>
      </w:pPr>
      <w:r>
        <w:t xml:space="preserve">Исторические данные должны включать фактические значения LGD и соответствующие прогнозы на дату выдачи кредита.</w:t>
      </w:r>
    </w:p>
    <w:p>
      <w:pPr>
        <w:pStyle w:val="Compact"/>
        <w:numPr>
          <w:ilvl w:val="1"/>
          <w:numId w:val="1032"/>
        </w:numPr>
      </w:pPr>
      <w:r>
        <w:t xml:space="preserve">Данные корректируются на макроэкономические изменения, чтобы избежать эффектов, не связанных с работой модели.</w:t>
      </w:r>
    </w:p>
    <w:p>
      <w:pPr>
        <w:numPr>
          <w:ilvl w:val="0"/>
          <w:numId w:val="1031"/>
        </w:numPr>
      </w:pPr>
      <w:r>
        <w:rPr>
          <w:b/>
          <w:bCs/>
        </w:rPr>
        <w:t xml:space="preserve">Анализ точности прогнозов</w:t>
      </w:r>
      <w:r>
        <w:t xml:space="preserve">:</w:t>
      </w:r>
    </w:p>
    <w:p>
      <w:pPr>
        <w:pStyle w:val="Compact"/>
        <w:numPr>
          <w:ilvl w:val="1"/>
          <w:numId w:val="1033"/>
        </w:numPr>
      </w:pPr>
      <w:r>
        <w:t xml:space="preserve">Для каждого периода и сегмента рассчитываются</w:t>
      </w:r>
      <w:r>
        <w:t xml:space="preserve"> </w:t>
      </w:r>
      <m:oMath>
        <m:r>
          <m:rPr>
            <m:nor/>
            <m:sty m:val="p"/>
          </m:rPr>
          <m:t>RMSE</m:t>
        </m:r>
      </m:oMath>
      <w:r>
        <w:t xml:space="preserve">,</w:t>
      </w:r>
      <w:r>
        <w:t xml:space="preserve"> </w:t>
      </w:r>
      <m:oMath>
        <m:r>
          <m:rPr>
            <m:nor/>
            <m:sty m:val="p"/>
          </m:rPr>
          <m:t>MAE</m:t>
        </m:r>
      </m:oMath>
      <w:r>
        <w:t xml:space="preserve"> </w:t>
      </w:r>
      <w:r>
        <w:t xml:space="preserve">и Bias.</w:t>
      </w:r>
    </w:p>
    <w:p>
      <w:pPr>
        <w:pStyle w:val="Compact"/>
        <w:numPr>
          <w:ilvl w:val="1"/>
          <w:numId w:val="1033"/>
        </w:numPr>
      </w:pPr>
      <w:r>
        <w:t xml:space="preserve">Результаты сравниваются с пороговыми значениями точности, установленными при разработке модели.</w:t>
      </w:r>
    </w:p>
    <w:p>
      <w:pPr>
        <w:numPr>
          <w:ilvl w:val="0"/>
          <w:numId w:val="1031"/>
        </w:numPr>
      </w:pPr>
      <w:r>
        <w:rPr>
          <w:b/>
          <w:bCs/>
        </w:rPr>
        <w:t xml:space="preserve">Проверка стабильности</w:t>
      </w:r>
      <w:r>
        <w:t xml:space="preserve">:</w:t>
      </w:r>
    </w:p>
    <w:p>
      <w:pPr>
        <w:pStyle w:val="Compact"/>
        <w:numPr>
          <w:ilvl w:val="1"/>
          <w:numId w:val="1034"/>
        </w:numPr>
      </w:pPr>
      <w:r>
        <w:t xml:space="preserve">Сравниваются ошибки прогнозов модели в разные временные периоды (например, в условиях роста экономики и кризиса).</w:t>
      </w:r>
    </w:p>
    <w:p>
      <w:pPr>
        <w:pStyle w:val="Compact"/>
        <w:numPr>
          <w:ilvl w:val="1"/>
          <w:numId w:val="1034"/>
        </w:numPr>
      </w:pPr>
      <w:r>
        <w:t xml:space="preserve">Выявляются периоды или сегменты с ухудшением точности прогнозов.</w:t>
      </w:r>
    </w:p>
    <w:p>
      <w:pPr>
        <w:numPr>
          <w:ilvl w:val="0"/>
          <w:numId w:val="1031"/>
        </w:numPr>
      </w:pPr>
      <w:r>
        <w:rPr>
          <w:b/>
          <w:bCs/>
        </w:rPr>
        <w:t xml:space="preserve">Визуализация результатов</w:t>
      </w:r>
      <w:r>
        <w:t xml:space="preserve">:</w:t>
      </w:r>
    </w:p>
    <w:p>
      <w:pPr>
        <w:pStyle w:val="Compact"/>
        <w:numPr>
          <w:ilvl w:val="1"/>
          <w:numId w:val="1035"/>
        </w:numPr>
      </w:pPr>
      <w:r>
        <w:t xml:space="preserve">Построение scatter-плотов для визуального анализа соответствия прогнозов фактическим значениям:</w:t>
      </w:r>
    </w:p>
    <w:p>
      <w:pPr>
        <w:pStyle w:val="Compact"/>
        <w:numPr>
          <w:ilvl w:val="2"/>
          <w:numId w:val="1036"/>
        </w:numPr>
      </w:pPr>
      <w:r>
        <w:t xml:space="preserve">Ось</w:t>
      </w:r>
      <w:r>
        <w:t xml:space="preserve"> </w:t>
      </w:r>
      <m:oMath>
        <m:r>
          <m:t>x</m:t>
        </m:r>
      </m:oMath>
      <w:r>
        <w:t xml:space="preserve">:</w:t>
      </w:r>
      <w:r>
        <w:t xml:space="preserve"> </w:t>
      </w:r>
      <m:oMath>
        <m:sSub>
          <m:e>
            <m:r>
              <m:rPr>
                <m:nor/>
                <m:sty m:val="p"/>
              </m:rPr>
              <m:t>LGD</m:t>
            </m:r>
          </m:e>
          <m:sub>
            <m:r>
              <m:rPr>
                <m:nor/>
                <m:sty m:val="p"/>
              </m:rPr>
              <m:t>pred</m:t>
            </m:r>
          </m:sub>
        </m:sSub>
      </m:oMath>
      <w:r>
        <w:t xml:space="preserve">.</w:t>
      </w:r>
    </w:p>
    <w:p>
      <w:pPr>
        <w:pStyle w:val="Compact"/>
        <w:numPr>
          <w:ilvl w:val="2"/>
          <w:numId w:val="1036"/>
        </w:numPr>
      </w:pPr>
      <w:r>
        <w:t xml:space="preserve">Ось</w:t>
      </w:r>
      <w:r>
        <w:t xml:space="preserve"> </w:t>
      </w:r>
      <m:oMath>
        <m:r>
          <m:t>y</m:t>
        </m:r>
      </m:oMath>
      <w:r>
        <w:t xml:space="preserve">:</w:t>
      </w:r>
      <w:r>
        <w:t xml:space="preserve"> </w:t>
      </w:r>
      <m:oMath>
        <m:sSub>
          <m:e>
            <m:r>
              <m:rPr>
                <m:nor/>
                <m:sty m:val="p"/>
              </m:rPr>
              <m:t>LGD</m:t>
            </m:r>
          </m:e>
          <m:sub>
            <m:r>
              <m:rPr>
                <m:nor/>
                <m:sty m:val="p"/>
              </m:rPr>
              <m:t>actual</m:t>
            </m:r>
          </m:sub>
        </m:sSub>
      </m:oMath>
      <w:r>
        <w:t xml:space="preserve">.</w:t>
      </w:r>
    </w:p>
    <w:p>
      <w:pPr>
        <w:pStyle w:val="Compact"/>
        <w:numPr>
          <w:ilvl w:val="2"/>
          <w:numId w:val="1036"/>
        </w:numPr>
      </w:pPr>
      <w:r>
        <w:t xml:space="preserve">Линия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указывает на идеальное соответствие.</w:t>
      </w:r>
    </w:p>
    <w:p>
      <w:pPr>
        <w:pStyle w:val="Compact"/>
        <w:numPr>
          <w:ilvl w:val="1"/>
          <w:numId w:val="1035"/>
        </w:numPr>
      </w:pPr>
      <w:r>
        <w:t xml:space="preserve">Построение графиков распределения ошибок (Residual Distribution).</w:t>
      </w:r>
    </w:p>
    <w:p>
      <w:pPr>
        <w:numPr>
          <w:ilvl w:val="0"/>
          <w:numId w:val="1031"/>
        </w:numPr>
      </w:pPr>
      <w:r>
        <w:rPr>
          <w:b/>
          <w:bCs/>
        </w:rPr>
        <w:t xml:space="preserve">Сравнение с предыдущими версиями модели или бенчмарками</w:t>
      </w:r>
      <w:r>
        <w:t xml:space="preserve">:</w:t>
      </w:r>
    </w:p>
    <w:p>
      <w:pPr>
        <w:pStyle w:val="Compact"/>
        <w:numPr>
          <w:ilvl w:val="1"/>
          <w:numId w:val="1037"/>
        </w:numPr>
      </w:pPr>
      <w:r>
        <w:t xml:space="preserve">Если доступна альтернативная модель (например, старая версия или бенчмарк), проводится сравнение точности и стабильности.</w:t>
      </w:r>
    </w:p>
    <w:p>
      <w:r>
        <w:pict>
          <v:rect style="width:0;height:1.5pt" o:hralign="center" o:hrstd="t" o:hr="t"/>
        </w:pict>
      </w:r>
    </w:p>
    <w:bookmarkEnd w:id="39"/>
    <w:bookmarkStart w:id="40" w:name="примеры-выводов-на-основе-бэктестинга"/>
    <w:p>
      <w:pPr>
        <w:pStyle w:val="Heading4"/>
      </w:pPr>
      <w:r>
        <w:t xml:space="preserve">Примеры выводов на основе бэктестинга</w:t>
      </w:r>
    </w:p>
    <w:p>
      <w:pPr>
        <w:numPr>
          <w:ilvl w:val="0"/>
          <w:numId w:val="1038"/>
        </w:numPr>
      </w:pPr>
      <w:r>
        <w:rPr>
          <w:b/>
          <w:bCs/>
        </w:rPr>
        <w:t xml:space="preserve">Высокая точность по портфелю в целом, но локальные проблемы в сегментах</w:t>
      </w:r>
      <w:r>
        <w:t xml:space="preserve">:</w:t>
      </w:r>
    </w:p>
    <w:p>
      <w:pPr>
        <w:pStyle w:val="Compact"/>
        <w:numPr>
          <w:ilvl w:val="1"/>
          <w:numId w:val="1039"/>
        </w:numPr>
      </w:pPr>
      <w:r>
        <w:t xml:space="preserve">Например, LGD для необеспеченных кредитов систематически переоценен (положительный Bias).</w:t>
      </w:r>
    </w:p>
    <w:p>
      <w:pPr>
        <w:pStyle w:val="Compact"/>
        <w:numPr>
          <w:ilvl w:val="1"/>
          <w:numId w:val="1039"/>
        </w:numPr>
      </w:pPr>
      <w:r>
        <w:t xml:space="preserve">Требуется уточнение модели для этого сегмента.</w:t>
      </w:r>
    </w:p>
    <w:p>
      <w:pPr>
        <w:numPr>
          <w:ilvl w:val="0"/>
          <w:numId w:val="1038"/>
        </w:numPr>
      </w:pPr>
      <w:r>
        <w:rPr>
          <w:b/>
          <w:bCs/>
        </w:rPr>
        <w:t xml:space="preserve">Значительное ухудшение качества прогнозов в кризисные периоды</w:t>
      </w:r>
      <w:r>
        <w:t xml:space="preserve">:</w:t>
      </w:r>
    </w:p>
    <w:p>
      <w:pPr>
        <w:pStyle w:val="Compact"/>
        <w:numPr>
          <w:ilvl w:val="1"/>
          <w:numId w:val="1040"/>
        </w:numPr>
      </w:pPr>
      <w:r>
        <w:t xml:space="preserve">Модель недооценивает LGD в условиях экономического спада.</w:t>
      </w:r>
    </w:p>
    <w:p>
      <w:pPr>
        <w:pStyle w:val="Compact"/>
        <w:numPr>
          <w:ilvl w:val="1"/>
          <w:numId w:val="1040"/>
        </w:numPr>
      </w:pPr>
      <w:r>
        <w:t xml:space="preserve">Рекомендовано включение дополнительных макроэкономических факторов в модель.</w:t>
      </w:r>
    </w:p>
    <w:p>
      <w:pPr>
        <w:numPr>
          <w:ilvl w:val="0"/>
          <w:numId w:val="1038"/>
        </w:numPr>
      </w:pPr>
      <w:r>
        <w:rPr>
          <w:b/>
          <w:bCs/>
        </w:rPr>
        <w:t xml:space="preserve">Проблемы с точностью для длинных сроков кредитов</w:t>
      </w:r>
      <w:r>
        <w:t xml:space="preserve">:</w:t>
      </w:r>
    </w:p>
    <w:p>
      <w:pPr>
        <w:pStyle w:val="Compact"/>
        <w:numPr>
          <w:ilvl w:val="1"/>
          <w:numId w:val="1041"/>
        </w:numPr>
      </w:pPr>
      <m:oMath>
        <m:r>
          <m:rPr>
            <m:nor/>
            <m:sty m:val="p"/>
          </m:rPr>
          <m:t>RMSE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nor/>
            <m:sty m:val="p"/>
          </m:rPr>
          <m:t>MAE</m:t>
        </m:r>
      </m:oMath>
      <w:r>
        <w:t xml:space="preserve"> </w:t>
      </w:r>
      <w:r>
        <w:t xml:space="preserve">выше для кредитов со сроком более 5 лет.</w:t>
      </w:r>
    </w:p>
    <w:p>
      <w:pPr>
        <w:pStyle w:val="Compact"/>
        <w:numPr>
          <w:ilvl w:val="1"/>
          <w:numId w:val="1041"/>
        </w:numPr>
      </w:pPr>
      <w:r>
        <w:t xml:space="preserve">Возможна доработка модели для учета долгосрочных рисков.</w:t>
      </w:r>
    </w:p>
    <w:p>
      <w:r>
        <w:pict>
          <v:rect style="width:0;height:1.5pt" o:hralign="center" o:hrstd="t" o:hr="t"/>
        </w:pict>
      </w:r>
    </w:p>
    <w:bookmarkEnd w:id="40"/>
    <w:bookmarkStart w:id="41" w:name="ограничения-и-рекомендации-1"/>
    <w:p>
      <w:pPr>
        <w:pStyle w:val="Heading4"/>
      </w:pPr>
      <w:r>
        <w:t xml:space="preserve">Ограничения и рекомендации</w:t>
      </w:r>
    </w:p>
    <w:p>
      <w:pPr>
        <w:numPr>
          <w:ilvl w:val="0"/>
          <w:numId w:val="1042"/>
        </w:numPr>
      </w:pPr>
      <w:r>
        <w:rPr>
          <w:b/>
          <w:bCs/>
        </w:rPr>
        <w:t xml:space="preserve">Исторические данные</w:t>
      </w:r>
      <w:r>
        <w:t xml:space="preserve">:</w:t>
      </w:r>
    </w:p>
    <w:p>
      <w:pPr>
        <w:pStyle w:val="Compact"/>
        <w:numPr>
          <w:ilvl w:val="1"/>
          <w:numId w:val="1043"/>
        </w:numPr>
      </w:pPr>
      <w:r>
        <w:t xml:space="preserve">Данные должны быть репрезентативными, включая кризисные периоды и события, чтобы оценить устойчивость модели.</w:t>
      </w:r>
    </w:p>
    <w:p>
      <w:pPr>
        <w:pStyle w:val="Compact"/>
        <w:numPr>
          <w:ilvl w:val="1"/>
          <w:numId w:val="1043"/>
        </w:numPr>
      </w:pPr>
      <w:r>
        <w:t xml:space="preserve">При наличии неполных данных рекомендуется использовать имитационные методы для восстановления пропусков.</w:t>
      </w:r>
    </w:p>
    <w:p>
      <w:pPr>
        <w:numPr>
          <w:ilvl w:val="0"/>
          <w:numId w:val="1042"/>
        </w:numPr>
      </w:pPr>
      <w:r>
        <w:rPr>
          <w:b/>
          <w:bCs/>
        </w:rPr>
        <w:t xml:space="preserve">Ретроспективный прогноз</w:t>
      </w:r>
      <w:r>
        <w:t xml:space="preserve">:</w:t>
      </w:r>
    </w:p>
    <w:p>
      <w:pPr>
        <w:pStyle w:val="Compact"/>
        <w:numPr>
          <w:ilvl w:val="1"/>
          <w:numId w:val="1044"/>
        </w:numPr>
      </w:pPr>
      <w:r>
        <w:t xml:space="preserve">Прогнозы должны быть рассчитаны только на основе информации, доступной на момент прогнозирования, чтобы избежать эффекта "заглядывания в будущее".</w:t>
      </w:r>
    </w:p>
    <w:p>
      <w:pPr>
        <w:numPr>
          <w:ilvl w:val="0"/>
          <w:numId w:val="1042"/>
        </w:numPr>
      </w:pPr>
      <w:r>
        <w:rPr>
          <w:b/>
          <w:bCs/>
        </w:rPr>
        <w:t xml:space="preserve">Пороговые значения метрик</w:t>
      </w:r>
      <w:r>
        <w:t xml:space="preserve">:</w:t>
      </w:r>
    </w:p>
    <w:p>
      <w:pPr>
        <w:pStyle w:val="Compact"/>
        <w:numPr>
          <w:ilvl w:val="1"/>
          <w:numId w:val="1045"/>
        </w:numPr>
      </w:pPr>
      <w:r>
        <w:t xml:space="preserve">Определение порогов точности для метрик (например,</w:t>
      </w:r>
      <w:r>
        <w:t xml:space="preserve"> </w:t>
      </w:r>
      <m:oMath>
        <m:r>
          <m:rPr>
            <m:nor/>
            <m:sty m:val="p"/>
          </m:rPr>
          <m:t>RMSE</m:t>
        </m:r>
      </m:oMath>
      <w:r>
        <w:t xml:space="preserve"> </w:t>
      </w:r>
      <w:r>
        <w:t xml:space="preserve">&lt; 0.1) должно учитывать особенности портфеля и рисков, с которыми работает модель.</w:t>
      </w:r>
    </w:p>
    <w:p>
      <w:pPr>
        <w:numPr>
          <w:ilvl w:val="0"/>
          <w:numId w:val="1042"/>
        </w:numPr>
      </w:pPr>
      <w:r>
        <w:rPr>
          <w:b/>
          <w:bCs/>
        </w:rPr>
        <w:t xml:space="preserve">Дополнительные тесты</w:t>
      </w:r>
      <w:r>
        <w:t xml:space="preserve">:</w:t>
      </w:r>
    </w:p>
    <w:p>
      <w:pPr>
        <w:pStyle w:val="Compact"/>
        <w:numPr>
          <w:ilvl w:val="1"/>
          <w:numId w:val="1046"/>
        </w:numPr>
      </w:pPr>
      <w:r>
        <w:t xml:space="preserve">Анализ устойчивости модели к изменению исходных данных (stress-тестирование).</w:t>
      </w:r>
    </w:p>
    <w:p>
      <w:pPr>
        <w:pStyle w:val="Compact"/>
        <w:numPr>
          <w:ilvl w:val="1"/>
          <w:numId w:val="1046"/>
        </w:numPr>
      </w:pPr>
      <w:r>
        <w:t xml:space="preserve">Включение сценарного анализа для проверки работы модели в различных макроэкономических условиях.</w:t>
      </w:r>
    </w:p>
    <w:p>
      <w:pPr>
        <w:pStyle w:val="FirstParagraph"/>
      </w:pPr>
      <w:r>
        <w:t xml:space="preserve">Бэктестинг позволяет не только оценить точность и стабильность модели LGD, но и выявить ее слабые стороны, которые могут быть устранены в процессе доработки или пересмотра подходов к построению модели.</w:t>
      </w:r>
    </w:p>
    <w:bookmarkEnd w:id="41"/>
    <w:bookmarkEnd w:id="42"/>
    <w:bookmarkStart w:id="47" w:name="X8c2283cef2b7f194a55c557bd72a02b94f73bb3"/>
    <w:p>
      <w:pPr>
        <w:pStyle w:val="Heading3"/>
      </w:pPr>
      <w:r>
        <w:t xml:space="preserve">Использование отношения волатильности на разработке и валидации в оценке модели LGD</w:t>
      </w:r>
    </w:p>
    <w:p>
      <w:pPr>
        <w:pStyle w:val="FirstParagraph"/>
      </w:pPr>
      <w:r>
        <w:t xml:space="preserve">Отношение волатильности между данными разработки модели (development dataset) и данными валидации (validation dataset) может быть полезным инструментом для оценки согласованности и устойчивости модели LGD. Это позволяет понять, насколько изменчивость предсказаний и фактических значений LGD согласуется на разных этапах работы с моделью.</w:t>
      </w:r>
    </w:p>
    <w:p>
      <w:r>
        <w:pict>
          <v:rect style="width:0;height:1.5pt" o:hralign="center" o:hrstd="t" o:hr="t"/>
        </w:pict>
      </w:r>
    </w:p>
    <w:bookmarkStart w:id="43" w:name="зачем-оценивать-отношение-волатильности"/>
    <w:p>
      <w:pPr>
        <w:pStyle w:val="Heading4"/>
      </w:pPr>
      <w:r>
        <w:t xml:space="preserve">Зачем оценивать отношение волатильности?</w:t>
      </w:r>
    </w:p>
    <w:p>
      <w:pPr>
        <w:numPr>
          <w:ilvl w:val="0"/>
          <w:numId w:val="1047"/>
        </w:numPr>
      </w:pPr>
      <w:r>
        <w:rPr>
          <w:b/>
          <w:bCs/>
        </w:rPr>
        <w:t xml:space="preserve">Согласованность распределений</w:t>
      </w:r>
      <w:r>
        <w:t xml:space="preserve">:</w:t>
      </w:r>
      <w:r>
        <w:br/>
      </w:r>
      <w:r>
        <w:t xml:space="preserve">Оценка волатильности помогает понять, насколько схожи распределения значений LGD на этапе разработки и валидации. Если волатильность сильно отличается, это может указывать на:</w:t>
      </w:r>
    </w:p>
    <w:p>
      <w:pPr>
        <w:pStyle w:val="Compact"/>
        <w:numPr>
          <w:ilvl w:val="1"/>
          <w:numId w:val="1048"/>
        </w:numPr>
      </w:pPr>
      <w:r>
        <w:t xml:space="preserve">Неадекватность выборки данных разработки (например, слишком узкое распределение значений LGD).</w:t>
      </w:r>
    </w:p>
    <w:p>
      <w:pPr>
        <w:pStyle w:val="Compact"/>
        <w:numPr>
          <w:ilvl w:val="1"/>
          <w:numId w:val="1048"/>
        </w:numPr>
      </w:pPr>
      <w:r>
        <w:t xml:space="preserve">Плохую переносимость модели на новые данные (overfitting).</w:t>
      </w:r>
    </w:p>
    <w:p>
      <w:pPr>
        <w:numPr>
          <w:ilvl w:val="0"/>
          <w:numId w:val="1047"/>
        </w:numPr>
      </w:pPr>
      <w:r>
        <w:rPr>
          <w:b/>
          <w:bCs/>
        </w:rPr>
        <w:t xml:space="preserve">Качество прогнозов</w:t>
      </w:r>
      <w:r>
        <w:t xml:space="preserve">:</w:t>
      </w:r>
      <w:r>
        <w:br/>
      </w:r>
      <w:r>
        <w:t xml:space="preserve">Сравнение волатильности фактических значений LGD на разработке и валидации может выявить, соответствует ли модель рыночным условиям на момент валидации.</w:t>
      </w:r>
      <w:r>
        <w:br/>
      </w:r>
      <w:r>
        <w:t xml:space="preserve">Волатильность предсказаний (</w:t>
      </w:r>
      <m:oMath>
        <m:sSub>
          <m:e>
            <m:r>
              <m:rPr>
                <m:nor/>
                <m:sty m:val="p"/>
              </m:rPr>
              <m:t>LGD</m:t>
            </m:r>
          </m:e>
          <m:sub>
            <m:r>
              <m:rPr>
                <m:nor/>
                <m:sty m:val="p"/>
              </m:rPr>
              <m:t>pred</m:t>
            </m:r>
          </m:sub>
        </m:sSub>
      </m:oMath>
      <w:r>
        <w:t xml:space="preserve">) между выборками говорит о том, как модель реагирует на различия в исходных данных.</w:t>
      </w:r>
    </w:p>
    <w:p>
      <w:r>
        <w:pict>
          <v:rect style="width:0;height:1.5pt" o:hralign="center" o:hrstd="t" o:hr="t"/>
        </w:pict>
      </w:r>
    </w:p>
    <w:bookmarkEnd w:id="43"/>
    <w:bookmarkStart w:id="44" w:name="формулы-для-оценки-волатильности"/>
    <w:p>
      <w:pPr>
        <w:pStyle w:val="Heading4"/>
      </w:pPr>
      <w:r>
        <w:t xml:space="preserve">Формулы для оценки волатильности</w:t>
      </w:r>
    </w:p>
    <w:p>
      <w:pPr>
        <w:numPr>
          <w:ilvl w:val="0"/>
          <w:numId w:val="1049"/>
        </w:numPr>
      </w:pPr>
      <w:r>
        <w:rPr>
          <w:b/>
          <w:bCs/>
        </w:rPr>
        <w:t xml:space="preserve">Расчет волатильности</w:t>
      </w:r>
      <w:r>
        <w:t xml:space="preserve">:</w:t>
      </w:r>
      <w:r>
        <w:br/>
      </w:r>
      <w:r>
        <w:t xml:space="preserve">Волатильность обычно измеряется как стандартное отклонение:</w:t>
      </w:r>
    </w:p>
    <w:p>
      <w:pPr>
        <w:pStyle w:val="BodyText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limUpp>
                            <m:e>
                              <m:r>
                                <m:t>x</m:t>
                              </m:r>
                            </m:e>
                            <m:lim>
                              <m:r>
                                <m:t>ˉ</m:t>
                              </m:r>
                            </m:lim>
                          </m:limUpp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rad>
        </m:oMath>
      </m:oMathPara>
    </w:p>
    <w:p>
      <w:pPr>
        <w:numPr>
          <w:ilvl w:val="0"/>
          <w:numId w:val="1000"/>
        </w:numPr>
      </w:pPr>
      <w:r>
        <w:t xml:space="preserve">где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значения LGD (предсказанные или фактические),</w:t>
      </w:r>
      <w:r>
        <w:t xml:space="preserve"> </w:t>
      </w:r>
      <m:oMath>
        <m:limUpp>
          <m:e>
            <m:r>
              <m:t>x</m:t>
            </m:r>
          </m:e>
          <m:lim>
            <m:r>
              <m:t>ˉ</m:t>
            </m:r>
          </m:lim>
        </m:limUpp>
      </m:oMath>
      <w:r>
        <w:t xml:space="preserve"> </w:t>
      </w:r>
      <w:r>
        <w:t xml:space="preserve">— среднее значение LGD.</w:t>
      </w:r>
    </w:p>
    <w:p>
      <w:pPr>
        <w:numPr>
          <w:ilvl w:val="0"/>
          <w:numId w:val="1049"/>
        </w:numPr>
      </w:pPr>
      <w:r>
        <w:rPr>
          <w:b/>
          <w:bCs/>
        </w:rPr>
        <w:t xml:space="preserve">Отношение волатильности</w:t>
      </w:r>
      <w:r>
        <w:t xml:space="preserve">:</w:t>
      </w:r>
      <w:r>
        <w:br/>
      </w:r>
      <w:r>
        <w:t xml:space="preserve">Для данных разработки и валидации рассчитываются стандартные отклонения (</w:t>
      </w:r>
      <m:oMath>
        <m:sSub>
          <m:e>
            <m:r>
              <m:t>σ</m:t>
            </m:r>
          </m:e>
          <m:sub>
            <m:r>
              <m:rPr>
                <m:nor/>
                <m:sty m:val="p"/>
              </m:rPr>
              <m:t>dev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σ</m:t>
            </m:r>
          </m:e>
          <m:sub>
            <m:r>
              <m:rPr>
                <m:nor/>
                <m:sty m:val="p"/>
              </m:rPr>
              <m:t>val</m:t>
            </m:r>
          </m:sub>
        </m:sSub>
      </m:oMath>
      <w:r>
        <w:t xml:space="preserve">), а затем их отношение: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σ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σ</m:t>
                  </m:r>
                </m:e>
                <m:sub>
                  <m:r>
                    <m:rPr>
                      <m:nor/>
                      <m:sty m:val="p"/>
                    </m:rPr>
                    <m:t>val</m:t>
                  </m:r>
                </m:sub>
              </m:sSub>
            </m:num>
            <m:den>
              <m:sSub>
                <m:e>
                  <m:r>
                    <m:t>σ</m:t>
                  </m:r>
                </m:e>
                <m:sub>
                  <m:r>
                    <m:rPr>
                      <m:nor/>
                      <m:sty m:val="p"/>
                    </m:rPr>
                    <m:t>dev</m:t>
                  </m:r>
                </m:sub>
              </m:sSub>
            </m:den>
          </m:f>
        </m:oMath>
      </m:oMathPara>
    </w:p>
    <w:p>
      <w:pPr>
        <w:numPr>
          <w:ilvl w:val="0"/>
          <w:numId w:val="1000"/>
        </w:numPr>
      </w:pPr>
      <w:r>
        <w:t xml:space="preserve">где:</w:t>
      </w:r>
    </w:p>
    <w:p>
      <w:pPr>
        <w:pStyle w:val="Compact"/>
        <w:numPr>
          <w:ilvl w:val="1"/>
          <w:numId w:val="1050"/>
        </w:numPr>
      </w:pPr>
      <m:oMath>
        <m:sSub>
          <m:e>
            <m:r>
              <m:t>σ</m:t>
            </m:r>
          </m:e>
          <m:sub>
            <m:r>
              <m:rPr>
                <m:nor/>
                <m:sty m:val="p"/>
              </m:rPr>
              <m:t>val</m:t>
            </m:r>
          </m:sub>
        </m:sSub>
      </m:oMath>
      <w:r>
        <w:t xml:space="preserve"> </w:t>
      </w:r>
      <w:r>
        <w:t xml:space="preserve">— волатильность на валидационной выборке.</w:t>
      </w:r>
    </w:p>
    <w:p>
      <w:pPr>
        <w:pStyle w:val="Compact"/>
        <w:numPr>
          <w:ilvl w:val="1"/>
          <w:numId w:val="1050"/>
        </w:numPr>
      </w:pPr>
      <m:oMath>
        <m:sSub>
          <m:e>
            <m:r>
              <m:t>σ</m:t>
            </m:r>
          </m:e>
          <m:sub>
            <m:r>
              <m:rPr>
                <m:nor/>
                <m:sty m:val="p"/>
              </m:rPr>
              <m:t>dev</m:t>
            </m:r>
          </m:sub>
        </m:sSub>
      </m:oMath>
      <w:r>
        <w:t xml:space="preserve"> </w:t>
      </w:r>
      <w:r>
        <w:t xml:space="preserve">— волатильность на разработке.</w:t>
      </w:r>
    </w:p>
    <w:p>
      <w:pPr>
        <w:numPr>
          <w:ilvl w:val="0"/>
          <w:numId w:val="1049"/>
        </w:numPr>
      </w:pPr>
      <w:r>
        <w:rPr>
          <w:b/>
          <w:bCs/>
        </w:rPr>
        <w:t xml:space="preserve">Интерпретация</w:t>
      </w:r>
      <w:r>
        <w:t xml:space="preserve">:</w:t>
      </w:r>
    </w:p>
    <w:p>
      <w:pPr>
        <w:pStyle w:val="Compact"/>
        <w:numPr>
          <w:ilvl w:val="1"/>
          <w:numId w:val="1051"/>
        </w:numPr>
      </w:pPr>
      <m:oMath>
        <m:sSub>
          <m:e>
            <m:r>
              <m:t>R</m:t>
            </m:r>
          </m:e>
          <m:sub>
            <m:r>
              <m:t>σ</m:t>
            </m:r>
          </m:sub>
        </m:sSub>
        <m:r>
          <m:rPr>
            <m:sty m:val="p"/>
          </m:rPr>
          <m:t>≈</m:t>
        </m:r>
        <m:r>
          <m:t>1</m:t>
        </m:r>
      </m:oMath>
      <w:r>
        <w:t xml:space="preserve">: Волатильности сопоставимы, распределение LGD стабильно.</w:t>
      </w:r>
    </w:p>
    <w:p>
      <w:pPr>
        <w:pStyle w:val="Compact"/>
        <w:numPr>
          <w:ilvl w:val="1"/>
          <w:numId w:val="1051"/>
        </w:numPr>
      </w:pPr>
      <m:oMath>
        <m:sSub>
          <m:e>
            <m:r>
              <m:t>R</m:t>
            </m:r>
          </m:e>
          <m:sub>
            <m:r>
              <m:t>σ</m:t>
            </m:r>
          </m:sub>
        </m:sSub>
        <m:r>
          <m:rPr>
            <m:sty m:val="p"/>
          </m:rPr>
          <m:t>&gt;</m:t>
        </m:r>
        <m:r>
          <m:t>1</m:t>
        </m:r>
      </m:oMath>
      <w:r>
        <w:t xml:space="preserve">: Валидационная выборка имеет большее разброс значений (возможно, модель недостаточно гибка для более разнообразных данных).</w:t>
      </w:r>
    </w:p>
    <w:p>
      <w:pPr>
        <w:pStyle w:val="Compact"/>
        <w:numPr>
          <w:ilvl w:val="1"/>
          <w:numId w:val="1051"/>
        </w:numPr>
      </w:pPr>
      <m:oMath>
        <m:sSub>
          <m:e>
            <m:r>
              <m:t>R</m:t>
            </m:r>
          </m:e>
          <m:sub>
            <m:r>
              <m:t>σ</m:t>
            </m:r>
          </m:sub>
        </m:sSub>
        <m:r>
          <m:rPr>
            <m:sty m:val="p"/>
          </m:rPr>
          <m:t>&lt;</m:t>
        </m:r>
        <m:r>
          <m:t>1</m:t>
        </m:r>
      </m:oMath>
      <w:r>
        <w:t xml:space="preserve">: Волатильность ниже на валидации (модель, возможно, сглаживает прогнозы, недооценивая риски).</w:t>
      </w:r>
    </w:p>
    <w:p>
      <w:r>
        <w:pict>
          <v:rect style="width:0;height:1.5pt" o:hralign="center" o:hrstd="t" o:hr="t"/>
        </w:pict>
      </w:r>
    </w:p>
    <w:bookmarkEnd w:id="44"/>
    <w:bookmarkStart w:id="45" w:name="X8658e99ebf99d802a819d6319efd1fa56f94cbf"/>
    <w:p>
      <w:pPr>
        <w:pStyle w:val="Heading4"/>
      </w:pPr>
      <w:r>
        <w:t xml:space="preserve">Стоит ли использовать этот тест на практике?</w:t>
      </w:r>
    </w:p>
    <w:p>
      <w:pPr>
        <w:numPr>
          <w:ilvl w:val="0"/>
          <w:numId w:val="1052"/>
        </w:numPr>
      </w:pPr>
      <w:r>
        <w:rPr>
          <w:b/>
          <w:bCs/>
        </w:rPr>
        <w:t xml:space="preserve">Преимущества</w:t>
      </w:r>
      <w:r>
        <w:t xml:space="preserve">:</w:t>
      </w:r>
    </w:p>
    <w:p>
      <w:pPr>
        <w:pStyle w:val="Compact"/>
        <w:numPr>
          <w:ilvl w:val="1"/>
          <w:numId w:val="1053"/>
        </w:numPr>
      </w:pPr>
      <w:r>
        <w:rPr>
          <w:b/>
          <w:bCs/>
        </w:rPr>
        <w:t xml:space="preserve">Простота вычислений</w:t>
      </w:r>
      <w:r>
        <w:t xml:space="preserve">: Формула волатильности и её отношение легко реализуются на практике.</w:t>
      </w:r>
    </w:p>
    <w:p>
      <w:pPr>
        <w:pStyle w:val="Compact"/>
        <w:numPr>
          <w:ilvl w:val="1"/>
          <w:numId w:val="1053"/>
        </w:numPr>
      </w:pPr>
      <w:r>
        <w:rPr>
          <w:b/>
          <w:bCs/>
        </w:rPr>
        <w:t xml:space="preserve">Быстрая диагностика проблемы</w:t>
      </w:r>
      <w:r>
        <w:t xml:space="preserve">: Сравнение волатильности помогает выявить несоответствия между этапами разработки и валидации (например, значительная разница в распределении данных).</w:t>
      </w:r>
    </w:p>
    <w:p>
      <w:pPr>
        <w:pStyle w:val="Compact"/>
        <w:numPr>
          <w:ilvl w:val="1"/>
          <w:numId w:val="1053"/>
        </w:numPr>
      </w:pPr>
      <w:r>
        <w:rPr>
          <w:b/>
          <w:bCs/>
        </w:rPr>
        <w:t xml:space="preserve">Обнаружение ограничений модели</w:t>
      </w:r>
      <w:r>
        <w:t xml:space="preserve">: 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σ</m:t>
            </m:r>
          </m:sub>
        </m:sSub>
      </m:oMath>
      <w:r>
        <w:t xml:space="preserve"> </w:t>
      </w:r>
      <w:r>
        <w:t xml:space="preserve">сильно отличается от 1, это может сигнализировать о необходимости пересмотра сегментации, учета новых факторов или адаптации модели.</w:t>
      </w:r>
    </w:p>
    <w:p>
      <w:pPr>
        <w:numPr>
          <w:ilvl w:val="0"/>
          <w:numId w:val="1052"/>
        </w:numPr>
      </w:pPr>
      <w:r>
        <w:rPr>
          <w:b/>
          <w:bCs/>
        </w:rPr>
        <w:t xml:space="preserve">Ограничения</w:t>
      </w:r>
      <w:r>
        <w:t xml:space="preserve">:</w:t>
      </w:r>
    </w:p>
    <w:p>
      <w:pPr>
        <w:pStyle w:val="Compact"/>
        <w:numPr>
          <w:ilvl w:val="1"/>
          <w:numId w:val="1054"/>
        </w:numPr>
      </w:pPr>
      <w:r>
        <w:rPr>
          <w:b/>
          <w:bCs/>
        </w:rPr>
        <w:t xml:space="preserve">Чувствительность к выбросам</w:t>
      </w:r>
      <w:r>
        <w:t xml:space="preserve">: Волатильность как стандартное отклонение может быть сильно искажена выбросами, особенно на небольших выборках.</w:t>
      </w:r>
    </w:p>
    <w:p>
      <w:pPr>
        <w:pStyle w:val="Compact"/>
        <w:numPr>
          <w:ilvl w:val="1"/>
          <w:numId w:val="1054"/>
        </w:numPr>
      </w:pPr>
      <w:r>
        <w:rPr>
          <w:b/>
          <w:bCs/>
        </w:rPr>
        <w:t xml:space="preserve">Необходимость репрезентативности выборок</w:t>
      </w:r>
      <w:r>
        <w:t xml:space="preserve">: Данные разработки и валидации должны быть репрезентативными для общей популяции. Если выборки существенно различаются по структуре, это может исказить результаты теста.</w:t>
      </w:r>
    </w:p>
    <w:p>
      <w:pPr>
        <w:pStyle w:val="Compact"/>
        <w:numPr>
          <w:ilvl w:val="1"/>
          <w:numId w:val="1054"/>
        </w:numPr>
      </w:pPr>
      <w:r>
        <w:rPr>
          <w:b/>
          <w:bCs/>
        </w:rPr>
        <w:t xml:space="preserve">Недостаточная информативность в изоляции</w:t>
      </w:r>
      <w:r>
        <w:t xml:space="preserve">: Само по себе отношение волатильности не даёт полного представления о качестве модели, поэтому его нужно использовать в сочетании с другими метриками (например,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, бэктестинг, Bias).</w:t>
      </w:r>
    </w:p>
    <w:p>
      <w:pPr>
        <w:numPr>
          <w:ilvl w:val="0"/>
          <w:numId w:val="1052"/>
        </w:numPr>
      </w:pPr>
      <w:r>
        <w:rPr>
          <w:b/>
          <w:bCs/>
        </w:rPr>
        <w:t xml:space="preserve">Практические рекомендации</w:t>
      </w:r>
      <w:r>
        <w:t xml:space="preserve">:</w:t>
      </w:r>
    </w:p>
    <w:p>
      <w:pPr>
        <w:pStyle w:val="Compact"/>
        <w:numPr>
          <w:ilvl w:val="1"/>
          <w:numId w:val="1055"/>
        </w:numPr>
      </w:pPr>
      <w:r>
        <w:t xml:space="preserve">Использовать данный тест в качестве</w:t>
      </w:r>
      <w:r>
        <w:t xml:space="preserve"> </w:t>
      </w:r>
      <w:r>
        <w:rPr>
          <w:b/>
          <w:bCs/>
        </w:rPr>
        <w:t xml:space="preserve">дополнительного инструмента анализа</w:t>
      </w:r>
      <w:r>
        <w:t xml:space="preserve">, а не основного критерия оценки модели.</w:t>
      </w:r>
    </w:p>
    <w:p>
      <w:pPr>
        <w:pStyle w:val="Compact"/>
        <w:numPr>
          <w:ilvl w:val="1"/>
          <w:numId w:val="1055"/>
        </w:numPr>
      </w:pPr>
      <w:r>
        <w:t xml:space="preserve">Рассматривать результат теста в контексте других показателей: если волатильность сильно отличается, но остальные метрики (например, точность) в порядке, это может быть особенностью данных.</w:t>
      </w:r>
    </w:p>
    <w:p>
      <w:pPr>
        <w:pStyle w:val="Compact"/>
        <w:numPr>
          <w:ilvl w:val="1"/>
          <w:numId w:val="1055"/>
        </w:numPr>
      </w:pPr>
      <w:r>
        <w:t xml:space="preserve">При значительных отклонениях в волатильности дополнительно анализировать распределения данных разработки и валидации, чтобы исключить эффект неравномерной выборки.</w:t>
      </w:r>
    </w:p>
    <w:p>
      <w:r>
        <w:pict>
          <v:rect style="width:0;height:1.5pt" o:hralign="center" o:hrstd="t" o:hr="t"/>
        </w:pict>
      </w:r>
    </w:p>
    <w:bookmarkEnd w:id="45"/>
    <w:bookmarkStart w:id="46" w:name="итог-1"/>
    <w:p>
      <w:pPr>
        <w:pStyle w:val="Heading4"/>
      </w:pPr>
      <w:r>
        <w:t xml:space="preserve">Итог</w:t>
      </w:r>
    </w:p>
    <w:p>
      <w:pPr>
        <w:pStyle w:val="FirstParagraph"/>
      </w:pPr>
      <w:r>
        <w:t xml:space="preserve">Отношение волатильности на разработке и валидации может быть полезным для выявления несоответствий между этапами построения и проверки модели LGD. Однако его практическое использование имеет смысл только как часть комплексной системы тестирования модели. Если выявлены значительные отклонения, важно дополнительно изучить причины и провести корректирующие действия, такие как пересмотр данных разработки или структуры модели.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60E481F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124693139" w:numId="1">
    <w:abstractNumId w:val="10"/>
  </w:num>
  <w:num w16cid:durableId="1210262218" w:numId="2">
    <w:abstractNumId w:val="9"/>
  </w:num>
  <w:num w16cid:durableId="1124689705" w:numId="3">
    <w:abstractNumId w:val="8"/>
  </w:num>
  <w:num w16cid:durableId="731544624" w:numId="4">
    <w:abstractNumId w:val="7"/>
  </w:num>
  <w:num w16cid:durableId="1488861656" w:numId="5">
    <w:abstractNumId w:val="6"/>
  </w:num>
  <w:num w16cid:durableId="477959411" w:numId="6">
    <w:abstractNumId w:val="5"/>
  </w:num>
  <w:num w16cid:durableId="1839954500" w:numId="7">
    <w:abstractNumId w:val="4"/>
  </w:num>
  <w:num w16cid:durableId="1867252605" w:numId="8">
    <w:abstractNumId w:val="3"/>
  </w:num>
  <w:num w16cid:durableId="321127133" w:numId="9">
    <w:abstractNumId w:val="2"/>
  </w:num>
  <w:num w16cid:durableId="1366759467" w:numId="10">
    <w:abstractNumId w:val="1"/>
  </w:num>
  <w:num w16cid:durableId="1472140782" w:numId="11">
    <w:abstractNumId w:val="0"/>
  </w:num>
  <w:num w16cid:durableId="67659437" w:numId="12">
    <w:abstractNumId w:val="8"/>
  </w:num>
  <w:num w16cid:durableId="1389105613" w:numId="13">
    <w:abstractNumId w:val="3"/>
  </w:num>
  <w:num w16cid:durableId="658114841" w:numId="14">
    <w:abstractNumId w:val="2"/>
  </w:num>
  <w:num w16cid:durableId="166673275" w:numId="15">
    <w:abstractNumId w:val="1"/>
  </w:num>
  <w:num w16cid:durableId="758989341" w:numId="16">
    <w:abstractNumId w:val="0"/>
  </w:num>
  <w:num w16cid:durableId="1604849100" w:numId="17">
    <w:abstractNumId w:val="8"/>
  </w:num>
  <w:num w16cid:durableId="1872376338" w:numId="18">
    <w:abstractNumId w:val="3"/>
  </w:num>
  <w:num w16cid:durableId="453255074" w:numId="19">
    <w:abstractNumId w:val="2"/>
  </w:num>
  <w:num w16cid:durableId="1519193340" w:numId="20">
    <w:abstractNumId w:val="1"/>
  </w:num>
  <w:num w16cid:durableId="64183687" w:numId="21">
    <w:abstractNumId w:val="0"/>
  </w:num>
  <w:num w16cid:durableId="1881046726" w:numId="22">
    <w:abstractNumId w:val="8"/>
  </w:num>
  <w:num w16cid:durableId="293291141" w:numId="23">
    <w:abstractNumId w:val="3"/>
  </w:num>
  <w:num w16cid:durableId="226040243" w:numId="24">
    <w:abstractNumId w:val="2"/>
  </w:num>
  <w:num w16cid:durableId="350768483" w:numId="25">
    <w:abstractNumId w:val="1"/>
  </w:num>
  <w:num w16cid:durableId="1284187935" w:numId="26">
    <w:abstractNumId w:val="0"/>
  </w:num>
  <w:num w16cid:durableId="567613641" w:numId="27">
    <w:abstractNumId w:val="8"/>
  </w:num>
  <w:num w16cid:durableId="1992830610" w:numId="28">
    <w:abstractNumId w:val="3"/>
  </w:num>
  <w:num w16cid:durableId="1277299286" w:numId="29">
    <w:abstractNumId w:val="2"/>
  </w:num>
  <w:num w16cid:durableId="1384132582" w:numId="30">
    <w:abstractNumId w:val="1"/>
  </w:num>
  <w:num w16cid:durableId="242884524" w:numId="31">
    <w:abstractNumId w:val="0"/>
  </w:num>
  <w:num w16cid:durableId="237254149" w:numId="32">
    <w:abstractNumId w:val="8"/>
  </w:num>
  <w:num w16cid:durableId="1249122975" w:numId="33">
    <w:abstractNumId w:val="3"/>
  </w:num>
  <w:num w16cid:durableId="561871531" w:numId="34">
    <w:abstractNumId w:val="2"/>
  </w:num>
  <w:num w16cid:durableId="601885692" w:numId="35">
    <w:abstractNumId w:val="1"/>
  </w:num>
  <w:num w16cid:durableId="721565719" w:numId="36">
    <w:abstractNumId w:val="0"/>
  </w:num>
  <w:num w16cid:durableId="561983021" w:numId="37">
    <w:abstractNumId w:val="8"/>
  </w:num>
  <w:num w16cid:durableId="382675534" w:numId="38">
    <w:abstractNumId w:val="3"/>
  </w:num>
  <w:num w16cid:durableId="1214853816" w:numId="39">
    <w:abstractNumId w:val="2"/>
  </w:num>
  <w:num w16cid:durableId="1796213138" w:numId="40">
    <w:abstractNumId w:val="1"/>
  </w:num>
  <w:num w16cid:durableId="397673562" w:numId="41">
    <w:abstractNumId w:val="0"/>
  </w:num>
  <w:num w16cid:durableId="1903372981" w:numId="42">
    <w:abstractNumId w:val="8"/>
  </w:num>
  <w:num w16cid:durableId="1587641893" w:numId="43">
    <w:abstractNumId w:val="3"/>
  </w:num>
  <w:num w16cid:durableId="985553758" w:numId="44">
    <w:abstractNumId w:val="2"/>
  </w:num>
  <w:num w16cid:durableId="2129279502" w:numId="45">
    <w:abstractNumId w:val="1"/>
  </w:num>
  <w:num w16cid:durableId="689642307" w:numId="46">
    <w:abstractNumId w:val="0"/>
  </w:num>
  <w:num w16cid:durableId="283316381" w:numId="47">
    <w:abstractNumId w:val="8"/>
  </w:num>
  <w:num w16cid:durableId="667514414" w:numId="48">
    <w:abstractNumId w:val="3"/>
  </w:num>
  <w:num w16cid:durableId="999625841" w:numId="49">
    <w:abstractNumId w:val="2"/>
  </w:num>
  <w:num w16cid:durableId="631595333" w:numId="50">
    <w:abstractNumId w:val="1"/>
  </w:num>
  <w:num w16cid:durableId="409087350" w:numId="51">
    <w:abstractNumId w:val="0"/>
  </w:num>
  <w:num w16cid:durableId="1417166918" w:numId="52">
    <w:abstractNumId w:val="8"/>
  </w:num>
  <w:num w16cid:durableId="1397167355" w:numId="53">
    <w:abstractNumId w:val="3"/>
  </w:num>
  <w:num w16cid:durableId="359428694" w:numId="54">
    <w:abstractNumId w:val="2"/>
  </w:num>
  <w:num w16cid:durableId="1877965538" w:numId="55">
    <w:abstractNumId w:val="1"/>
  </w:num>
  <w:num w16cid:durableId="1690907755" w:numId="56">
    <w:abstractNumId w:val="0"/>
  </w:num>
  <w:num w16cid:durableId="1847744294" w:numId="57">
    <w:abstractNumId w:val="8"/>
  </w:num>
  <w:num w16cid:durableId="625551729" w:numId="58">
    <w:abstractNumId w:val="3"/>
  </w:num>
  <w:num w16cid:durableId="80106395" w:numId="59">
    <w:abstractNumId w:val="2"/>
  </w:num>
  <w:num w16cid:durableId="680817095" w:numId="60">
    <w:abstractNumId w:val="1"/>
  </w:num>
  <w:num w16cid:durableId="1696883699" w:numId="61">
    <w:abstractNumId w:val="0"/>
  </w:num>
  <w:num w16cid:durableId="764963967" w:numId="62">
    <w:abstractNumId w:val="8"/>
  </w:num>
  <w:num w16cid:durableId="1771704117" w:numId="63">
    <w:abstractNumId w:val="3"/>
  </w:num>
  <w:num w16cid:durableId="1330250043" w:numId="64">
    <w:abstractNumId w:val="2"/>
  </w:num>
  <w:num w16cid:durableId="82340849" w:numId="65">
    <w:abstractNumId w:val="1"/>
  </w:num>
  <w:num w16cid:durableId="1166436873" w:numId="66">
    <w:abstractNumId w:val="0"/>
  </w:num>
  <w:num w16cid:durableId="1345087903" w:numId="67">
    <w:abstractNumId w:val="8"/>
  </w:num>
  <w:num w16cid:durableId="1290475426" w:numId="68">
    <w:abstractNumId w:val="3"/>
  </w:num>
  <w:num w16cid:durableId="121963508" w:numId="69">
    <w:abstractNumId w:val="2"/>
  </w:num>
  <w:num w16cid:durableId="1631592308" w:numId="70">
    <w:abstractNumId w:val="1"/>
  </w:num>
  <w:num w16cid:durableId="1701979659" w:numId="71">
    <w:abstractNumId w:val="0"/>
  </w:num>
  <w:num w16cid:durableId="688723813" w:numId="72">
    <w:abstractNumId w:val="8"/>
  </w:num>
  <w:num w16cid:durableId="513108775" w:numId="73">
    <w:abstractNumId w:val="3"/>
  </w:num>
  <w:num w16cid:durableId="504173735" w:numId="74">
    <w:abstractNumId w:val="2"/>
  </w:num>
  <w:num w16cid:durableId="25448909" w:numId="75">
    <w:abstractNumId w:val="1"/>
  </w:num>
  <w:num w16cid:durableId="601105827" w:numId="76">
    <w:abstractNumId w:val="0"/>
  </w:num>
  <w:num w16cid:durableId="58747902" w:numId="77">
    <w:abstractNumId w:val="8"/>
  </w:num>
  <w:num w16cid:durableId="1772125209" w:numId="78">
    <w:abstractNumId w:val="3"/>
  </w:num>
  <w:num w16cid:durableId="1947079673" w:numId="79">
    <w:abstractNumId w:val="2"/>
  </w:num>
  <w:num w16cid:durableId="124203876" w:numId="80">
    <w:abstractNumId w:val="1"/>
  </w:num>
  <w:num w16cid:durableId="535655405" w:numId="81">
    <w:abstractNumId w:val="0"/>
  </w:num>
  <w:num w16cid:durableId="1783576686" w:numId="82">
    <w:abstractNumId w:val="8"/>
  </w:num>
  <w:num w16cid:durableId="248467469" w:numId="83">
    <w:abstractNumId w:val="3"/>
  </w:num>
  <w:num w16cid:durableId="2092382446" w:numId="84">
    <w:abstractNumId w:val="2"/>
  </w:num>
  <w:num w16cid:durableId="1056666988" w:numId="85">
    <w:abstractNumId w:val="1"/>
  </w:num>
  <w:num w16cid:durableId="225652704" w:numId="86">
    <w:abstractNumId w:val="0"/>
  </w:num>
  <w:num w16cid:durableId="2050718763" w:numId="87">
    <w:abstractNumId w:val="8"/>
  </w:num>
  <w:num w16cid:durableId="143275641" w:numId="88">
    <w:abstractNumId w:val="3"/>
  </w:num>
  <w:num w16cid:durableId="725178082" w:numId="89">
    <w:abstractNumId w:val="2"/>
  </w:num>
  <w:num w16cid:durableId="362362474" w:numId="90">
    <w:abstractNumId w:val="1"/>
  </w:num>
  <w:num w16cid:durableId="1589969554" w:numId="91">
    <w:abstractNumId w:val="0"/>
  </w:num>
  <w:num w16cid:durableId="1769932609" w:numId="92">
    <w:abstractNumId w:val="8"/>
  </w:num>
  <w:num w16cid:durableId="309555984" w:numId="93">
    <w:abstractNumId w:val="3"/>
  </w:num>
  <w:num w16cid:durableId="1299144529" w:numId="94">
    <w:abstractNumId w:val="2"/>
  </w:num>
  <w:num w16cid:durableId="1175539660" w:numId="95">
    <w:abstractNumId w:val="1"/>
  </w:num>
  <w:num w16cid:durableId="389964036" w:numId="96">
    <w:abstractNumId w:val="0"/>
  </w:num>
  <w:num w16cid:durableId="208735691" w:numId="97">
    <w:abstractNumId w:val="8"/>
  </w:num>
  <w:num w16cid:durableId="1525972922" w:numId="98">
    <w:abstractNumId w:val="3"/>
  </w:num>
  <w:num w16cid:durableId="814568665" w:numId="99">
    <w:abstractNumId w:val="2"/>
  </w:num>
  <w:num w16cid:durableId="774911176" w:numId="100">
    <w:abstractNumId w:val="1"/>
  </w:num>
  <w:num w16cid:durableId="1796412552" w:numId="101">
    <w:abstractNumId w:val="0"/>
  </w:num>
  <w:num w16cid:durableId="889847875" w:numId="102">
    <w:abstractNumId w:val="8"/>
  </w:num>
  <w:num w16cid:durableId="114912344" w:numId="103">
    <w:abstractNumId w:val="3"/>
  </w:num>
  <w:num w16cid:durableId="1480876344" w:numId="104">
    <w:abstractNumId w:val="2"/>
  </w:num>
  <w:num w16cid:durableId="583076578" w:numId="105">
    <w:abstractNumId w:val="1"/>
  </w:num>
  <w:num w16cid:durableId="1874876203" w:numId="106">
    <w:abstractNumId w:val="0"/>
  </w:num>
  <w:num w16cid:durableId="1992560244" w:numId="107">
    <w:abstractNumId w:val="8"/>
  </w:num>
  <w:num w16cid:durableId="598025973" w:numId="108">
    <w:abstractNumId w:val="3"/>
  </w:num>
  <w:num w16cid:durableId="405107081" w:numId="109">
    <w:abstractNumId w:val="2"/>
  </w:num>
  <w:num w16cid:durableId="2025549233" w:numId="110">
    <w:abstractNumId w:val="1"/>
  </w:num>
  <w:num w16cid:durableId="1669216078" w:numId="111">
    <w:abstractNumId w:val="0"/>
  </w:num>
  <w:num w16cid:durableId="836770199" w:numId="112">
    <w:abstractNumId w:val="8"/>
  </w:num>
  <w:num w16cid:durableId="1622150131" w:numId="113">
    <w:abstractNumId w:val="3"/>
  </w:num>
  <w:num w16cid:durableId="1988823300" w:numId="114">
    <w:abstractNumId w:val="2"/>
  </w:num>
  <w:num w16cid:durableId="1082601273" w:numId="115">
    <w:abstractNumId w:val="1"/>
  </w:num>
  <w:num w16cid:durableId="1370178083" w:numId="116">
    <w:abstractNumId w:val="0"/>
  </w:num>
  <w:num w16cid:durableId="580679335" w:numId="117">
    <w:abstractNumId w:val="8"/>
  </w:num>
  <w:num w16cid:durableId="973103423" w:numId="118">
    <w:abstractNumId w:val="3"/>
  </w:num>
  <w:num w16cid:durableId="881861565" w:numId="119">
    <w:abstractNumId w:val="2"/>
  </w:num>
  <w:num w16cid:durableId="750736368" w:numId="120">
    <w:abstractNumId w:val="1"/>
  </w:num>
  <w:num w16cid:durableId="1373387839" w:numId="121">
    <w:abstractNumId w:val="0"/>
  </w:num>
  <w:num w16cid:durableId="907685908" w:numId="122">
    <w:abstractNumId w:val="8"/>
  </w:num>
  <w:num w16cid:durableId="620501486" w:numId="123">
    <w:abstractNumId w:val="3"/>
  </w:num>
  <w:num w16cid:durableId="446043719" w:numId="124">
    <w:abstractNumId w:val="2"/>
  </w:num>
  <w:num w16cid:durableId="1033771088" w:numId="125">
    <w:abstractNumId w:val="1"/>
  </w:num>
  <w:num w16cid:durableId="1235050304" w:numId="126">
    <w:abstractNumId w:val="0"/>
  </w:num>
  <w:num w16cid:durableId="199902741" w:numId="127">
    <w:abstractNumId w:val="8"/>
  </w:num>
  <w:num w16cid:durableId="1046371651" w:numId="128">
    <w:abstractNumId w:val="3"/>
  </w:num>
  <w:num w16cid:durableId="1445611969" w:numId="129">
    <w:abstractNumId w:val="2"/>
  </w:num>
  <w:num w16cid:durableId="1606494288" w:numId="130">
    <w:abstractNumId w:val="1"/>
  </w:num>
  <w:num w16cid:durableId="1125854417" w:numId="131">
    <w:abstractNumId w:val="0"/>
  </w:num>
  <w:num w16cid:durableId="1355302728" w:numId="132">
    <w:abstractNumId w:val="8"/>
  </w:num>
  <w:num w16cid:durableId="950279301" w:numId="133">
    <w:abstractNumId w:val="3"/>
  </w:num>
  <w:num w16cid:durableId="2051565447" w:numId="134">
    <w:abstractNumId w:val="2"/>
  </w:num>
  <w:num w16cid:durableId="696543370" w:numId="135">
    <w:abstractNumId w:val="1"/>
  </w:num>
  <w:num w16cid:durableId="1353845816" w:numId="136">
    <w:abstractNumId w:val="0"/>
  </w:num>
  <w:num w16cid:durableId="1129593015" w:numId="137">
    <w:abstractNumId w:val="8"/>
  </w:num>
  <w:num w16cid:durableId="1455372480" w:numId="138">
    <w:abstractNumId w:val="3"/>
  </w:num>
  <w:num w16cid:durableId="238489024" w:numId="139">
    <w:abstractNumId w:val="2"/>
  </w:num>
  <w:num w16cid:durableId="262349791" w:numId="140">
    <w:abstractNumId w:val="1"/>
  </w:num>
  <w:num w16cid:durableId="1150752914" w:numId="141">
    <w:abstractNumId w:val="0"/>
  </w:num>
  <w:num w16cid:durableId="1765178239" w:numId="142">
    <w:abstractNumId w:val="8"/>
  </w:num>
  <w:num w16cid:durableId="1032458695" w:numId="143">
    <w:abstractNumId w:val="3"/>
  </w:num>
  <w:num w16cid:durableId="1128166976" w:numId="144">
    <w:abstractNumId w:val="2"/>
  </w:num>
  <w:num w16cid:durableId="1894148799" w:numId="145">
    <w:abstractNumId w:val="1"/>
  </w:num>
  <w:num w16cid:durableId="1224215055" w:numId="146">
    <w:abstractNumId w:val="0"/>
  </w:num>
  <w:num w16cid:durableId="884097991" w:numId="147">
    <w:abstractNumId w:val="8"/>
  </w:num>
  <w:num w16cid:durableId="1658193880" w:numId="148">
    <w:abstractNumId w:val="3"/>
  </w:num>
  <w:num w16cid:durableId="264384023" w:numId="149">
    <w:abstractNumId w:val="2"/>
  </w:num>
  <w:num w16cid:durableId="2030640676" w:numId="150">
    <w:abstractNumId w:val="1"/>
  </w:num>
  <w:num w16cid:durableId="1764300915" w:numId="151">
    <w:abstractNumId w:val="0"/>
  </w:num>
  <w:num w16cid:durableId="274868847" w:numId="152">
    <w:abstractNumId w:val="8"/>
  </w:num>
  <w:num w16cid:durableId="1963725191" w:numId="153">
    <w:abstractNumId w:val="3"/>
  </w:num>
  <w:num w16cid:durableId="47382796" w:numId="154">
    <w:abstractNumId w:val="2"/>
  </w:num>
  <w:num w16cid:durableId="834803624" w:numId="155">
    <w:abstractNumId w:val="1"/>
  </w:num>
  <w:num w16cid:durableId="1907836433" w:numId="156">
    <w:abstractNumId w:val="0"/>
  </w:num>
  <w:num w16cid:durableId="335694466" w:numId="157">
    <w:abstractNumId w:val="8"/>
  </w:num>
  <w:num w16cid:durableId="1413353708" w:numId="158">
    <w:abstractNumId w:val="3"/>
  </w:num>
  <w:num w16cid:durableId="2017221835" w:numId="159">
    <w:abstractNumId w:val="2"/>
  </w:num>
  <w:num w16cid:durableId="2093504836" w:numId="160">
    <w:abstractNumId w:val="1"/>
  </w:num>
  <w:num w16cid:durableId="20983660" w:numId="161">
    <w:abstractNumId w:val="0"/>
  </w:num>
  <w:num w16cid:durableId="2130083049" w:numId="162">
    <w:abstractNumId w:val="8"/>
  </w:num>
  <w:num w16cid:durableId="2117209151" w:numId="163">
    <w:abstractNumId w:val="3"/>
  </w:num>
  <w:num w16cid:durableId="2133357024" w:numId="164">
    <w:abstractNumId w:val="2"/>
  </w:num>
  <w:num w16cid:durableId="859854129" w:numId="165">
    <w:abstractNumId w:val="1"/>
  </w:num>
  <w:num w16cid:durableId="2034574430" w:numId="166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1"/>
  </w:num>
  <w:num w:numId="104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1"/>
  </w:num>
  <w:num w:numId="1051">
    <w:abstractNumId w:val="991"/>
  </w:num>
  <w:num w:numId="105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1"/>
  </w:num>
  <w:num w:numId="1054">
    <w:abstractNumId w:val="991"/>
  </w:num>
  <w:num w:numId="105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1" w:clearFormatting="0" w:customStyles="0" w:directFormattingOnNumbering="1" w:directFormattingOnParagraphs="1" w:directFormattingOnRuns="1" w:directFormattingOnTables="0" w:headingStyles="1" w:latentStyles="1" w:numberingStyles="0" w:stylesInUse="0" w:tableStyles="0" w:top3HeadingStyles="0" w:val="8724" w:visibleStyl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4505D5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926EF"/>
  </w:style>
  <w:style w:styleId="Heading1" w:type="paragraph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after="80" w:before="360"/>
      <w:outlineLvl w:val="0"/>
    </w:pPr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after="80" w:before="160"/>
      <w:outlineLvl w:val="2"/>
    </w:pPr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after="40" w:before="80"/>
      <w:outlineLvl w:val="3"/>
    </w:pPr>
    <w:rPr>
      <w:rFonts w:ascii="Times New Roman" w:cstheme="majorBidi" w:eastAsiaTheme="majorEastAsia" w:hAnsi="Times New Roman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after="40" w:before="80"/>
      <w:outlineLvl w:val="4"/>
    </w:pPr>
    <w:rPr>
      <w:rFonts w:ascii="Times New Roman" w:cstheme="majorBidi" w:eastAsiaTheme="majorEastAsia" w:hAnsi="Times New Roman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after="0" w:before="40"/>
      <w:outlineLvl w:val="5"/>
    </w:pPr>
    <w:rPr>
      <w:rFonts w:ascii="Times New Roman" w:cstheme="majorBidi" w:eastAsiaTheme="majorEastAsia" w:hAnsi="Times New Roman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after="0" w:before="40"/>
      <w:outlineLvl w:val="6"/>
    </w:pPr>
    <w:rPr>
      <w:rFonts w:ascii="Times New Roman" w:cstheme="majorBidi" w:eastAsiaTheme="majorEastAsia" w:hAnsi="Times New Roman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cstheme="majorBidi" w:eastAsiaTheme="majorEastAsia" w:hAnsi="Times New Roman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cstheme="majorBidi" w:eastAsiaTheme="majorEastAsia" w:hAnsi="Times New Roman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80582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E054EE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1129A"/>
    <w:pPr>
      <w:keepNext/>
      <w:keepLines/>
      <w:spacing w:after="300" w:before="100"/>
    </w:pPr>
    <w:rPr>
      <w:rFonts w:ascii="Times New Roman" w:hAnsi="Times New Roman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61129A"/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1129A"/>
    <w:rPr>
      <w:rFonts w:ascii="Times New Roman" w:cstheme="majorBidi" w:eastAsiaTheme="majorEastAsia" w:hAnsi="Times New Roman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1129A"/>
    <w:rPr>
      <w:rFonts w:ascii="Times New Roman" w:cstheme="majorBidi" w:eastAsiaTheme="majorEastAsia" w:hAnsi="Times New Roman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1129A"/>
    <w:rPr>
      <w:rFonts w:ascii="Times New Roman" w:cstheme="majorBidi" w:eastAsiaTheme="majorEastAsia" w:hAnsi="Times New Roman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C46DD1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customStyle="1" w:styleId="Definition" w:type="paragraph">
    <w:name w:val="Definition"/>
    <w:basedOn w:val="Normal"/>
    <w:rsid w:val="002069BA"/>
    <w:rPr>
      <w:rFonts w:ascii="Times New Roman" w:hAnsi="Times New Roman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2069BA"/>
    <w:rPr>
      <w:rFonts w:ascii="Times New Roman" w:hAnsi="Times New Roman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BodyTextChar" w:type="character">
    <w:name w:val="Body Text Char"/>
    <w:basedOn w:val="DefaultParagraphFont"/>
    <w:link w:val="BodyText"/>
    <w:rsid w:val="005926EF"/>
    <w:rPr>
      <w:rFonts w:ascii="Times New Roman" w:hAnsi="Times New Roman"/>
    </w:rPr>
  </w:style>
  <w:style w:customStyle="1" w:styleId="StyleHeading2TimesNewRoman" w:type="paragraph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