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0a1998faf3eb883df480826f8b2739102a7db61"/>
    <w:p>
      <w:pPr>
        <w:pStyle w:val="Heading3"/>
      </w:pPr>
      <w:r>
        <w:t xml:space="preserve">Оценка дискриминирующей способности модели PD Lifetime</w:t>
      </w:r>
    </w:p>
    <w:p>
      <w:pPr>
        <w:pStyle w:val="FirstParagraph"/>
      </w:pPr>
      <w:r>
        <w:t xml:space="preserve">Дискриминирующая способность модели PD Lifetime отражает ее способность разделять объекты, которые подвержены дефолту, и те, которые останутся недефолтными на каждом временном горизонте. Это ключевой аспект оценки, поскольку модель должна эффективно отличать заемщиков с высоким риском от заемщиков с низким риском дефолта.</w:t>
      </w:r>
    </w:p>
    <w:bookmarkStart w:id="20" w:name="X8b882ae873176c7e304f1701e2e66153e94077d"/>
    <w:p>
      <w:pPr>
        <w:pStyle w:val="Heading4"/>
      </w:pPr>
      <w:r>
        <w:t xml:space="preserve">Основные тесты для оценки дискриминирующей способности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Кривая ROC и AUC (Area Under Curve)</w:t>
      </w:r>
      <w:r>
        <w:br/>
      </w:r>
      <w:r>
        <w:t xml:space="preserve">ROC-кривая строится для каждого временного горизонта (</w:t>
      </w:r>
      <m:oMath>
        <m:r>
          <m:t>n</m:t>
        </m:r>
        <m:r>
          <m:t>Y</m:t>
        </m:r>
      </m:oMath>
      <w:r>
        <w:t xml:space="preserve">) путем сравнения доли истинно положительных срабатываний (True Positive Rate, TPR) и доли ложноположительных срабатываний (False Positive Rate, FPR) при различных порогах вероятности дефолта.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AUC (площадь под кривой):</w:t>
      </w:r>
    </w:p>
    <w:p>
      <w:pPr>
        <w:pStyle w:val="Compact"/>
        <w:numPr>
          <w:ilvl w:val="1"/>
          <w:numId w:val="1002"/>
        </w:numPr>
      </w:pPr>
      <w:r>
        <w:t xml:space="preserve">AUC измеряет дискриминацию модели; она варьируется от 0.5 (случайное угадывание) до 1.0 (идеальная дискриминация).</w:t>
      </w:r>
    </w:p>
    <w:p>
      <w:pPr>
        <w:pStyle w:val="Compact"/>
        <w:numPr>
          <w:ilvl w:val="1"/>
          <w:numId w:val="1002"/>
        </w:numPr>
      </w:pPr>
      <w:r>
        <w:t xml:space="preserve">Чем выше AUC, тем лучше модель отличает дефолтные и недефолтные объекты.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3"/>
        </w:numPr>
      </w:pPr>
      <w:r>
        <w:t xml:space="preserve">AUC &gt; 0.8 — высокая дискриминирующая способность.</w:t>
      </w:r>
    </w:p>
    <w:p>
      <w:pPr>
        <w:pStyle w:val="Compact"/>
        <w:numPr>
          <w:ilvl w:val="1"/>
          <w:numId w:val="1003"/>
        </w:numPr>
      </w:pPr>
      <w:r>
        <w:t xml:space="preserve">AUC в диапазоне 0.7–0.8 — удовлетворительная.</w:t>
      </w:r>
    </w:p>
    <w:p>
      <w:pPr>
        <w:pStyle w:val="Compact"/>
        <w:numPr>
          <w:ilvl w:val="1"/>
          <w:numId w:val="1003"/>
        </w:numPr>
      </w:pPr>
      <w:r>
        <w:t xml:space="preserve">AUC &lt; 0.7 — низкая дискриминирующая способность, требующая доработки модели.</w:t>
      </w:r>
    </w:p>
    <w:p>
      <w:pPr>
        <w:numPr>
          <w:ilvl w:val="0"/>
          <w:numId w:val="1000"/>
        </w:numPr>
      </w:pPr>
      <w:r>
        <w:t xml:space="preserve">ROC-кривые и AUC рассчитываются отдельно для каждого горизонта (</w:t>
      </w:r>
      <m:oMath>
        <m:r>
          <m:t>P</m:t>
        </m:r>
        <m:sSub>
          <m:e>
            <m:r>
              <m:t>D</m:t>
            </m:r>
          </m:e>
          <m:sub>
            <m:r>
              <m:t>2</m:t>
            </m:r>
            <m:r>
              <m:t>Y</m:t>
            </m:r>
          </m:sub>
        </m:sSub>
        <m:r>
          <m:rPr>
            <m:sty m:val="p"/>
          </m:rPr>
          <m:t>,</m:t>
        </m:r>
        <m:r>
          <m:t>P</m:t>
        </m:r>
        <m:sSub>
          <m:e>
            <m:r>
              <m:t>D</m:t>
            </m:r>
          </m:e>
          <m:sub>
            <m:r>
              <m:t>3</m:t>
            </m:r>
            <m:r>
              <m:t>Y</m:t>
            </m:r>
          </m:sub>
        </m:sSub>
      </m:oMath>
      <w:r>
        <w:t xml:space="preserve">, и так далее), чтобы оценить дискриминацию на разных этапах жизненного цикла актива.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Кривая PR (Precision-Recall) и AUC PR</w:t>
      </w:r>
      <w:r>
        <w:br/>
      </w:r>
      <w:r>
        <w:t xml:space="preserve">Precision-Recall (PR) кривая применяется, если данные несбалансированы (например, доля дефолтов значительно ниже доли недефолтов).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Precision (точность):</w:t>
      </w:r>
      <w:r>
        <w:t xml:space="preserve"> </w:t>
      </w:r>
      <w:r>
        <w:t xml:space="preserve">доля истинных дефолтов среди всех объектов, классифицированных как дефолтные.</w:t>
      </w:r>
    </w:p>
    <w:p>
      <w:pPr>
        <w:pStyle w:val="Compact"/>
        <w:numPr>
          <w:ilvl w:val="1"/>
          <w:numId w:val="1004"/>
        </w:numPr>
      </w:pPr>
      <w:r>
        <w:rPr>
          <w:b/>
          <w:bCs/>
        </w:rPr>
        <w:t xml:space="preserve">Recall (полнота):</w:t>
      </w:r>
      <w:r>
        <w:t xml:space="preserve"> </w:t>
      </w:r>
      <w:r>
        <w:t xml:space="preserve">доля истинных дефолтов, которые были правильно идентифицированы моделью.</w:t>
      </w:r>
    </w:p>
    <w:p>
      <w:pPr>
        <w:numPr>
          <w:ilvl w:val="0"/>
          <w:numId w:val="1000"/>
        </w:numPr>
      </w:pPr>
      <w:r>
        <w:t xml:space="preserve">AUC для PR-кривой показывает дискриминирующую способность в условиях несбалансированных данных, где обычный ROC-анализ может быть менее информативным.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Коэффициент Каппы (Cohen’s Kappa)</w:t>
      </w:r>
      <w:r>
        <w:br/>
      </w:r>
      <w:r>
        <w:t xml:space="preserve">Этот показатель измеряет, насколько результаты классификации (дефолт/недефолт) превосходят случайное угадывание. Формула: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</m:sub>
              </m:sSub>
            </m:num>
            <m:den>
              <m:r>
                <m:t>1</m:t>
              </m:r>
              <m:r>
                <m:rPr>
                  <m:sty m:val="p"/>
                </m:rPr>
                <m:t>−</m:t>
              </m:r>
              <m:sSub>
                <m:e>
                  <m:r>
                    <m:t>P</m:t>
                  </m:r>
                </m:e>
                <m:sub>
                  <m:r>
                    <m:t>e</m:t>
                  </m:r>
                </m:sub>
              </m:sSub>
            </m:den>
          </m:f>
        </m:oMath>
      </m:oMathPara>
    </w:p>
    <w:p>
      <w:pPr>
        <w:numPr>
          <w:ilvl w:val="0"/>
          <w:numId w:val="1000"/>
        </w:numPr>
      </w:pPr>
      <w:r>
        <w:t xml:space="preserve">где:</w:t>
      </w:r>
    </w:p>
    <w:p>
      <w:pPr>
        <w:pStyle w:val="Compact"/>
        <w:numPr>
          <w:ilvl w:val="1"/>
          <w:numId w:val="1005"/>
        </w:numPr>
      </w:pPr>
      <m:oMath>
        <m:sSub>
          <m:e>
            <m:r>
              <m:t>P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— доля совпадений предсказаний с наблюдениями,</w:t>
      </w:r>
    </w:p>
    <w:p>
      <w:pPr>
        <w:pStyle w:val="Compact"/>
        <w:numPr>
          <w:ilvl w:val="1"/>
          <w:numId w:val="1005"/>
        </w:numPr>
      </w:pPr>
      <m:oMath>
        <m:sSub>
          <m:e>
            <m:r>
              <m:t>P</m:t>
            </m:r>
          </m:e>
          <m:sub>
            <m:r>
              <m:t>e</m:t>
            </m:r>
          </m:sub>
        </m:sSub>
      </m:oMath>
      <w:r>
        <w:t xml:space="preserve"> </w:t>
      </w:r>
      <w:r>
        <w:t xml:space="preserve">— ожидаемая доля совпадений при случайном распределении.</w:t>
      </w:r>
    </w:p>
    <w:p>
      <w:pPr>
        <w:numPr>
          <w:ilvl w:val="0"/>
          <w:numId w:val="1000"/>
        </w:numPr>
      </w:pPr>
      <w:r>
        <w:t xml:space="preserve">Значение</w:t>
      </w:r>
      <w:r>
        <w:t xml:space="preserve"> </w:t>
      </w:r>
      <m:oMath>
        <m:r>
          <m:t>κ</m:t>
        </m:r>
      </m:oMath>
      <w:r>
        <w:t xml:space="preserve"> </w:t>
      </w:r>
      <w:r>
        <w:t xml:space="preserve">близкое к 1 указывает на высокую дискриминирующую способность модели.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KS-статистика (Kolmogorov-Smirnov)</w:t>
      </w:r>
      <w:r>
        <w:br/>
      </w:r>
      <w:r>
        <w:t xml:space="preserve">KS-статистика используется для измерения максимальной разницы между кумулятивными распределениями вероятностей дефолта для дефолтных и недефолтных объектов.</w:t>
      </w:r>
    </w:p>
    <w:p>
      <w:pPr>
        <w:pStyle w:val="Compact"/>
        <w:numPr>
          <w:ilvl w:val="1"/>
          <w:numId w:val="1006"/>
        </w:numPr>
      </w:pPr>
      <w:r>
        <w:t xml:space="preserve">Для каждого временного горизонта (</w:t>
      </w:r>
      <m:oMath>
        <m:r>
          <m:t>n</m:t>
        </m:r>
        <m:r>
          <m:t>Y</m:t>
        </m:r>
      </m:oMath>
      <w:r>
        <w:t xml:space="preserve">) вычисляются два кумулятивных распределения:</w:t>
      </w:r>
    </w:p>
    <w:p>
      <w:pPr>
        <w:pStyle w:val="Compact"/>
        <w:numPr>
          <w:ilvl w:val="2"/>
          <w:numId w:val="1007"/>
        </w:numPr>
      </w:pPr>
      <m:oMath>
        <m:r>
          <m:t>C</m:t>
        </m:r>
        <m:r>
          <m:t>D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дефолт</m:t>
            </m:r>
          </m:sub>
        </m:sSub>
      </m:oMath>
      <w:r>
        <w:t xml:space="preserve"> </w:t>
      </w:r>
      <w:r>
        <w:t xml:space="preserve">— для объектов, которые дефолтнули.</w:t>
      </w:r>
    </w:p>
    <w:p>
      <w:pPr>
        <w:pStyle w:val="Compact"/>
        <w:numPr>
          <w:ilvl w:val="2"/>
          <w:numId w:val="1007"/>
        </w:numPr>
      </w:pPr>
      <m:oMath>
        <m:r>
          <m:t>C</m:t>
        </m:r>
        <m:r>
          <m:t>D</m:t>
        </m:r>
        <m:sSub>
          <m:e>
            <m:r>
              <m:t>F</m:t>
            </m:r>
          </m:e>
          <m:sub>
            <m:r>
              <m:rPr>
                <m:nor/>
                <m:sty m:val="p"/>
              </m:rPr>
              <m:t>недефолт</m:t>
            </m:r>
          </m:sub>
        </m:sSub>
      </m:oMath>
      <w:r>
        <w:t xml:space="preserve"> </w:t>
      </w:r>
      <w:r>
        <w:t xml:space="preserve">— для объектов, которые не дефолтнули.</w:t>
      </w:r>
    </w:p>
    <w:p>
      <w:pPr>
        <w:pStyle w:val="Compact"/>
        <w:numPr>
          <w:ilvl w:val="1"/>
          <w:numId w:val="1006"/>
        </w:numPr>
      </w:pPr>
      <w:r>
        <w:t xml:space="preserve">KS-статистика определяется как максимальная вертикальная разница между этими распределениями.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Интерпретация:</w:t>
      </w:r>
    </w:p>
    <w:p>
      <w:pPr>
        <w:pStyle w:val="Compact"/>
        <w:numPr>
          <w:ilvl w:val="1"/>
          <w:numId w:val="1008"/>
        </w:numPr>
      </w:pPr>
      <w:r>
        <w:t xml:space="preserve">Чем выше значение KS, тем лучше модель различает дефолтные и недефолтные объекты.</w:t>
      </w:r>
    </w:p>
    <w:p>
      <w:pPr>
        <w:pStyle w:val="Compact"/>
        <w:numPr>
          <w:ilvl w:val="1"/>
          <w:numId w:val="1008"/>
        </w:numPr>
      </w:pPr>
      <w:r>
        <w:t xml:space="preserve">Значения KS &gt; 0.3 считаются хорошими, KS между 0.2 и 0.3 — удовлетворительными.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Gini-коэффициент</w:t>
      </w:r>
      <w:r>
        <w:br/>
      </w:r>
      <w:r>
        <w:t xml:space="preserve">Gini-коэффициент — это альтернативный показатель, связанный с AUC ROC. Он рассчитывается как: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r>
            <m:t>i</m:t>
          </m:r>
          <m:r>
            <m:t>n</m:t>
          </m:r>
          <m:r>
            <m:t>i</m:t>
          </m:r>
          <m:r>
            <m:rPr>
              <m:sty m:val="p"/>
            </m:rPr>
            <m:t>=</m:t>
          </m:r>
          <m:r>
            <m:t>2</m:t>
          </m:r>
          <m:r>
            <m:rPr>
              <m:sty m:val="p"/>
            </m:rPr>
            <m:t>⋅</m:t>
          </m:r>
          <m:r>
            <m:t>A</m:t>
          </m:r>
          <m:r>
            <m:t>U</m:t>
          </m:r>
          <m:r>
            <m:t>C</m:t>
          </m:r>
          <m:r>
            <m:rPr>
              <m:sty m:val="p"/>
            </m:rPr>
            <m:t>−</m:t>
          </m:r>
          <m:r>
            <m:t>1</m:t>
          </m:r>
        </m:oMath>
      </m:oMathPara>
    </w:p>
    <w:p>
      <w:pPr>
        <w:numPr>
          <w:ilvl w:val="0"/>
          <w:numId w:val="1000"/>
        </w:numPr>
      </w:pPr>
      <w:r>
        <w:t xml:space="preserve">Значения Gini выше 0.4 обычно свидетельствуют о хорошей дискриминирующей способности.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Сегментный анализ дискриминации</w:t>
      </w:r>
      <w:r>
        <w:br/>
      </w:r>
      <w:r>
        <w:t xml:space="preserve">Для более глубокого анализа дискриминирующей способности модель проверяется на разных сегментах заемщиков (например, по отраслям, регионам, возрастным группам или уровням кредитного рейтинга).</w:t>
      </w:r>
    </w:p>
    <w:p>
      <w:pPr>
        <w:pStyle w:val="Compact"/>
        <w:numPr>
          <w:ilvl w:val="1"/>
          <w:numId w:val="1009"/>
        </w:numPr>
      </w:pPr>
      <w:r>
        <w:t xml:space="preserve">ROC-кривые и AUC рассчитываются отдельно для каждого сегмента.</w:t>
      </w:r>
    </w:p>
    <w:p>
      <w:pPr>
        <w:pStyle w:val="Compact"/>
        <w:numPr>
          <w:ilvl w:val="1"/>
          <w:numId w:val="1009"/>
        </w:numPr>
      </w:pPr>
      <w:r>
        <w:t xml:space="preserve">Сравнение результатов между сегментами позволяет выявить группы, где модель хуже различает дефолтные и недефолтные объекты.</w:t>
      </w:r>
    </w:p>
    <w:p>
      <w:r>
        <w:pict>
          <v:rect style="width:0;height:1.5pt" o:hralign="center" o:hrstd="t" o:hr="t"/>
        </w:pict>
      </w:r>
    </w:p>
    <w:bookmarkEnd w:id="20"/>
    <w:bookmarkStart w:id="21" w:name="Xd91e7307d5354ea9875b6cf5875cbbd16e31c2a"/>
    <w:p>
      <w:pPr>
        <w:pStyle w:val="Heading4"/>
      </w:pPr>
      <w:r>
        <w:t xml:space="preserve">Рекомендации по улучшению дискриминирующей способности</w:t>
      </w:r>
    </w:p>
    <w:p>
      <w:pPr>
        <w:pStyle w:val="Compact"/>
        <w:numPr>
          <w:ilvl w:val="0"/>
          <w:numId w:val="1010"/>
        </w:numPr>
      </w:pPr>
      <w:r>
        <w:t xml:space="preserve">Если дискриминация модели на определенных горизонтах или в определенных сегментах недостаточна, возможны следующие меры:</w:t>
      </w:r>
    </w:p>
    <w:p>
      <w:pPr>
        <w:pStyle w:val="Compact"/>
        <w:numPr>
          <w:ilvl w:val="1"/>
          <w:numId w:val="1011"/>
        </w:numPr>
      </w:pPr>
      <w:r>
        <w:t xml:space="preserve">Улучшение качества входного параметра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1</m:t>
            </m:r>
            <m:r>
              <m:t>Y</m:t>
            </m:r>
          </m:sub>
        </m:sSub>
      </m:oMath>
      <w:r>
        <w:t xml:space="preserve">, так как он оказывает значительное влияние на прогнозы</w:t>
      </w:r>
      <w:r>
        <w:t xml:space="preserve"> </w:t>
      </w:r>
      <m:oMath>
        <m:r>
          <m:t>P</m:t>
        </m:r>
        <m:sSub>
          <m:e>
            <m:r>
              <m:t>D</m:t>
            </m:r>
          </m:e>
          <m:sub>
            <m:r>
              <m:t>n</m:t>
            </m:r>
            <m:r>
              <m:t>Y</m:t>
            </m:r>
          </m:sub>
        </m:sSub>
      </m:oMath>
      <w:r>
        <w:t xml:space="preserve">.</w:t>
      </w:r>
    </w:p>
    <w:p>
      <w:pPr>
        <w:pStyle w:val="Compact"/>
        <w:numPr>
          <w:ilvl w:val="1"/>
          <w:numId w:val="1011"/>
        </w:numPr>
      </w:pPr>
      <w:r>
        <w:t xml:space="preserve">Пересмотр архитектуры модели для учета дополнительных факторов риска.</w:t>
      </w:r>
    </w:p>
    <w:p>
      <w:pPr>
        <w:pStyle w:val="Compact"/>
        <w:numPr>
          <w:ilvl w:val="1"/>
          <w:numId w:val="1011"/>
        </w:numPr>
      </w:pPr>
      <w:r>
        <w:t xml:space="preserve">Использование различных алгоритмов для учета нелинейных зависимостей в данных.</w:t>
      </w:r>
    </w:p>
    <w:p>
      <w:pPr>
        <w:pStyle w:val="FirstParagraph"/>
      </w:pPr>
      <w:r>
        <w:t xml:space="preserve">Эти тесты обеспечивают объективную оценку способности модели PD Lifetime точно отличать заемщиков с высоким риском дефолта от низкорисковых заемщиков на протяжении всего срока жизни кредита.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ADCA949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EFDA14D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C77C7C2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E594F2E2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6E66B31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8A4A0E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DDAD486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52367CF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C32E906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927AC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60E481F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124693139" w:numId="1">
    <w:abstractNumId w:val="10"/>
  </w:num>
  <w:num w16cid:durableId="1210262218" w:numId="2">
    <w:abstractNumId w:val="9"/>
  </w:num>
  <w:num w16cid:durableId="1124689705" w:numId="3">
    <w:abstractNumId w:val="8"/>
  </w:num>
  <w:num w16cid:durableId="731544624" w:numId="4">
    <w:abstractNumId w:val="7"/>
  </w:num>
  <w:num w16cid:durableId="1488861656" w:numId="5">
    <w:abstractNumId w:val="6"/>
  </w:num>
  <w:num w16cid:durableId="477959411" w:numId="6">
    <w:abstractNumId w:val="5"/>
  </w:num>
  <w:num w16cid:durableId="1839954500" w:numId="7">
    <w:abstractNumId w:val="4"/>
  </w:num>
  <w:num w16cid:durableId="1867252605" w:numId="8">
    <w:abstractNumId w:val="3"/>
  </w:num>
  <w:num w16cid:durableId="321127133" w:numId="9">
    <w:abstractNumId w:val="2"/>
  </w:num>
  <w:num w16cid:durableId="1366759467" w:numId="10">
    <w:abstractNumId w:val="1"/>
  </w:num>
  <w:num w16cid:durableId="1472140782" w:numId="11">
    <w:abstractNumId w:val="0"/>
  </w:num>
  <w:num w16cid:durableId="67659437" w:numId="12">
    <w:abstractNumId w:val="8"/>
  </w:num>
  <w:num w16cid:durableId="1389105613" w:numId="13">
    <w:abstractNumId w:val="3"/>
  </w:num>
  <w:num w16cid:durableId="658114841" w:numId="14">
    <w:abstractNumId w:val="2"/>
  </w:num>
  <w:num w16cid:durableId="166673275" w:numId="15">
    <w:abstractNumId w:val="1"/>
  </w:num>
  <w:num w16cid:durableId="758989341" w:numId="16">
    <w:abstractNumId w:val="0"/>
  </w:num>
  <w:num w16cid:durableId="1604849100" w:numId="17">
    <w:abstractNumId w:val="8"/>
  </w:num>
  <w:num w16cid:durableId="1872376338" w:numId="18">
    <w:abstractNumId w:val="3"/>
  </w:num>
  <w:num w16cid:durableId="453255074" w:numId="19">
    <w:abstractNumId w:val="2"/>
  </w:num>
  <w:num w16cid:durableId="1519193340" w:numId="20">
    <w:abstractNumId w:val="1"/>
  </w:num>
  <w:num w16cid:durableId="64183687" w:numId="21">
    <w:abstractNumId w:val="0"/>
  </w:num>
  <w:num w16cid:durableId="1881046726" w:numId="22">
    <w:abstractNumId w:val="8"/>
  </w:num>
  <w:num w16cid:durableId="293291141" w:numId="23">
    <w:abstractNumId w:val="3"/>
  </w:num>
  <w:num w16cid:durableId="226040243" w:numId="24">
    <w:abstractNumId w:val="2"/>
  </w:num>
  <w:num w16cid:durableId="350768483" w:numId="25">
    <w:abstractNumId w:val="1"/>
  </w:num>
  <w:num w16cid:durableId="1284187935" w:numId="26">
    <w:abstractNumId w:val="0"/>
  </w:num>
  <w:num w16cid:durableId="567613641" w:numId="27">
    <w:abstractNumId w:val="8"/>
  </w:num>
  <w:num w16cid:durableId="1992830610" w:numId="28">
    <w:abstractNumId w:val="3"/>
  </w:num>
  <w:num w16cid:durableId="1277299286" w:numId="29">
    <w:abstractNumId w:val="2"/>
  </w:num>
  <w:num w16cid:durableId="1384132582" w:numId="30">
    <w:abstractNumId w:val="1"/>
  </w:num>
  <w:num w16cid:durableId="242884524" w:numId="31">
    <w:abstractNumId w:val="0"/>
  </w:num>
  <w:num w16cid:durableId="237254149" w:numId="32">
    <w:abstractNumId w:val="8"/>
  </w:num>
  <w:num w16cid:durableId="1249122975" w:numId="33">
    <w:abstractNumId w:val="3"/>
  </w:num>
  <w:num w16cid:durableId="561871531" w:numId="34">
    <w:abstractNumId w:val="2"/>
  </w:num>
  <w:num w16cid:durableId="601885692" w:numId="35">
    <w:abstractNumId w:val="1"/>
  </w:num>
  <w:num w16cid:durableId="721565719" w:numId="36">
    <w:abstractNumId w:val="0"/>
  </w:num>
  <w:num w16cid:durableId="561983021" w:numId="37">
    <w:abstractNumId w:val="8"/>
  </w:num>
  <w:num w16cid:durableId="382675534" w:numId="38">
    <w:abstractNumId w:val="3"/>
  </w:num>
  <w:num w16cid:durableId="1214853816" w:numId="39">
    <w:abstractNumId w:val="2"/>
  </w:num>
  <w:num w16cid:durableId="1796213138" w:numId="40">
    <w:abstractNumId w:val="1"/>
  </w:num>
  <w:num w16cid:durableId="397673562" w:numId="41">
    <w:abstractNumId w:val="0"/>
  </w:num>
  <w:num w16cid:durableId="1903372981" w:numId="42">
    <w:abstractNumId w:val="8"/>
  </w:num>
  <w:num w16cid:durableId="1587641893" w:numId="43">
    <w:abstractNumId w:val="3"/>
  </w:num>
  <w:num w16cid:durableId="985553758" w:numId="44">
    <w:abstractNumId w:val="2"/>
  </w:num>
  <w:num w16cid:durableId="2129279502" w:numId="45">
    <w:abstractNumId w:val="1"/>
  </w:num>
  <w:num w16cid:durableId="689642307" w:numId="46">
    <w:abstractNumId w:val="0"/>
  </w:num>
  <w:num w16cid:durableId="283316381" w:numId="47">
    <w:abstractNumId w:val="8"/>
  </w:num>
  <w:num w16cid:durableId="667514414" w:numId="48">
    <w:abstractNumId w:val="3"/>
  </w:num>
  <w:num w16cid:durableId="999625841" w:numId="49">
    <w:abstractNumId w:val="2"/>
  </w:num>
  <w:num w16cid:durableId="631595333" w:numId="50">
    <w:abstractNumId w:val="1"/>
  </w:num>
  <w:num w16cid:durableId="409087350" w:numId="51">
    <w:abstractNumId w:val="0"/>
  </w:num>
  <w:num w16cid:durableId="1417166918" w:numId="52">
    <w:abstractNumId w:val="8"/>
  </w:num>
  <w:num w16cid:durableId="1397167355" w:numId="53">
    <w:abstractNumId w:val="3"/>
  </w:num>
  <w:num w16cid:durableId="359428694" w:numId="54">
    <w:abstractNumId w:val="2"/>
  </w:num>
  <w:num w16cid:durableId="1877965538" w:numId="55">
    <w:abstractNumId w:val="1"/>
  </w:num>
  <w:num w16cid:durableId="1690907755" w:numId="56">
    <w:abstractNumId w:val="0"/>
  </w:num>
  <w:num w16cid:durableId="1847744294" w:numId="57">
    <w:abstractNumId w:val="8"/>
  </w:num>
  <w:num w16cid:durableId="625551729" w:numId="58">
    <w:abstractNumId w:val="3"/>
  </w:num>
  <w:num w16cid:durableId="80106395" w:numId="59">
    <w:abstractNumId w:val="2"/>
  </w:num>
  <w:num w16cid:durableId="680817095" w:numId="60">
    <w:abstractNumId w:val="1"/>
  </w:num>
  <w:num w16cid:durableId="1696883699" w:numId="61">
    <w:abstractNumId w:val="0"/>
  </w:num>
  <w:num w16cid:durableId="764963967" w:numId="62">
    <w:abstractNumId w:val="8"/>
  </w:num>
  <w:num w16cid:durableId="1771704117" w:numId="63">
    <w:abstractNumId w:val="3"/>
  </w:num>
  <w:num w16cid:durableId="1330250043" w:numId="64">
    <w:abstractNumId w:val="2"/>
  </w:num>
  <w:num w16cid:durableId="82340849" w:numId="65">
    <w:abstractNumId w:val="1"/>
  </w:num>
  <w:num w16cid:durableId="1166436873" w:numId="66">
    <w:abstractNumId w:val="0"/>
  </w:num>
  <w:num w16cid:durableId="1345087903" w:numId="67">
    <w:abstractNumId w:val="8"/>
  </w:num>
  <w:num w16cid:durableId="1290475426" w:numId="68">
    <w:abstractNumId w:val="3"/>
  </w:num>
  <w:num w16cid:durableId="121963508" w:numId="69">
    <w:abstractNumId w:val="2"/>
  </w:num>
  <w:num w16cid:durableId="1631592308" w:numId="70">
    <w:abstractNumId w:val="1"/>
  </w:num>
  <w:num w16cid:durableId="1701979659" w:numId="71">
    <w:abstractNumId w:val="0"/>
  </w:num>
  <w:num w16cid:durableId="688723813" w:numId="72">
    <w:abstractNumId w:val="8"/>
  </w:num>
  <w:num w16cid:durableId="513108775" w:numId="73">
    <w:abstractNumId w:val="3"/>
  </w:num>
  <w:num w16cid:durableId="504173735" w:numId="74">
    <w:abstractNumId w:val="2"/>
  </w:num>
  <w:num w16cid:durableId="25448909" w:numId="75">
    <w:abstractNumId w:val="1"/>
  </w:num>
  <w:num w16cid:durableId="601105827" w:numId="76">
    <w:abstractNumId w:val="0"/>
  </w:num>
  <w:num w16cid:durableId="58747902" w:numId="77">
    <w:abstractNumId w:val="8"/>
  </w:num>
  <w:num w16cid:durableId="1772125209" w:numId="78">
    <w:abstractNumId w:val="3"/>
  </w:num>
  <w:num w16cid:durableId="1947079673" w:numId="79">
    <w:abstractNumId w:val="2"/>
  </w:num>
  <w:num w16cid:durableId="124203876" w:numId="80">
    <w:abstractNumId w:val="1"/>
  </w:num>
  <w:num w16cid:durableId="535655405" w:numId="81">
    <w:abstractNumId w:val="0"/>
  </w:num>
  <w:num w16cid:durableId="1783576686" w:numId="82">
    <w:abstractNumId w:val="8"/>
  </w:num>
  <w:num w16cid:durableId="248467469" w:numId="83">
    <w:abstractNumId w:val="3"/>
  </w:num>
  <w:num w16cid:durableId="2092382446" w:numId="84">
    <w:abstractNumId w:val="2"/>
  </w:num>
  <w:num w16cid:durableId="1056666988" w:numId="85">
    <w:abstractNumId w:val="1"/>
  </w:num>
  <w:num w16cid:durableId="225652704" w:numId="86">
    <w:abstractNumId w:val="0"/>
  </w:num>
  <w:num w16cid:durableId="2050718763" w:numId="87">
    <w:abstractNumId w:val="8"/>
  </w:num>
  <w:num w16cid:durableId="143275641" w:numId="88">
    <w:abstractNumId w:val="3"/>
  </w:num>
  <w:num w16cid:durableId="725178082" w:numId="89">
    <w:abstractNumId w:val="2"/>
  </w:num>
  <w:num w16cid:durableId="362362474" w:numId="90">
    <w:abstractNumId w:val="1"/>
  </w:num>
  <w:num w16cid:durableId="1589969554" w:numId="91">
    <w:abstractNumId w:val="0"/>
  </w:num>
  <w:num w16cid:durableId="1769932609" w:numId="92">
    <w:abstractNumId w:val="8"/>
  </w:num>
  <w:num w16cid:durableId="309555984" w:numId="93">
    <w:abstractNumId w:val="3"/>
  </w:num>
  <w:num w16cid:durableId="1299144529" w:numId="94">
    <w:abstractNumId w:val="2"/>
  </w:num>
  <w:num w16cid:durableId="1175539660" w:numId="95">
    <w:abstractNumId w:val="1"/>
  </w:num>
  <w:num w16cid:durableId="389964036" w:numId="96">
    <w:abstractNumId w:val="0"/>
  </w:num>
  <w:num w16cid:durableId="208735691" w:numId="97">
    <w:abstractNumId w:val="8"/>
  </w:num>
  <w:num w16cid:durableId="1525972922" w:numId="98">
    <w:abstractNumId w:val="3"/>
  </w:num>
  <w:num w16cid:durableId="814568665" w:numId="99">
    <w:abstractNumId w:val="2"/>
  </w:num>
  <w:num w16cid:durableId="774911176" w:numId="100">
    <w:abstractNumId w:val="1"/>
  </w:num>
  <w:num w16cid:durableId="1796412552" w:numId="101">
    <w:abstractNumId w:val="0"/>
  </w:num>
  <w:num w16cid:durableId="889847875" w:numId="102">
    <w:abstractNumId w:val="8"/>
  </w:num>
  <w:num w16cid:durableId="114912344" w:numId="103">
    <w:abstractNumId w:val="3"/>
  </w:num>
  <w:num w16cid:durableId="1480876344" w:numId="104">
    <w:abstractNumId w:val="2"/>
  </w:num>
  <w:num w16cid:durableId="583076578" w:numId="105">
    <w:abstractNumId w:val="1"/>
  </w:num>
  <w:num w16cid:durableId="1874876203" w:numId="106">
    <w:abstractNumId w:val="0"/>
  </w:num>
  <w:num w16cid:durableId="1992560244" w:numId="107">
    <w:abstractNumId w:val="8"/>
  </w:num>
  <w:num w16cid:durableId="598025973" w:numId="108">
    <w:abstractNumId w:val="3"/>
  </w:num>
  <w:num w16cid:durableId="405107081" w:numId="109">
    <w:abstractNumId w:val="2"/>
  </w:num>
  <w:num w16cid:durableId="2025549233" w:numId="110">
    <w:abstractNumId w:val="1"/>
  </w:num>
  <w:num w16cid:durableId="1669216078" w:numId="111">
    <w:abstractNumId w:val="0"/>
  </w:num>
  <w:num w16cid:durableId="836770199" w:numId="112">
    <w:abstractNumId w:val="8"/>
  </w:num>
  <w:num w16cid:durableId="1622150131" w:numId="113">
    <w:abstractNumId w:val="3"/>
  </w:num>
  <w:num w16cid:durableId="1988823300" w:numId="114">
    <w:abstractNumId w:val="2"/>
  </w:num>
  <w:num w16cid:durableId="1082601273" w:numId="115">
    <w:abstractNumId w:val="1"/>
  </w:num>
  <w:num w16cid:durableId="1370178083" w:numId="116">
    <w:abstractNumId w:val="0"/>
  </w:num>
  <w:num w16cid:durableId="580679335" w:numId="117">
    <w:abstractNumId w:val="8"/>
  </w:num>
  <w:num w16cid:durableId="973103423" w:numId="118">
    <w:abstractNumId w:val="3"/>
  </w:num>
  <w:num w16cid:durableId="881861565" w:numId="119">
    <w:abstractNumId w:val="2"/>
  </w:num>
  <w:num w16cid:durableId="750736368" w:numId="120">
    <w:abstractNumId w:val="1"/>
  </w:num>
  <w:num w16cid:durableId="1373387839" w:numId="121">
    <w:abstractNumId w:val="0"/>
  </w:num>
  <w:num w16cid:durableId="907685908" w:numId="122">
    <w:abstractNumId w:val="8"/>
  </w:num>
  <w:num w16cid:durableId="620501486" w:numId="123">
    <w:abstractNumId w:val="3"/>
  </w:num>
  <w:num w16cid:durableId="446043719" w:numId="124">
    <w:abstractNumId w:val="2"/>
  </w:num>
  <w:num w16cid:durableId="1033771088" w:numId="125">
    <w:abstractNumId w:val="1"/>
  </w:num>
  <w:num w16cid:durableId="1235050304" w:numId="126">
    <w:abstractNumId w:val="0"/>
  </w:num>
  <w:num w16cid:durableId="199902741" w:numId="127">
    <w:abstractNumId w:val="8"/>
  </w:num>
  <w:num w16cid:durableId="1046371651" w:numId="128">
    <w:abstractNumId w:val="3"/>
  </w:num>
  <w:num w16cid:durableId="1445611969" w:numId="129">
    <w:abstractNumId w:val="2"/>
  </w:num>
  <w:num w16cid:durableId="1606494288" w:numId="130">
    <w:abstractNumId w:val="1"/>
  </w:num>
  <w:num w16cid:durableId="1125854417" w:numId="131">
    <w:abstractNumId w:val="0"/>
  </w:num>
  <w:num w16cid:durableId="1355302728" w:numId="132">
    <w:abstractNumId w:val="8"/>
  </w:num>
  <w:num w16cid:durableId="950279301" w:numId="133">
    <w:abstractNumId w:val="3"/>
  </w:num>
  <w:num w16cid:durableId="2051565447" w:numId="134">
    <w:abstractNumId w:val="2"/>
  </w:num>
  <w:num w16cid:durableId="696543370" w:numId="135">
    <w:abstractNumId w:val="1"/>
  </w:num>
  <w:num w16cid:durableId="1353845816" w:numId="136">
    <w:abstractNumId w:val="0"/>
  </w:num>
  <w:num w16cid:durableId="1129593015" w:numId="137">
    <w:abstractNumId w:val="8"/>
  </w:num>
  <w:num w16cid:durableId="1455372480" w:numId="138">
    <w:abstractNumId w:val="3"/>
  </w:num>
  <w:num w16cid:durableId="238489024" w:numId="139">
    <w:abstractNumId w:val="2"/>
  </w:num>
  <w:num w16cid:durableId="262349791" w:numId="140">
    <w:abstractNumId w:val="1"/>
  </w:num>
  <w:num w16cid:durableId="1150752914" w:numId="141">
    <w:abstractNumId w:val="0"/>
  </w:num>
  <w:num w16cid:durableId="1765178239" w:numId="142">
    <w:abstractNumId w:val="8"/>
  </w:num>
  <w:num w16cid:durableId="1032458695" w:numId="143">
    <w:abstractNumId w:val="3"/>
  </w:num>
  <w:num w16cid:durableId="1128166976" w:numId="144">
    <w:abstractNumId w:val="2"/>
  </w:num>
  <w:num w16cid:durableId="1894148799" w:numId="145">
    <w:abstractNumId w:val="1"/>
  </w:num>
  <w:num w16cid:durableId="1224215055" w:numId="146">
    <w:abstractNumId w:val="0"/>
  </w:num>
  <w:num w16cid:durableId="884097991" w:numId="147">
    <w:abstractNumId w:val="8"/>
  </w:num>
  <w:num w16cid:durableId="1658193880" w:numId="148">
    <w:abstractNumId w:val="3"/>
  </w:num>
  <w:num w16cid:durableId="264384023" w:numId="149">
    <w:abstractNumId w:val="2"/>
  </w:num>
  <w:num w16cid:durableId="2030640676" w:numId="150">
    <w:abstractNumId w:val="1"/>
  </w:num>
  <w:num w16cid:durableId="1764300915" w:numId="151">
    <w:abstractNumId w:val="0"/>
  </w:num>
  <w:num w16cid:durableId="274868847" w:numId="152">
    <w:abstractNumId w:val="8"/>
  </w:num>
  <w:num w16cid:durableId="1963725191" w:numId="153">
    <w:abstractNumId w:val="3"/>
  </w:num>
  <w:num w16cid:durableId="47382796" w:numId="154">
    <w:abstractNumId w:val="2"/>
  </w:num>
  <w:num w16cid:durableId="834803624" w:numId="155">
    <w:abstractNumId w:val="1"/>
  </w:num>
  <w:num w16cid:durableId="1907836433" w:numId="156">
    <w:abstractNumId w:val="0"/>
  </w:num>
  <w:num w16cid:durableId="335694466" w:numId="157">
    <w:abstractNumId w:val="8"/>
  </w:num>
  <w:num w16cid:durableId="1413353708" w:numId="158">
    <w:abstractNumId w:val="3"/>
  </w:num>
  <w:num w16cid:durableId="2017221835" w:numId="159">
    <w:abstractNumId w:val="2"/>
  </w:num>
  <w:num w16cid:durableId="2093504836" w:numId="160">
    <w:abstractNumId w:val="1"/>
  </w:num>
  <w:num w16cid:durableId="20983660" w:numId="161">
    <w:abstractNumId w:val="0"/>
  </w:num>
  <w:num w16cid:durableId="2130083049" w:numId="162">
    <w:abstractNumId w:val="8"/>
  </w:num>
  <w:num w16cid:durableId="2117209151" w:numId="163">
    <w:abstractNumId w:val="3"/>
  </w:num>
  <w:num w16cid:durableId="2133357024" w:numId="164">
    <w:abstractNumId w:val="2"/>
  </w:num>
  <w:num w16cid:durableId="859854129" w:numId="165">
    <w:abstractNumId w:val="1"/>
  </w:num>
  <w:num w16cid:durableId="2034574430" w:numId="166">
    <w:abstractNumId w:val="0"/>
  </w: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1" w:clearFormatting="0" w:customStyles="0" w:directFormattingOnNumbering="1" w:directFormattingOnParagraphs="1" w:directFormattingOnRuns="1" w:directFormattingOnTables="0" w:headingStyles="1" w:latentStyles="1" w:numberingStyles="0" w:stylesInUse="0" w:tableStyles="0" w:top3HeadingStyles="0" w:val="8724" w:visibleStyles="0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2069BA"/>
    <w:rsid w:val="002811B4"/>
    <w:rsid w:val="004505D5"/>
    <w:rsid w:val="005926EF"/>
    <w:rsid w:val="005A056E"/>
    <w:rsid w:val="0061129A"/>
    <w:rsid w:val="00654138"/>
    <w:rsid w:val="007803D7"/>
    <w:rsid w:val="008245C2"/>
    <w:rsid w:val="008E4D7E"/>
    <w:rsid w:val="009257D8"/>
    <w:rsid w:val="009E0377"/>
    <w:rsid w:val="00BD4EC2"/>
    <w:rsid w:val="00BF5158"/>
    <w:rsid w:val="00C41EE7"/>
    <w:rsid w:val="00C46DD1"/>
    <w:rsid w:val="00C666BF"/>
    <w:rsid w:val="00D80582"/>
    <w:rsid w:val="00E054EE"/>
    <w:rsid w:val="00E05716"/>
    <w:rsid w:val="00EB5976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5926EF"/>
  </w:style>
  <w:style w:styleId="Heading1" w:type="paragraph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after="40" w:before="80"/>
      <w:outlineLvl w:val="3"/>
    </w:pPr>
    <w:rPr>
      <w:rFonts w:ascii="Times New Roman" w:cstheme="majorBidi" w:eastAsiaTheme="majorEastAsia" w:hAnsi="Times New Roman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after="40" w:before="80"/>
      <w:outlineLvl w:val="4"/>
    </w:pPr>
    <w:rPr>
      <w:rFonts w:ascii="Times New Roman" w:cstheme="majorBidi" w:eastAsiaTheme="majorEastAsia" w:hAnsi="Times New Roman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after="0" w:before="40"/>
      <w:outlineLvl w:val="5"/>
    </w:pPr>
    <w:rPr>
      <w:rFonts w:ascii="Times New Roman" w:cstheme="majorBidi" w:eastAsiaTheme="majorEastAsia" w:hAnsi="Times New Roman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after="0" w:before="40"/>
      <w:outlineLvl w:val="6"/>
    </w:pPr>
    <w:rPr>
      <w:rFonts w:ascii="Times New Roman" w:cstheme="majorBidi" w:eastAsiaTheme="majorEastAsia" w:hAnsi="Times New Roman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cstheme="majorBidi" w:eastAsiaTheme="majorEastAsia" w:hAnsi="Times New Roman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cstheme="majorBidi" w:eastAsiaTheme="majorEastAsia" w:hAnsi="Times New Roman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D80582"/>
    <w:pPr>
      <w:spacing w:after="180" w:before="180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E054EE"/>
    <w:rPr>
      <w:rFonts w:ascii="Times New Roman" w:cstheme="majorBidi" w:eastAsiaTheme="majorEastAsia" w:hAnsi="Times New Roman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61129A"/>
    <w:pPr>
      <w:keepNext/>
      <w:keepLines/>
      <w:spacing w:after="300" w:before="100"/>
    </w:pPr>
    <w:rPr>
      <w:rFonts w:ascii="Times New Roman" w:hAnsi="Times New Roman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61129A"/>
    <w:rPr>
      <w:rFonts w:ascii="Times New Roman" w:cstheme="majorBidi" w:eastAsiaTheme="majorEastAsia" w:hAnsi="Times New Roman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1129A"/>
    <w:rPr>
      <w:rFonts w:ascii="Times New Roman" w:cstheme="majorBidi" w:eastAsiaTheme="majorEastAsia" w:hAnsi="Times New Roman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1129A"/>
    <w:rPr>
      <w:rFonts w:ascii="Times New Roman" w:cstheme="majorBidi" w:eastAsiaTheme="majorEastAsia" w:hAnsi="Times New Roman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1129A"/>
    <w:rPr>
      <w:rFonts w:ascii="Times New Roman" w:cstheme="majorBidi" w:eastAsiaTheme="majorEastAsia" w:hAnsi="Times New Roman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1129A"/>
    <w:rPr>
      <w:rFonts w:ascii="Times New Roman" w:cstheme="majorBidi" w:eastAsiaTheme="majorEastAsia" w:hAnsi="Times New Roman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1129A"/>
    <w:rPr>
      <w:rFonts w:ascii="Times New Roman" w:cstheme="majorBidi" w:eastAsiaTheme="majorEastAsia" w:hAnsi="Times New Roman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C46DD1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customStyle="1" w:styleId="Definition" w:type="paragraph">
    <w:name w:val="Definition"/>
    <w:basedOn w:val="Normal"/>
    <w:rsid w:val="002069BA"/>
    <w:rPr>
      <w:rFonts w:ascii="Times New Roman" w:hAnsi="Times New Roman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2069BA"/>
    <w:rPr>
      <w:rFonts w:ascii="Times New Roman" w:hAnsi="Times New Roman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customStyle="1" w:styleId="BodyTextChar" w:type="character">
    <w:name w:val="Body Text Char"/>
    <w:basedOn w:val="DefaultParagraphFont"/>
    <w:link w:val="BodyText"/>
    <w:rsid w:val="005926EF"/>
    <w:rPr>
      <w:rFonts w:ascii="Times New Roman" w:hAnsi="Times New Roman"/>
    </w:rPr>
  </w:style>
  <w:style w:customStyle="1" w:styleId="StyleHeading2TimesNewRoman" w:type="paragraph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