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оценка-стабильности-модели-pd-lifetime"/>
    <w:p>
      <w:pPr>
        <w:pStyle w:val="Heading3"/>
      </w:pPr>
      <w:r>
        <w:t xml:space="preserve">Оценка стабильности модели PD Lifetime</w:t>
      </w:r>
    </w:p>
    <w:p>
      <w:pPr>
        <w:pStyle w:val="FirstParagraph"/>
      </w:pPr>
      <w:r>
        <w:t xml:space="preserve">Стабильность модели PD Lifetime отражает её способность сохранять предсказательную мощность и ключевые свойства (такие как калибровка и дискриминация) при изменении условий, данных или периода анализа. Этот блок валидации проверяет, насколько модель остается устойчивой к внутренним и внешним факторам.</w:t>
      </w:r>
    </w:p>
    <w:bookmarkStart w:id="20" w:name="основные-аспекты-оценки-стабильности"/>
    <w:p>
      <w:pPr>
        <w:pStyle w:val="Heading4"/>
      </w:pPr>
      <w:r>
        <w:t xml:space="preserve">Основные аспекты оценки стабильности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Стабильность предсказаний во времени (Temporal Stability)</w:t>
      </w:r>
      <w:r>
        <w:br/>
      </w:r>
      <w:r>
        <w:t xml:space="preserve">Проверяется, насколько предсказания модели стабильны на данных разных временных периодов.</w:t>
      </w:r>
    </w:p>
    <w:p>
      <w:pPr>
        <w:pStyle w:val="Compact"/>
        <w:numPr>
          <w:ilvl w:val="1"/>
          <w:numId w:val="1002"/>
        </w:numPr>
      </w:pPr>
      <w:r>
        <w:t xml:space="preserve">Разделите данные на подвыборки, соответствующие разным временным интервалам (например, год или полугодие).</w:t>
      </w:r>
    </w:p>
    <w:p>
      <w:pPr>
        <w:pStyle w:val="Compact"/>
        <w:numPr>
          <w:ilvl w:val="1"/>
          <w:numId w:val="1002"/>
        </w:numPr>
      </w:pPr>
      <w:r>
        <w:t xml:space="preserve">Рассчитайте ключевые метрики (AUC, Brier Score, калибровочные кривые) для каждой подвыборки.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Цель:</w:t>
      </w:r>
    </w:p>
    <w:p>
      <w:pPr>
        <w:pStyle w:val="Compact"/>
        <w:numPr>
          <w:ilvl w:val="1"/>
          <w:numId w:val="1003"/>
        </w:numPr>
      </w:pPr>
      <w:r>
        <w:t xml:space="preserve">Убедиться, что метрики не демонстрируют значительного ухудшения или нестабильности при переходе от одного периода к другому.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1"/>
          <w:numId w:val="1004"/>
        </w:numPr>
      </w:pPr>
      <w:r>
        <w:t xml:space="preserve">Небольшие изменения предсказаний допустимы, если они объясняются объективными факторами (например, изменениями в экономической среде).</w:t>
      </w:r>
    </w:p>
    <w:p>
      <w:pPr>
        <w:pStyle w:val="Compact"/>
        <w:numPr>
          <w:ilvl w:val="1"/>
          <w:numId w:val="1004"/>
        </w:numPr>
      </w:pPr>
      <w:r>
        <w:t xml:space="preserve">Значительные отклонения могут указывать на переобучение модели или необходимость регулярного обновления входных данных.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Стабильность предсказаний по сегментам (Segment Stability)</w:t>
      </w:r>
      <w:r>
        <w:br/>
      </w:r>
      <w:r>
        <w:t xml:space="preserve">Проверяется, насколько предсказания модели стабильны в разных сегментах выборки. Примеры сегментов:</w:t>
      </w:r>
    </w:p>
    <w:p>
      <w:pPr>
        <w:pStyle w:val="Compact"/>
        <w:numPr>
          <w:ilvl w:val="1"/>
          <w:numId w:val="1005"/>
        </w:numPr>
      </w:pPr>
      <w:r>
        <w:t xml:space="preserve">Отрасли или виды деятельности заемщиков.</w:t>
      </w:r>
    </w:p>
    <w:p>
      <w:pPr>
        <w:pStyle w:val="Compact"/>
        <w:numPr>
          <w:ilvl w:val="1"/>
          <w:numId w:val="1005"/>
        </w:numPr>
      </w:pPr>
      <w:r>
        <w:t xml:space="preserve">Кредитные рейтинги.</w:t>
      </w:r>
    </w:p>
    <w:p>
      <w:pPr>
        <w:pStyle w:val="Compact"/>
        <w:numPr>
          <w:ilvl w:val="1"/>
          <w:numId w:val="1005"/>
        </w:numPr>
      </w:pPr>
      <w:r>
        <w:t xml:space="preserve">Региональные группы или географические зоны.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Алгоритм:</w:t>
      </w:r>
    </w:p>
    <w:p>
      <w:pPr>
        <w:pStyle w:val="Compact"/>
        <w:numPr>
          <w:ilvl w:val="1"/>
          <w:numId w:val="1006"/>
        </w:numPr>
      </w:pPr>
      <w:r>
        <w:t xml:space="preserve">Рассчитайте основные метрики (AUC, калибровочные кривые) для каждого сегмента.</w:t>
      </w:r>
    </w:p>
    <w:p>
      <w:pPr>
        <w:pStyle w:val="Compact"/>
        <w:numPr>
          <w:ilvl w:val="1"/>
          <w:numId w:val="1006"/>
        </w:numPr>
      </w:pPr>
      <w:r>
        <w:t xml:space="preserve">Сравните метрики между сегментами, а также с общей выборкой.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1"/>
          <w:numId w:val="1007"/>
        </w:numPr>
      </w:pPr>
      <w:r>
        <w:t xml:space="preserve">Если предсказания модели нестабильны для отдельных сегментов, это может быть признаком того, что модель недостаточно учитывает специфические факторы риска в этих группах.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Стабильность параметров модели (Parameter Stability)</w:t>
      </w:r>
      <w:r>
        <w:br/>
      </w:r>
      <w:r>
        <w:t xml:space="preserve">Анализируется изменение значений ключевых параметров модели при обновлении данных или при изменении выборки.</w:t>
      </w:r>
    </w:p>
    <w:p>
      <w:pPr>
        <w:pStyle w:val="Compact"/>
        <w:numPr>
          <w:ilvl w:val="1"/>
          <w:numId w:val="1008"/>
        </w:numPr>
      </w:pPr>
      <w:r>
        <w:t xml:space="preserve">Проведите обучение модели на различных подвыборках (например, за разные временные периоды или географические регионы).</w:t>
      </w:r>
    </w:p>
    <w:p>
      <w:pPr>
        <w:pStyle w:val="Compact"/>
        <w:numPr>
          <w:ilvl w:val="1"/>
          <w:numId w:val="1008"/>
        </w:numPr>
      </w:pPr>
      <w:r>
        <w:t xml:space="preserve">Сравните коэффициенты или значения параметров модели (например, веса факторов, используемых в модели).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1"/>
          <w:numId w:val="1009"/>
        </w:numPr>
      </w:pPr>
      <w:r>
        <w:t xml:space="preserve">Если параметры значительно отличаются между подвыборками, это может указывать на необходимость пересмотра структуры модели или использования регуляризации.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Стабильность калибровки (Calibration Drift)</w:t>
      </w:r>
      <w:r>
        <w:br/>
      </w:r>
      <w:r>
        <w:t xml:space="preserve">Проверяется изменение качества калибровки на разных временных горизонтах.</w:t>
      </w:r>
    </w:p>
    <w:p>
      <w:pPr>
        <w:pStyle w:val="Compact"/>
        <w:numPr>
          <w:ilvl w:val="1"/>
          <w:numId w:val="1010"/>
        </w:numPr>
      </w:pPr>
      <w:r>
        <w:t xml:space="preserve">Постройте калибровочные кривые для каждого временного интервала или выборки.</w:t>
      </w:r>
    </w:p>
    <w:p>
      <w:pPr>
        <w:pStyle w:val="Compact"/>
        <w:numPr>
          <w:ilvl w:val="1"/>
          <w:numId w:val="1010"/>
        </w:numPr>
      </w:pPr>
      <w:r>
        <w:t xml:space="preserve">Измерьте отклонения кумулятивных предсказаний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от фактических частот дефолта.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Пример:</w:t>
      </w:r>
      <w:r>
        <w:br/>
      </w:r>
      <w:r>
        <w:t xml:space="preserve">Если модель хорошо откалибрована на обучающей выборке, но демонстрирует отклонения на новых данных, это может указывать на временной дрейф (temporal drift) данных.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Population Stability Index (PSI)</w:t>
      </w:r>
      <w:r>
        <w:br/>
      </w:r>
      <w:r>
        <w:t xml:space="preserve">PSI используется для оценки стабильности входных данных, особенно ключевых факторов риска.</w:t>
      </w:r>
    </w:p>
    <w:p>
      <w:pPr>
        <w:pStyle w:val="Compact"/>
        <w:numPr>
          <w:ilvl w:val="1"/>
          <w:numId w:val="1011"/>
        </w:numPr>
      </w:pPr>
      <w:r>
        <w:t xml:space="preserve">Рассчитайте распределение входных переменных (например,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t xml:space="preserve">) для двух выборок: обучающей и текущей.</w:t>
      </w:r>
    </w:p>
    <w:p>
      <w:pPr>
        <w:pStyle w:val="Compact"/>
        <w:numPr>
          <w:ilvl w:val="1"/>
          <w:numId w:val="1011"/>
        </w:numPr>
      </w:pPr>
      <w:r>
        <w:t xml:space="preserve">PSI измеряет различия между этими распределениями: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S</m:t>
          </m:r>
          <m:r>
            <m:t>I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t>t</m:t>
                  </m:r>
                  <m:r>
                    <m:t>u</m:t>
                  </m:r>
                  <m:r>
                    <m:t>a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r>
                    <m:t>e</m:t>
                  </m:r>
                  <m:r>
                    <m:t>c</m:t>
                  </m:r>
                  <m:r>
                    <m:t>t</m:t>
                  </m:r>
                  <m:r>
                    <m:t>e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m:t>⋅</m:t>
          </m:r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  <m:r>
                    <m:t>c</m:t>
                  </m:r>
                  <m:r>
                    <m:t>t</m:t>
                  </m:r>
                  <m:r>
                    <m:t>u</m:t>
                  </m:r>
                  <m:r>
                    <m:t>a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E</m:t>
                  </m:r>
                  <m:r>
                    <m:t>x</m:t>
                  </m:r>
                  <m:r>
                    <m:t>p</m:t>
                  </m:r>
                  <m:r>
                    <m:t>e</m:t>
                  </m:r>
                  <m:r>
                    <m:t>c</m:t>
                  </m:r>
                  <m:r>
                    <m:t>t</m:t>
                  </m:r>
                  <m:r>
                    <m:t>e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Compact"/>
        <w:numPr>
          <w:ilvl w:val="1"/>
          <w:numId w:val="1000"/>
        </w:numPr>
      </w:pPr>
      <w:r>
        <w:t xml:space="preserve">где</w:t>
      </w:r>
      <w:r>
        <w:t xml:space="preserve"> </w:t>
      </w:r>
      <m:oMath>
        <m:r>
          <m:t>A</m:t>
        </m:r>
        <m:r>
          <m:t>c</m:t>
        </m:r>
        <m:r>
          <m:t>t</m:t>
        </m:r>
        <m:r>
          <m:t>u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E</m:t>
        </m:r>
        <m:r>
          <m:t>x</m:t>
        </m:r>
        <m:r>
          <m:t>p</m:t>
        </m:r>
        <m:r>
          <m:t>e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доли объектов в</w:t>
      </w:r>
      <w:r>
        <w:t xml:space="preserve"> </w:t>
      </w:r>
      <m:oMath>
        <m:r>
          <m:t>i</m:t>
        </m:r>
      </m:oMath>
      <w:r>
        <w:t xml:space="preserve">-й группе для текущей и обучающей выборок соответственно.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1"/>
          <w:numId w:val="1012"/>
        </w:numPr>
      </w:pPr>
      <w:r>
        <w:t xml:space="preserve">PSI &lt; 0.1 — данные стабильны.</w:t>
      </w:r>
    </w:p>
    <w:p>
      <w:pPr>
        <w:pStyle w:val="Compact"/>
        <w:numPr>
          <w:ilvl w:val="1"/>
          <w:numId w:val="1012"/>
        </w:numPr>
      </w:pPr>
      <w:r>
        <w:t xml:space="preserve">PSI 0.1–0.25 — возможны незначительные изменения, требующие внимания.</w:t>
      </w:r>
    </w:p>
    <w:p>
      <w:pPr>
        <w:pStyle w:val="Compact"/>
        <w:numPr>
          <w:ilvl w:val="1"/>
          <w:numId w:val="1012"/>
        </w:numPr>
      </w:pPr>
      <w:r>
        <w:t xml:space="preserve">PSI &gt; 0.25 — данные нестабильны, требуется пересмотр модели.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Сравнение с базовой моделью (Baseline Stability)</w:t>
      </w:r>
      <w:r>
        <w:br/>
      </w:r>
      <w:r>
        <w:t xml:space="preserve">Если доступна предыдущая версия модели (или бенчмарк), оцените стабильность относительно нее:</w:t>
      </w:r>
    </w:p>
    <w:p>
      <w:pPr>
        <w:pStyle w:val="Compact"/>
        <w:numPr>
          <w:ilvl w:val="1"/>
          <w:numId w:val="1013"/>
        </w:numPr>
      </w:pPr>
      <w:r>
        <w:t xml:space="preserve">Сравните ключевые метрики (например, AUC, Gini, Brier Score).</w:t>
      </w:r>
    </w:p>
    <w:p>
      <w:pPr>
        <w:pStyle w:val="Compact"/>
        <w:numPr>
          <w:ilvl w:val="1"/>
          <w:numId w:val="1013"/>
        </w:numPr>
      </w:pPr>
      <w:r>
        <w:t xml:space="preserve">Проверьте, изменились ли предсказания для тех же объектов.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1"/>
          <w:numId w:val="1014"/>
        </w:numPr>
      </w:pPr>
      <w:r>
        <w:t xml:space="preserve">Значительные отклонения между моделью и базовым вариантом могут свидетельствовать о необходимости дополнительного анализа.</w:t>
      </w:r>
    </w:p>
    <w:p>
      <w:r>
        <w:pict>
          <v:rect style="width:0;height:1.5pt" o:hralign="center" o:hrstd="t" o:hr="t"/>
        </w:pict>
      </w:r>
    </w:p>
    <w:bookmarkEnd w:id="20"/>
    <w:bookmarkStart w:id="21" w:name="рекомендации-по-улучшению-стабильности"/>
    <w:p>
      <w:pPr>
        <w:pStyle w:val="Heading4"/>
      </w:pPr>
      <w:r>
        <w:t xml:space="preserve">Рекомендации по улучшению стабильности</w:t>
      </w:r>
    </w:p>
    <w:p>
      <w:pPr>
        <w:pStyle w:val="Compact"/>
        <w:numPr>
          <w:ilvl w:val="0"/>
          <w:numId w:val="1015"/>
        </w:numPr>
      </w:pPr>
      <w:r>
        <w:t xml:space="preserve">При обнаружении нестабильности предсказаний:</w:t>
      </w:r>
    </w:p>
    <w:p>
      <w:pPr>
        <w:pStyle w:val="Compact"/>
        <w:numPr>
          <w:ilvl w:val="1"/>
          <w:numId w:val="1016"/>
        </w:numPr>
      </w:pPr>
      <w:r>
        <w:t xml:space="preserve">Проверьте качество и релевантность входных данных (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t xml:space="preserve">).</w:t>
      </w:r>
    </w:p>
    <w:p>
      <w:pPr>
        <w:pStyle w:val="Compact"/>
        <w:numPr>
          <w:ilvl w:val="1"/>
          <w:numId w:val="1016"/>
        </w:numPr>
      </w:pPr>
      <w:r>
        <w:t xml:space="preserve">Рассмотрите возможность регулярного обновления модели (например, с использованием стратегии rolling window).</w:t>
      </w:r>
    </w:p>
    <w:p>
      <w:pPr>
        <w:pStyle w:val="Compact"/>
        <w:numPr>
          <w:ilvl w:val="1"/>
          <w:numId w:val="1016"/>
        </w:numPr>
      </w:pPr>
      <w:r>
        <w:t xml:space="preserve">Внедрите дополнительные переменные, отражающие изменения в экономической среде или специфические риски отдельных сегментов.</w:t>
      </w:r>
    </w:p>
    <w:p>
      <w:pPr>
        <w:pStyle w:val="Compact"/>
        <w:numPr>
          <w:ilvl w:val="0"/>
          <w:numId w:val="1015"/>
        </w:numPr>
      </w:pPr>
      <w:r>
        <w:t xml:space="preserve">Для предотвращения временного дрейфа данных рекомендуется проводить анализ PSI и обновление модели с учетом новых данных.</w:t>
      </w:r>
    </w:p>
    <w:p>
      <w:pPr>
        <w:pStyle w:val="FirstParagraph"/>
      </w:pPr>
      <w:r>
        <w:t xml:space="preserve">Эти тесты позволяют оценить и обеспечить надежность модели PD Lifetime в различных условиях, минимизируя риск неожиданных изменений качества ее предсказаний.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