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e52e49acc8b80e9f82ace3a034e57b62b1001f2"/>
    <w:p>
      <w:pPr>
        <w:pStyle w:val="Heading3"/>
      </w:pPr>
      <w:r>
        <w:t xml:space="preserve">Оценка модели PD Lifetime с использованием бенчмарков</w:t>
      </w:r>
    </w:p>
    <w:p>
      <w:pPr>
        <w:pStyle w:val="FirstParagraph"/>
      </w:pPr>
      <w:r>
        <w:t xml:space="preserve">Использование бенчмарков при валидации модели PD Lifetime позволяет сравнить предсказания модели с общепринятыми рыночными данными, статистикой или аналогичными моделями, используемыми в банковской практике. Это помогает убедиться, что модель соответствует рыночным стандартам и адекватно отражает вероятности дефолта на различных горизонтах.</w:t>
      </w:r>
    </w:p>
    <w:bookmarkStart w:id="20" w:name="X0702c11a6043a9a3b5b398781a12b8c3b790085"/>
    <w:p>
      <w:pPr>
        <w:pStyle w:val="Heading4"/>
      </w:pPr>
      <w:r>
        <w:t xml:space="preserve">Основные подходы к оценке с помощью бенчмарков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Сравнение с рыночными кумулятивными кривыми дефолтов</w:t>
      </w:r>
      <w:r>
        <w:br/>
      </w:r>
      <w:r>
        <w:t xml:space="preserve">Банковские ассоциации, рейтинговые агентства (например, S&amp;P, Moody’s, Fitch) или отраслевые исследования публикуют кривые дефолтов для различных типов заемщиков (по рейтингу, отрасли, географии).</w:t>
      </w:r>
    </w:p>
    <w:p>
      <w:pPr>
        <w:pStyle w:val="Compact"/>
        <w:numPr>
          <w:ilvl w:val="1"/>
          <w:numId w:val="1002"/>
        </w:numPr>
      </w:pPr>
      <w:r>
        <w:t xml:space="preserve">Эти кривые предоставляют данные о средних вероятностях дефолта на разных временных горизонтах (</w:t>
      </w:r>
      <m:oMath>
        <m:r>
          <m:t>P</m:t>
        </m:r>
        <m:sSub>
          <m:e>
            <m:r>
              <m:t>D</m:t>
            </m:r>
          </m:e>
          <m:sub>
            <m:r>
              <m:t>2</m:t>
            </m:r>
            <m:r>
              <m:t>Y</m:t>
            </m:r>
          </m:sub>
        </m:sSub>
        <m:r>
          <m:rPr>
            <m:sty m:val="p"/>
          </m:rPr>
          <m:t>,</m:t>
        </m:r>
        <m:r>
          <m:t>P</m:t>
        </m:r>
        <m:sSub>
          <m:e>
            <m:r>
              <m:t>D</m:t>
            </m:r>
          </m:e>
          <m:sub>
            <m:r>
              <m:t>3</m:t>
            </m:r>
            <m:r>
              <m:t>Y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).</w:t>
      </w:r>
    </w:p>
    <w:p>
      <w:pPr>
        <w:pStyle w:val="Compact"/>
        <w:numPr>
          <w:ilvl w:val="1"/>
          <w:numId w:val="1002"/>
        </w:numPr>
      </w:pPr>
      <w:r>
        <w:t xml:space="preserve">Сравните прогнозируемые кумулятивные PD модели с аналогичными кривыми.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Методология:</w:t>
      </w:r>
    </w:p>
    <w:p>
      <w:pPr>
        <w:pStyle w:val="Compact"/>
        <w:numPr>
          <w:ilvl w:val="1"/>
          <w:numId w:val="1003"/>
        </w:numPr>
      </w:pPr>
      <w:r>
        <w:t xml:space="preserve">Разделите выборку заемщиков по категориям (например, по кредитному рейтингу).</w:t>
      </w:r>
    </w:p>
    <w:p>
      <w:pPr>
        <w:pStyle w:val="Compact"/>
        <w:numPr>
          <w:ilvl w:val="1"/>
          <w:numId w:val="1003"/>
        </w:numPr>
      </w:pPr>
      <w:r>
        <w:t xml:space="preserve">Рассчитайте средние кумулятивные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n</m:t>
            </m:r>
            <m:r>
              <m:t>Y</m:t>
            </m:r>
          </m:sub>
        </m:sSub>
      </m:oMath>
      <w:r>
        <w:t xml:space="preserve"> </w:t>
      </w:r>
      <w:r>
        <w:t xml:space="preserve">по модельным данным для каждой категории.</w:t>
      </w:r>
    </w:p>
    <w:p>
      <w:pPr>
        <w:pStyle w:val="Compact"/>
        <w:numPr>
          <w:ilvl w:val="1"/>
          <w:numId w:val="1003"/>
        </w:numPr>
      </w:pPr>
      <w:r>
        <w:t xml:space="preserve">Сравните значения с рыночными данными (например, кривыми дефолтов по рейтингам).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Интерпретация:</w:t>
      </w:r>
    </w:p>
    <w:p>
      <w:pPr>
        <w:pStyle w:val="Compact"/>
        <w:numPr>
          <w:ilvl w:val="1"/>
          <w:numId w:val="1004"/>
        </w:numPr>
      </w:pPr>
      <w:r>
        <w:t xml:space="preserve">Небольшие отклонения могут быть допустимыми из-за специфики банка.</w:t>
      </w:r>
    </w:p>
    <w:p>
      <w:pPr>
        <w:pStyle w:val="Compact"/>
        <w:numPr>
          <w:ilvl w:val="1"/>
          <w:numId w:val="1004"/>
        </w:numPr>
      </w:pPr>
      <w:r>
        <w:t xml:space="preserve">Значительные расхождения указывают на возможные проблемы в калибровке или ошибочные допущения в модели.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Сравнение с моделями аналогичного назначения</w:t>
      </w:r>
      <w:r>
        <w:br/>
      </w:r>
      <w:r>
        <w:t xml:space="preserve">Если доступны альтернативные внутренние или внешние модели, предназначенные для оценки PD, можно провести сравнительный анализ:</w:t>
      </w:r>
    </w:p>
    <w:p>
      <w:pPr>
        <w:pStyle w:val="Compact"/>
        <w:numPr>
          <w:ilvl w:val="1"/>
          <w:numId w:val="1005"/>
        </w:numPr>
      </w:pPr>
      <w:r>
        <w:t xml:space="preserve">Сравните предсказания модели PD Lifetime с прогнозами другой модели на аналогичных данных.</w:t>
      </w:r>
    </w:p>
    <w:p>
      <w:pPr>
        <w:pStyle w:val="Compact"/>
        <w:numPr>
          <w:ilvl w:val="1"/>
          <w:numId w:val="1005"/>
        </w:numPr>
      </w:pPr>
      <w:r>
        <w:t xml:space="preserve">Оцените различия в калибровке, дискриминации и стабильности.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Пример:</w:t>
      </w:r>
    </w:p>
    <w:p>
      <w:pPr>
        <w:pStyle w:val="Compact"/>
        <w:numPr>
          <w:ilvl w:val="1"/>
          <w:numId w:val="1006"/>
        </w:numPr>
      </w:pPr>
      <w:r>
        <w:t xml:space="preserve">Сравнение модели PD Lifetime с внутренней моделью, которая также использует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1</m:t>
            </m:r>
            <m:r>
              <m:t>Y</m:t>
            </m:r>
          </m:sub>
        </m:sSub>
      </m:oMath>
      <w:r>
        <w:t xml:space="preserve"> </w:t>
      </w:r>
      <w:r>
        <w:t xml:space="preserve">для прогнозов на более длинные горизонты.</w:t>
      </w:r>
    </w:p>
    <w:p>
      <w:pPr>
        <w:pStyle w:val="Compact"/>
        <w:numPr>
          <w:ilvl w:val="1"/>
          <w:numId w:val="1006"/>
        </w:numPr>
      </w:pPr>
      <w:r>
        <w:t xml:space="preserve">Использование сторонней модели от внешнего провайдера (например, рейтинговых агентств или специализированных аналитических платформ).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Использование рыночных CDS-спредов (Credit Default Swaps)</w:t>
      </w:r>
      <w:r>
        <w:br/>
      </w:r>
      <w:r>
        <w:t xml:space="preserve">CDS-спреды, отражающие рыночные ожидания вероятности дефолта для компаний, могут использоваться как ориентир.</w:t>
      </w:r>
    </w:p>
    <w:p>
      <w:pPr>
        <w:pStyle w:val="Compact"/>
        <w:numPr>
          <w:ilvl w:val="1"/>
          <w:numId w:val="1007"/>
        </w:numPr>
      </w:pPr>
      <w:r>
        <w:t xml:space="preserve">Преобразуйте CDS-спреды в вероятности дефолта, используя стандартные методики (например, через модель Merton или упрощенные формулы).</w:t>
      </w:r>
    </w:p>
    <w:p>
      <w:pPr>
        <w:pStyle w:val="Compact"/>
        <w:numPr>
          <w:ilvl w:val="1"/>
          <w:numId w:val="1007"/>
        </w:numPr>
      </w:pPr>
      <w:r>
        <w:t xml:space="preserve">Сравните эти вероятности с прогнозами модели PD Lifetime на соответствующих временных горизонтах.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Интерпретация:</w:t>
      </w:r>
    </w:p>
    <w:p>
      <w:pPr>
        <w:pStyle w:val="Compact"/>
        <w:numPr>
          <w:ilvl w:val="1"/>
          <w:numId w:val="1008"/>
        </w:numPr>
      </w:pPr>
      <w:r>
        <w:t xml:space="preserve">Расхождения между модельными прогнозами и CDS-спредами могут быть обоснованы спецификой банковской выборки.</w:t>
      </w:r>
    </w:p>
    <w:p>
      <w:pPr>
        <w:pStyle w:val="Compact"/>
        <w:numPr>
          <w:ilvl w:val="1"/>
          <w:numId w:val="1008"/>
        </w:numPr>
      </w:pPr>
      <w:r>
        <w:t xml:space="preserve">Значительные расхождения требуют анализа параметров модели и рыночных данных.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Сравнение с эмпирическими данными о дефолтах</w:t>
      </w:r>
      <w:r>
        <w:br/>
      </w:r>
      <w:r>
        <w:t xml:space="preserve">Если доступны данные о фактических дефолтах из открытых источников или банковского рынка, можно провести валидацию модели на этих данных:</w:t>
      </w:r>
    </w:p>
    <w:p>
      <w:pPr>
        <w:pStyle w:val="Compact"/>
        <w:numPr>
          <w:ilvl w:val="1"/>
          <w:numId w:val="1009"/>
        </w:numPr>
      </w:pPr>
      <w:r>
        <w:t xml:space="preserve">Используйте статистику дефолтов за прошедшие годы для разных типов заемщиков.</w:t>
      </w:r>
    </w:p>
    <w:p>
      <w:pPr>
        <w:pStyle w:val="Compact"/>
        <w:numPr>
          <w:ilvl w:val="1"/>
          <w:numId w:val="1009"/>
        </w:numPr>
      </w:pPr>
      <w:r>
        <w:t xml:space="preserve">Проверьте, насколько модельные прогнозы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n</m:t>
            </m:r>
            <m:r>
              <m:t>Y</m:t>
            </m:r>
          </m:sub>
        </m:sSub>
      </m:oMath>
      <w:r>
        <w:t xml:space="preserve"> </w:t>
      </w:r>
      <w:r>
        <w:t xml:space="preserve">соответствуют этим данным.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Пример:</w:t>
      </w:r>
    </w:p>
    <w:p>
      <w:pPr>
        <w:pStyle w:val="Compact"/>
        <w:numPr>
          <w:ilvl w:val="1"/>
          <w:numId w:val="1010"/>
        </w:numPr>
      </w:pPr>
      <w:r>
        <w:t xml:space="preserve">Данные о дефолтах корпоративных заемщиков в отрасли (согласно отчетам рейтинговых агентств).</w:t>
      </w:r>
    </w:p>
    <w:p>
      <w:pPr>
        <w:pStyle w:val="Compact"/>
        <w:numPr>
          <w:ilvl w:val="1"/>
          <w:numId w:val="1010"/>
        </w:numPr>
      </w:pPr>
      <w:r>
        <w:t xml:space="preserve">Сравнение прогнозируемых вероятностей дефолта для малых и средних предприятий (SME) с реальной статистикой.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Регуляторные бенчмарки и требования</w:t>
      </w:r>
      <w:r>
        <w:br/>
      </w:r>
      <w:r>
        <w:t xml:space="preserve">Регуляторные органы (например, Европейский центральный банк или местные надзорные инстанции) могут публиковать ориентировочные метрики или допущения для моделей оценки риска.</w:t>
      </w:r>
    </w:p>
    <w:p>
      <w:pPr>
        <w:pStyle w:val="Compact"/>
        <w:numPr>
          <w:ilvl w:val="1"/>
          <w:numId w:val="1011"/>
        </w:numPr>
      </w:pPr>
      <w:r>
        <w:t xml:space="preserve">Сравните калибровку модели PD Lifetime с этими метриками.</w:t>
      </w:r>
    </w:p>
    <w:p>
      <w:pPr>
        <w:pStyle w:val="Compact"/>
        <w:numPr>
          <w:ilvl w:val="1"/>
          <w:numId w:val="1011"/>
        </w:numPr>
      </w:pPr>
      <w:r>
        <w:t xml:space="preserve">Проверьте соответствие модели требованиям регуляторов (например, в контексте IFRS 9 или Basel III).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Анализ с использованием рыночных рейтингов</w:t>
      </w:r>
      <w:r>
        <w:br/>
      </w:r>
      <w:r>
        <w:t xml:space="preserve">Если заемщики имеют кредитные рейтинги от агентств, то эти рейтинги можно использовать как бенчмарк для проверки адекватности модели:</w:t>
      </w:r>
    </w:p>
    <w:p>
      <w:pPr>
        <w:pStyle w:val="Compact"/>
        <w:numPr>
          <w:ilvl w:val="1"/>
          <w:numId w:val="1012"/>
        </w:numPr>
      </w:pPr>
      <w:r>
        <w:t xml:space="preserve">Для каждой категории рейтинга сравните прогнозируемые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n</m:t>
            </m:r>
            <m:r>
              <m:t>Y</m:t>
            </m:r>
          </m:sub>
        </m:sSub>
      </m:oMath>
      <w:r>
        <w:t xml:space="preserve"> </w:t>
      </w:r>
      <w:r>
        <w:t xml:space="preserve">с ожидаемыми рыночными значениями для соответствующего рейтинга.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Пример:</w:t>
      </w:r>
    </w:p>
    <w:p>
      <w:pPr>
        <w:pStyle w:val="Compact"/>
        <w:numPr>
          <w:ilvl w:val="1"/>
          <w:numId w:val="1013"/>
        </w:numPr>
      </w:pPr>
      <w:r>
        <w:t xml:space="preserve">Для заемщиков с рейтингом BBB сравнить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3</m:t>
            </m:r>
            <m:r>
              <m:t>Y</m:t>
            </m:r>
          </m:sub>
        </m:sSub>
      </m:oMath>
      <w:r>
        <w:t xml:space="preserve"> </w:t>
      </w:r>
      <w:r>
        <w:t xml:space="preserve">модели с вероятностью дефолта для рейтинга BBB, опубликованной агентствами.</w:t>
      </w:r>
    </w:p>
    <w:p>
      <w:r>
        <w:pict>
          <v:rect style="width:0;height:1.5pt" o:hralign="center" o:hrstd="t" o:hr="t"/>
        </w:pict>
      </w:r>
    </w:p>
    <w:bookmarkEnd w:id="20"/>
    <w:bookmarkStart w:id="21" w:name="X14d36ace38ede51797123d44c89d433baecd845"/>
    <w:p>
      <w:pPr>
        <w:pStyle w:val="Heading4"/>
      </w:pPr>
      <w:r>
        <w:t xml:space="preserve">Метрики для оценки результатов бенчмаркинга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Средняя абсолютная ошибка (Mean Absolute Error, MAE)</w:t>
      </w:r>
      <w:r>
        <w:br/>
      </w:r>
      <w:r>
        <w:t xml:space="preserve">Оценка расхождений между предсказанными вероятностями модели и бенчмарками: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A</m:t>
          </m:r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∣</m:t>
              </m:r>
              <m:r>
                <m:t>P</m:t>
              </m:r>
              <m:sSub>
                <m:e>
                  <m:r>
                    <m:t>D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o</m:t>
                  </m:r>
                  <m:r>
                    <m:t>d</m:t>
                  </m:r>
                  <m:r>
                    <m:t>e</m:t>
                  </m:r>
                  <m:r>
                    <m:t>l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P</m:t>
              </m:r>
              <m:sSub>
                <m:e>
                  <m:r>
                    <m:t>D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b</m:t>
                  </m:r>
                  <m:r>
                    <m:t>e</m:t>
                  </m:r>
                  <m:r>
                    <m:t>n</m:t>
                  </m:r>
                  <m:r>
                    <m:t>c</m:t>
                  </m:r>
                  <m:r>
                    <m:t>h</m:t>
                  </m:r>
                  <m:r>
                    <m:t>m</m:t>
                  </m:r>
                  <m:r>
                    <m:t>a</m:t>
                  </m:r>
                  <m:r>
                    <m:t>r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</m:e>
          </m:nary>
        </m:oMath>
      </m:oMathPara>
    </w:p>
    <w:p>
      <w:pPr>
        <w:numPr>
          <w:ilvl w:val="0"/>
          <w:numId w:val="1000"/>
        </w:numPr>
      </w:pPr>
      <w:r>
        <w:t xml:space="preserve">MAE позволяет оценить общее расхождение предсказаний и бенчмарков.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Коэффициент детерминации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)</w:t>
      </w:r>
      <w:r>
        <w:br/>
      </w:r>
      <w:r>
        <w:t xml:space="preserve">Измеряет степень соответствия предсказаний модели данным бенчмарков. Чем выше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тем лучше модель повторяет данные бенчмарков.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Распределение отклонений</w:t>
      </w:r>
      <w:r>
        <w:br/>
      </w:r>
      <w:r>
        <w:t xml:space="preserve">Постройте распределение разницы между модельными прогнозами и значениями бенчмарков. Это помогает выявить систематические смещения в предсказаниях.</w:t>
      </w:r>
    </w:p>
    <w:p>
      <w:r>
        <w:pict>
          <v:rect style="width:0;height:1.5pt" o:hralign="center" o:hrstd="t" o:hr="t"/>
        </w:pict>
      </w:r>
    </w:p>
    <w:bookmarkEnd w:id="21"/>
    <w:bookmarkStart w:id="22" w:name="Xca28672c95b8b870f07693440e9b9c16370137a"/>
    <w:p>
      <w:pPr>
        <w:pStyle w:val="Heading4"/>
      </w:pPr>
      <w:r>
        <w:t xml:space="preserve">Рекомендации по результатам сравнения с бенчмарками</w:t>
      </w:r>
    </w:p>
    <w:p>
      <w:pPr>
        <w:numPr>
          <w:ilvl w:val="0"/>
          <w:numId w:val="1015"/>
        </w:numPr>
      </w:pPr>
      <w:r>
        <w:t xml:space="preserve">Если модель демонстрирует систематические отклонения от бенчмарков, следует:</w:t>
      </w:r>
    </w:p>
    <w:p>
      <w:pPr>
        <w:pStyle w:val="Compact"/>
        <w:numPr>
          <w:ilvl w:val="1"/>
          <w:numId w:val="1016"/>
        </w:numPr>
      </w:pPr>
      <w:r>
        <w:t xml:space="preserve">Проверить исходные предположения модели (например, методологию трансформации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1</m:t>
            </m:r>
            <m:r>
              <m:t>Y</m:t>
            </m:r>
          </m:sub>
        </m:sSub>
      </m:oMath>
      <w:r>
        <w:t xml:space="preserve"> </w:t>
      </w:r>
      <w:r>
        <w:t xml:space="preserve">в многолетние прогнозы).</w:t>
      </w:r>
    </w:p>
    <w:p>
      <w:pPr>
        <w:pStyle w:val="Compact"/>
        <w:numPr>
          <w:ilvl w:val="1"/>
          <w:numId w:val="1016"/>
        </w:numPr>
      </w:pPr>
      <w:r>
        <w:t xml:space="preserve">Проанализировать, учитывает ли модель специфические факторы, которые влияют на заемщиков банка (например, региональные или отраслевые особенности).</w:t>
      </w:r>
    </w:p>
    <w:p>
      <w:pPr>
        <w:pStyle w:val="Compact"/>
        <w:numPr>
          <w:ilvl w:val="1"/>
          <w:numId w:val="1016"/>
        </w:numPr>
      </w:pPr>
      <w:r>
        <w:t xml:space="preserve">Настроить параметры модели или провести ре-калибровку для улучшения соответствия.</w:t>
      </w:r>
    </w:p>
    <w:p>
      <w:pPr>
        <w:numPr>
          <w:ilvl w:val="0"/>
          <w:numId w:val="1015"/>
        </w:numPr>
      </w:pPr>
      <w:r>
        <w:t xml:space="preserve">Регулярное обновление данных и повторное сравнение с актуальными бенчмарками обеспечивает долгосрочную релевантность модели.</w:t>
      </w:r>
    </w:p>
    <w:p>
      <w:pPr>
        <w:pStyle w:val="FirstParagraph"/>
      </w:pPr>
      <w:r>
        <w:t xml:space="preserve">Эта часть валидации гарантирует, что модель PD Lifetime согласована с рыночными стандартами и адекватно отражает реальность.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