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Спасибо за уточнение! Тогда описание тестов будет учитывать специфику модели</w:t>
      </w:r>
      <w:r>
        <w:t xml:space="preserve"> </w:t>
      </w:r>
      <w:r>
        <w:rPr>
          <w:b/>
          <w:bCs/>
        </w:rPr>
        <w:t xml:space="preserve">PD Lifetime</w:t>
      </w:r>
      <w:r>
        <w:t xml:space="preserve">, которая трансформирует однолетний PD (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) в многолетние прогнозы вероятности дефолта (</w:t>
      </w:r>
      <m:oMath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  <m:r>
          <m:rPr>
            <m:sty m:val="p"/>
          </m:rPr>
          <m:t>,</m:t>
        </m:r>
        <m:r>
          <m:t>P</m:t>
        </m:r>
        <m:sSub>
          <m:e>
            <m:r>
              <m:t>D</m:t>
            </m:r>
          </m:e>
          <m:sub>
            <m:r>
              <m:t>3</m:t>
            </m:r>
            <m:r>
              <m:t>Y</m:t>
            </m:r>
          </m:sub>
        </m:sSub>
      </m:oMath>
      <w:r>
        <w:t xml:space="preserve">, и т.д.). Переформулируем и уточним тесты с учетом этого аспекта.</w:t>
      </w:r>
    </w:p>
    <w:p>
      <w:r>
        <w:pict>
          <v:rect style="width:0;height:1.5pt" o:hralign="center" o:hrstd="t" o:hr="t"/>
        </w:pict>
      </w:r>
    </w:p>
    <w:bookmarkStart w:id="22" w:name="X873c169ccc2463007b29d9c1b11a85d637759d8"/>
    <w:p>
      <w:pPr>
        <w:pStyle w:val="Heading3"/>
      </w:pPr>
      <w:r>
        <w:t xml:space="preserve">Оценка качества калибровки модели PD Lifetime</w:t>
      </w:r>
    </w:p>
    <w:p>
      <w:pPr>
        <w:pStyle w:val="FirstParagraph"/>
      </w:pPr>
      <w:r>
        <w:t xml:space="preserve">Калибровка модели PD Lifetime предполагает проверку того, насколько предсказанные значения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(где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) соответствуют фактическим наблюдаемым вероятностям дефолта на соответствующих горизонтах. Учитывая, что модель преобразует входной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, особое внимание уделяется адекватности кумулятивных прогнозов на более длинных временных горизонтах.</w:t>
      </w:r>
    </w:p>
    <w:bookmarkStart w:id="20" w:name="Xe3b1ecd7830409170a345546efd87469d1c00cf"/>
    <w:p>
      <w:pPr>
        <w:pStyle w:val="Heading4"/>
      </w:pPr>
      <w:r>
        <w:t xml:space="preserve">Основные тесты для оценки качества калибровки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Калибровочные кривые для многолетних PD</w:t>
      </w:r>
      <w:r>
        <w:br/>
      </w:r>
      <w:r>
        <w:t xml:space="preserve">Для оценки соответствия предсказанных вероятностей (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) и наблюдаемых фактических частот дефолта:</w:t>
      </w:r>
    </w:p>
    <w:p>
      <w:pPr>
        <w:pStyle w:val="Compact"/>
        <w:numPr>
          <w:ilvl w:val="1"/>
          <w:numId w:val="1002"/>
        </w:numPr>
      </w:pPr>
      <w:r>
        <w:t xml:space="preserve">Для каждого временного горизонта</w:t>
      </w:r>
      <w:r>
        <w:t xml:space="preserve"> </w:t>
      </w:r>
      <m:oMath>
        <m:r>
          <m:t>n</m:t>
        </m:r>
        <m:r>
          <m:t>Y</m:t>
        </m:r>
      </m:oMath>
      <w:r>
        <w:t xml:space="preserve"> </w:t>
      </w:r>
      <w:r>
        <w:t xml:space="preserve">(например, 2 года, 3 года, 4 года) разделите предсказания на группы по диапазонам PD.</w:t>
      </w:r>
    </w:p>
    <w:p>
      <w:pPr>
        <w:pStyle w:val="Compact"/>
        <w:numPr>
          <w:ilvl w:val="1"/>
          <w:numId w:val="1002"/>
        </w:numPr>
      </w:pPr>
      <w:r>
        <w:t xml:space="preserve">Для каждой группы вычислите среднее предсказанное значение PD и фактическую частоту дефолта.</w:t>
      </w:r>
    </w:p>
    <w:p>
      <w:pPr>
        <w:pStyle w:val="Compact"/>
        <w:numPr>
          <w:ilvl w:val="1"/>
          <w:numId w:val="1002"/>
        </w:numPr>
      </w:pPr>
      <w:r>
        <w:t xml:space="preserve">Постройте калибровочные кривые для каждого горизонта</w:t>
      </w:r>
      <w:r>
        <w:t xml:space="preserve"> </w:t>
      </w:r>
      <m:oMath>
        <m:r>
          <m:t>n</m:t>
        </m:r>
        <m:r>
          <m:t>Y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1"/>
          <w:numId w:val="1003"/>
        </w:numPr>
      </w:pPr>
      <w:r>
        <w:t xml:space="preserve">Идеально откалиброванная модель должна показывать соответствие фактической частоты дефолтов предсказанным значениям на всех горизонтах.</w:t>
      </w:r>
    </w:p>
    <w:p>
      <w:pPr>
        <w:pStyle w:val="Compact"/>
        <w:numPr>
          <w:ilvl w:val="1"/>
          <w:numId w:val="1003"/>
        </w:numPr>
      </w:pPr>
      <w:r>
        <w:t xml:space="preserve">Любые отклонения от прямой линии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указывают на необходимость корректировки модели.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Проверка аддитивности PD</w:t>
      </w:r>
      <w:r>
        <w:br/>
      </w:r>
      <w:r>
        <w:t xml:space="preserve">Так как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рассчитывается кумулятивно, необходимо проверить, чтобы последовательные прогнозы удовлетворяли условию: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b>
            <m:e>
              <m:r>
                <m:t>D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t>Y</m:t>
              </m:r>
            </m:sub>
          </m:sSub>
          <m:r>
            <m:rPr>
              <m:sty m:val="p"/>
            </m:rPr>
            <m:t>≥</m:t>
          </m:r>
          <m:r>
            <m:t>P</m:t>
          </m:r>
          <m:sSub>
            <m:e>
              <m:r>
                <m:t>D</m:t>
              </m:r>
            </m:e>
            <m:sub>
              <m:r>
                <m:t>n</m:t>
              </m:r>
              <m:r>
                <m:t>Y</m:t>
              </m:r>
            </m:sub>
          </m:sSub>
          <m:r>
            <m:t> </m:t>
          </m:r>
          <m:r>
            <m:rPr>
              <m:nor/>
              <m:sty m:val="p"/>
            </m:rPr>
            <m:t>для всех 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Это проверяется статистически и визуально, чтобы исключить аномалии, такие как снижение вероятности дефолта с увеличением горизонта.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Brier Score для разных горизонтов</w:t>
      </w:r>
      <w:r>
        <w:br/>
      </w:r>
      <w:r>
        <w:t xml:space="preserve">Brier Score используется для оценки калибровки модели на каждом временном горизонте</w:t>
      </w:r>
      <w:r>
        <w:t xml:space="preserve"> </w:t>
      </w:r>
      <m:oMath>
        <m:r>
          <m:t>n</m:t>
        </m:r>
        <m:r>
          <m:t>Y</m:t>
        </m:r>
      </m:oMath>
      <w:r>
        <w:t xml:space="preserve">. Для каждого горизонта рассчитывается: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r</m:t>
          </m:r>
          <m:r>
            <m:t>i</m:t>
          </m:r>
          <m:r>
            <m:t>e</m:t>
          </m:r>
          <m:r>
            <m:t>r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n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n</m:t>
                          </m:r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n</m:t>
                          </m:r>
                          <m: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numPr>
          <w:ilvl w:val="0"/>
          <w:numId w:val="1000"/>
        </w:numPr>
      </w:pPr>
      <w:r>
        <w:t xml:space="preserve">где:</w:t>
      </w:r>
    </w:p>
    <w:p>
      <w:pPr>
        <w:pStyle w:val="Compact"/>
        <w:numPr>
          <w:ilvl w:val="1"/>
          <w:numId w:val="1004"/>
        </w:numPr>
      </w:pP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— предсказанная вероятность дефолта на</w:t>
      </w:r>
      <w:r>
        <w:t xml:space="preserve"> </w:t>
      </w:r>
      <m:oMath>
        <m:r>
          <m:t>n</m:t>
        </m:r>
      </m:oMath>
      <w:r>
        <w:t xml:space="preserve">-м году,</w:t>
      </w:r>
    </w:p>
    <w:p>
      <w:pPr>
        <w:pStyle w:val="Compact"/>
        <w:numPr>
          <w:ilvl w:val="1"/>
          <w:numId w:val="1004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— фактический исход (дефолт/недефолт) в</w:t>
      </w:r>
      <w:r>
        <w:t xml:space="preserve"> </w:t>
      </w:r>
      <m:oMath>
        <m:r>
          <m:t>n</m:t>
        </m:r>
      </m:oMath>
      <w:r>
        <w:t xml:space="preserve">-м году.</w:t>
      </w:r>
    </w:p>
    <w:p>
      <w:pPr>
        <w:numPr>
          <w:ilvl w:val="0"/>
          <w:numId w:val="1000"/>
        </w:numPr>
      </w:pPr>
      <w:r>
        <w:t xml:space="preserve">Сравнение значений Brier Score для разных горизонтов помогает выявить горизонты с низкой точностью прогнозов.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Hosmer-Lemeshow Test для кумулятивных вероятностей</w:t>
      </w:r>
      <w:r>
        <w:br/>
      </w:r>
      <w:r>
        <w:t xml:space="preserve">Тест адаптируется для многолетних прогнозов:</w:t>
      </w:r>
    </w:p>
    <w:p>
      <w:pPr>
        <w:pStyle w:val="Compact"/>
        <w:numPr>
          <w:ilvl w:val="1"/>
          <w:numId w:val="1005"/>
        </w:numPr>
      </w:pPr>
      <w:r>
        <w:t xml:space="preserve">Для каждого временного горизонта данные делятся на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групп по уровням предсказанных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Рассчитываются ожидаемые (</w:t>
      </w:r>
      <m:oMath>
        <m:sSub>
          <m:e>
            <m:r>
              <m:t>E</m:t>
            </m:r>
          </m:e>
          <m:sub>
            <m:r>
              <m:t>j</m:t>
            </m:r>
          </m:sub>
        </m:sSub>
      </m:oMath>
      <w:r>
        <w:t xml:space="preserve">) и наблюдаемые (</w:t>
      </w:r>
      <m:oMath>
        <m:sSub>
          <m:e>
            <m:r>
              <m:t>O</m:t>
            </m:r>
          </m:e>
          <m:sub>
            <m:r>
              <m:t>j</m:t>
            </m:r>
          </m:sub>
        </m:sSub>
      </m:oMath>
      <w:r>
        <w:t xml:space="preserve">) частоты дефолтов в каждой группе.</w:t>
      </w:r>
    </w:p>
    <w:p>
      <w:pPr>
        <w:pStyle w:val="Compact"/>
        <w:numPr>
          <w:ilvl w:val="1"/>
          <w:numId w:val="1005"/>
        </w:numPr>
      </w:pPr>
      <w:r>
        <w:t xml:space="preserve">Применяется статистика Hosmer-Lemeshow для каждого горизонта: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n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O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/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Результаты теста интерпретируются для каждого горизонта отдельно, что позволяет определить, на каких сроках модель наиболее точна.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Сравнение с эмпирическими кривыми выживания</w:t>
      </w:r>
      <w:r>
        <w:br/>
      </w:r>
      <w:r>
        <w:t xml:space="preserve">Используются фактические данные о дефолтах, чтобы построить эмпирические кривые выживания и сравнить их с прогнозами модели PD Lifetime.</w:t>
      </w:r>
    </w:p>
    <w:p>
      <w:pPr>
        <w:pStyle w:val="Compact"/>
        <w:numPr>
          <w:ilvl w:val="1"/>
          <w:numId w:val="1006"/>
        </w:numPr>
      </w:pPr>
      <w:r>
        <w:t xml:space="preserve">Построение кривых: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rPr>
            <m:nor/>
            <m:sty m:val="p"/>
          </m:rPr>
          <m:t>кумулятивный </m:t>
        </m:r>
        <m:r>
          <m:t>P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где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вероятность выживания до момента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Расхождения между прогнозируемыми и эмпирическими кривыми позволяют выявить некорректности в калибровке модели.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Оценка влияния качества входного параметра (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rPr>
          <w:b/>
          <w:bCs/>
        </w:rPr>
        <w:t xml:space="preserve">)</w:t>
      </w:r>
      <w:r>
        <w:br/>
      </w:r>
      <w:r>
        <w:t xml:space="preserve">Так как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 </w:t>
      </w:r>
      <w:r>
        <w:t xml:space="preserve">является ключевым входом для расчета многолетних прогнозов, проверяется:</w:t>
      </w:r>
    </w:p>
    <w:p>
      <w:pPr>
        <w:pStyle w:val="Compact"/>
        <w:numPr>
          <w:ilvl w:val="1"/>
          <w:numId w:val="1007"/>
        </w:numPr>
      </w:pPr>
      <w:r>
        <w:t xml:space="preserve">Насколько изменения в качестве или точности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 </w:t>
      </w:r>
      <w:r>
        <w:t xml:space="preserve">влияют на стабильность и точность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Тестирование модели с альтернативными источниками или вариациями входных данных (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) для оценки ее устойчивости.</w:t>
      </w:r>
    </w:p>
    <w:p>
      <w:r>
        <w:pict>
          <v:rect style="width:0;height:1.5pt" o:hralign="center" o:hrstd="t" o:hr="t"/>
        </w:pict>
      </w:r>
    </w:p>
    <w:bookmarkEnd w:id="20"/>
    <w:bookmarkStart w:id="21" w:name="рекомендации"/>
    <w:p>
      <w:pPr>
        <w:pStyle w:val="Heading4"/>
      </w:pPr>
      <w:r>
        <w:t xml:space="preserve">Рекомендации</w:t>
      </w:r>
    </w:p>
    <w:p>
      <w:pPr>
        <w:pStyle w:val="Compact"/>
        <w:numPr>
          <w:ilvl w:val="0"/>
          <w:numId w:val="1008"/>
        </w:numPr>
      </w:pPr>
      <w:r>
        <w:t xml:space="preserve">Если модель демонстрирует значительные отклонения в калибровке на более длинных горизонтах (</w:t>
      </w:r>
      <m:oMath>
        <m:r>
          <m:t>P</m:t>
        </m:r>
        <m:sSub>
          <m:e>
            <m:r>
              <m:t>D</m:t>
            </m:r>
          </m:e>
          <m:sub>
            <m:r>
              <m:t>3</m:t>
            </m:r>
            <m:r>
              <m:t>Y</m:t>
            </m:r>
          </m:sub>
        </m:sSub>
        <m:r>
          <m:rPr>
            <m:sty m:val="p"/>
          </m:rPr>
          <m:t>,</m:t>
        </m:r>
        <m:r>
          <m:t>P</m:t>
        </m:r>
        <m:sSub>
          <m:e>
            <m:r>
              <m:t>D</m:t>
            </m:r>
          </m:e>
          <m:sub>
            <m:r>
              <m:t>4</m:t>
            </m:r>
            <m:r>
              <m:t>Y</m:t>
            </m:r>
          </m:sub>
        </m:sSub>
      </m:oMath>
      <w:r>
        <w:t xml:space="preserve"> </w:t>
      </w:r>
      <w:r>
        <w:t xml:space="preserve">и далее), можно:</w:t>
      </w:r>
    </w:p>
    <w:p>
      <w:pPr>
        <w:pStyle w:val="Compact"/>
        <w:numPr>
          <w:ilvl w:val="1"/>
          <w:numId w:val="1009"/>
        </w:numPr>
      </w:pPr>
      <w:r>
        <w:t xml:space="preserve">Пересмотреть функциональную форму модели (например, экспоненциальные или логарифмические зависимости).</w:t>
      </w:r>
    </w:p>
    <w:p>
      <w:pPr>
        <w:pStyle w:val="Compact"/>
        <w:numPr>
          <w:ilvl w:val="1"/>
          <w:numId w:val="1009"/>
        </w:numPr>
      </w:pPr>
      <w:r>
        <w:t xml:space="preserve">Применить постобработку результатов (например, корректировку через эмпирические коэффициенты).</w:t>
      </w:r>
    </w:p>
    <w:p>
      <w:pPr>
        <w:pStyle w:val="Compact"/>
        <w:numPr>
          <w:ilvl w:val="0"/>
          <w:numId w:val="1008"/>
        </w:numPr>
      </w:pPr>
      <w:r>
        <w:t xml:space="preserve">Проводить повторные тесты калибровки после обновления данных, чтобы обеспечить устойчивость результатов в динамике.</w:t>
      </w:r>
    </w:p>
    <w:p>
      <w:pPr>
        <w:pStyle w:val="FirstParagraph"/>
      </w:pPr>
      <w:r>
        <w:t xml:space="preserve">Эти методы проверки позволяют убедиться, что прогнозы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остаются согласованными и адекватно отражают кредитные риски на протяжении всего срока жизни актива.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