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глава-1"/>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Heading2"/>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efore="80"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hanging="0" w:start="0" w:end="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center"/>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
          <w:sz w:val="28"/>
        </w:rPr>
      </w:pPr>
      <w:r>
        <w:t xml:space="preserve">Глава 1</w:t>
      </w:r>
    </w:p>
    <w:bookmarkStart w:id="20" w:name="что-такое-богатство"/>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Heading2"/>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tart="0" w:end="6"/>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u w:val="none" w:color="000000"/>
        </w:rPr>
      </w:pPr>
      <w:r>
        <w:t xml:space="preserve">Что такое богатство?</w:t>
      </w:r>
    </w:p>
    <w:p>
      <w:pPr>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efore="48"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tart="0" w:end="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center"/>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z w:val="20"/>
        </w:rPr>
      </w:pPr>
      <w:r>
        <w:drawing>
          <wp:inline>
            <wp:extent cx="457200" cy="2286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57200" cy="228600"/>
                    </a:xfrm>
                    <a:prstGeom prst="rect"/>
                  </pic:spPr>
                </pic:pic>
              </a:graphicData>
            </a:graphic>
          </wp:inline>
        </w:drawing>
      </w:r>
    </w:p>
    <w:p>
      <w:pPr>
        <w:pStyle w:val="BodyText"/>
      </w:pPr>
      <w:r>
        <w:rPr>
          <w:i/>
          <w:iCs/>
        </w:rPr>
        <w:t xml:space="preserve">Богатство — не в обилии имущества, а в скромности желаний.</w:t>
      </w:r>
    </w:p>
    <w:bookmarkEnd w:id="20"/>
    <w:bookmarkStart w:id="23" w:name="эпиктет"/>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Heading2"/>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efore="0"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hanging="0" w:start="4" w:end="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center"/>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z w:val="21"/>
        </w:rPr>
      </w:pPr>
      <w:r>
        <w:t xml:space="preserve">ЭПИКТЕТ</w:t>
      </w:r>
    </w:p>
    <w:p>
      <w:pPr>
        <w:pStyle w:val="FirstParagraph"/>
      </w:pPr>
      <w:r>
        <w:t xml:space="preserve">Привлекательность лотерейных билетов с большими призами отчасти объясняется фантазиями, которые они пробуждают. Мы представляем всё, что могли бы сделать: благотворительные проекты, реальные перемены, которые смогли бы осуществить. Нельзя отрицать притягательность огромных сумм. В мечтах деньги решают все наши проблемы и дают ресурсы для удовлетворения потребностей, о которых мы даже не подозревали. Но является ли это богатством?</w:t>
      </w:r>
    </w:p>
    <w:p>
      <w:pPr>
        <w:pStyle w:val="BodyText"/>
      </w:pPr>
      <w:r>
        <w:t xml:space="preserve">Возможно, вы взяли эту книгу в надежде узнать, как приумножить собственное состояние — и во многом она именно об этом. Но</w:t>
      </w:r>
      <w:r>
        <w:t xml:space="preserve"> </w:t>
      </w:r>
      <w:r>
        <w:rPr>
          <w:i/>
          <w:iCs/>
        </w:rPr>
        <w:t xml:space="preserve">«Создание богатства»</w:t>
      </w:r>
      <w:r>
        <w:t xml:space="preserve"> </w:t>
      </w:r>
      <w:r>
        <w:t xml:space="preserve">— не очередная схема быстрого обогащения. Эта книга поможет вам найти и создать богатство там, где вы его не ожидаете. Она также может показать, насколько вы уже богаты.</w:t>
      </w:r>
    </w:p>
    <w:bookmarkStart w:id="21" w:name="переосмысление-богатства"/>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efore="285"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tart="5025" w:end="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Переосмысление богатства</w:t>
      </w:r>
    </w:p>
    <w:p>
      <w:pPr>
        <w:pStyle w:val="FirstParagraph"/>
      </w:pPr>
      <w:r>
        <w:t xml:space="preserve">Богатство — то, чего мы все хотим. Кто такой «богатый человек» — богат чем? Вещами, деньгами, доходами? Всё зависит от того, как вы определяете это слово. Его первоначальное значение — от староанглийского</w:t>
      </w:r>
      <w:r>
        <w:t xml:space="preserve"> </w:t>
      </w:r>
      <w:r>
        <w:rPr>
          <w:i/>
          <w:iCs/>
        </w:rPr>
        <w:t xml:space="preserve">weal</w:t>
      </w:r>
      <w:r>
        <w:t xml:space="preserve"> </w:t>
      </w:r>
      <w:r>
        <w:t xml:space="preserve">(как в</w:t>
      </w:r>
      <w:r>
        <w:t xml:space="preserve"> </w:t>
      </w:r>
      <w:r>
        <w:rPr>
          <w:i/>
          <w:iCs/>
        </w:rPr>
        <w:t xml:space="preserve">commonweal</w:t>
      </w:r>
      <w:r>
        <w:t xml:space="preserve">) — было просто «процветание» или «благополучие»</w:t>
      </w:r>
      <w:r>
        <w:t xml:space="preserve">(1)</w:t>
      </w:r>
      <w:r>
        <w:t xml:space="preserve">. Какая идея! Как далеко это от того значения, с которым многие из нас теперь ассоциируют это слово. Богатство — больше, чем накопление денег и ресурсов, и его можно создать не только традиционными финансовыми средствами. Чтобы по‑настоящему понять богатство обществ, культур и окружающей среды, нужно вернуться к старому представлению о богатстве как о благополучии. Мы можем думать, что выигрыш в лотерею сделает нас богатыми, а богатство сделает нас счастливыми, но это не всегда так. Хотя бедность действительно ведёт к несчастью, много денег не всегда покупают счастье.</w:t>
      </w:r>
    </w:p>
    <w:p>
      <w:pPr>
        <w:pStyle w:val="BodyText"/>
      </w:pPr>
      <w:r>
        <w:t xml:space="preserve">Возможно, вы видели случаи, когда человек с очень низким доходом выигрывал в лотерею или получал крупную компенсацию по суду, но эти деньги зачастую не приносили значительного улучшения в его жизни. Во многих таких случаях ситуация даже ухудшается. Стресс от наличия денег и всех новых проблем — как их сохранить, внезапно появившиеся родственники и друзья, о которых вы даже не подозревали, мошенники и целая армия «инвестиционных консультантов» — подрывает спокойствие.</w:t>
      </w:r>
    </w:p>
    <w:p>
      <w:pPr>
        <w:pStyle w:val="BodyText"/>
      </w:pPr>
      <w:r>
        <w:t xml:space="preserve">Как достичь благополучия, если это не связано с приобретением больших сумм? Когда мы счастливы? Ответ прост: мы чувствуем себя счастливыми, когда наши потребности удовлетворены. Не только базовые — в еде, одежде и жилье — но и потребность быть творчески вовлечёнными в жизнь сообщества, иметь право голоса в решении собственной судьбы, стремиться к духовному развитию без социальных ограничений, иметь время на отдых, развлечения и общение с семьёй. Наши потребности разнообразны…</w:t>
      </w:r>
    </w:p>
    <w:p>
      <w:pPr>
        <w:pStyle w:val="BodyText"/>
      </w:pPr>
      <w:r>
        <w:t xml:space="preserve">Они многогранны, но в доминирующей потребительской экономике основные игроки — фирмы и корпорации — постоянно рекламируют свои товары, пытаясь убедить нас, что покупки принесут удовлетворение.</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efore="287"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tart="1252" w:end="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Нам не нужны деньги. Нам нужны вещи, которые можно купить за деньги.</w:t>
      </w:r>
    </w:p>
    <w:p>
      <w:pPr>
        <w:pStyle w:val="BodyText"/>
      </w:pPr>
      <w:r>
        <w:t xml:space="preserve">Избыточный вес? Купите диетический план и тренажёр. Несчастны? Существует много программ самосовершенствования, которые можно купить. Духовно потеряны? Купите книгу, видеокассету, присоединитесь к успешной мегацеркви или отправьтесь в отпуск на курорт. Наша потребность в самовыражении всё чаще удовлетворяется через одежду, которую мы носим, и машины, на которых мы ездим. Искусство и музыка часто остаются делом профессионалов, которые предлагают свои товары и услуги. И всё же в конце концов мы обнаруживаем, что потребительские решения не работают — временное удовлетворение от новых вещей лишь усиливает нашу глубинную потребность. Если счастье не купить, значит, должен быть другой путь.</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5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99"/>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В качестве первого шага на пути к</w:t>
      </w:r>
      <w:r>
        <w:t xml:space="preserve"> </w:t>
      </w:r>
      <w:r>
        <w:rPr>
          <w:i/>
          <w:iCs/>
        </w:rPr>
        <w:t xml:space="preserve">устойчивому</w:t>
      </w:r>
      <w:r>
        <w:t xml:space="preserve"> </w:t>
      </w:r>
      <w:r>
        <w:t xml:space="preserve">богатству нам нужно переосмыслить само понятие богатства. Что же оно означает? Вспомните идею общественного благосостояния (общественного благополучия). Создание реального богатства подразумевает принятие решений, которые позволяют всем членам общества достичь благополучия. Устойчивое богатство проецирует эту идею в будущее — как это сделала Всемирная комиссия по окружающей среде и развитию, определив устойчивое развитие как «удовлетворение потребностей настоящего времени без ущерба для способности будущих поколений удовлетворять свои собственные потребности»</w:t>
      </w:r>
      <w:r>
        <w:t xml:space="preserve">2</w:t>
      </w:r>
      <w:r>
        <w:t xml:space="preserve">. Если бы у нас было устойчивое богатство, у нас было бы</w:t>
      </w:r>
      <w:r>
        <w:t xml:space="preserve"> </w:t>
      </w:r>
      <w:r>
        <w:rPr>
          <w:i/>
          <w:iCs/>
        </w:rPr>
        <w:t xml:space="preserve">благополучное</w:t>
      </w:r>
      <w:r>
        <w:t xml:space="preserve"> </w:t>
      </w:r>
      <w:r>
        <w:t xml:space="preserve">сообщество — сообщество, чьи потребности удовлетворялись бы без заимствования богатства у будущих поколений.</w:t>
      </w:r>
    </w:p>
    <w:bookmarkEnd w:id="21"/>
    <w:bookmarkStart w:id="22" w:name="системный-подход"/>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efore="285"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tart="4795" w:end="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Системный подход</w:t>
      </w:r>
    </w:p>
    <w:p>
      <w:pPr>
        <w:pStyle w:val="FirstParagraph"/>
      </w:pPr>
      <w:r>
        <w:t xml:space="preserve">Каковы наши потребности и как они удовлетворяются? Эмпирическую оценку можно получить, просто оглядевшись на разные учреждения, программы, товары и услуги, предлагаемые в обществе. Не все из них удовлетворяют реальные потребности — некоторые существуют потому, что создано искусственное</w:t>
      </w:r>
      <w:r>
        <w:t xml:space="preserve"> </w:t>
      </w:r>
      <w:r>
        <w:rPr>
          <w:i/>
          <w:iCs/>
        </w:rPr>
        <w:t xml:space="preserve">желание</w:t>
      </w:r>
      <w:r>
        <w:t xml:space="preserve"> </w:t>
      </w:r>
      <w:r>
        <w:t xml:space="preserve">или потребность, — но инвентаризация наших активов (под активами понимаются средства удовлетворения потребностей) даёт хорошую отправную точку.</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338" w:before="288"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hanging="0" w:start="676" w:end="2674"/>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z w:val="28"/>
        </w:rPr>
      </w:pPr>
      <w:r>
        <w:drawing>
          <wp:inline>
            <wp:extent cx="421005" cy="42037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21005" cy="420370"/>
                    </a:xfrm>
                    <a:prstGeom prst="rect"/>
                  </pic:spPr>
                </pic:pic>
              </a:graphicData>
            </a:graphic>
          </wp:inline>
        </w:drawing>
      </w:r>
      <w:r>
        <w:t xml:space="preserve"> </w:t>
      </w:r>
      <w:r>
        <w:rPr>
          <w:b/>
          <w:bCs/>
        </w:rPr>
        <w:t xml:space="preserve">Потребности в области человеческого и социального развития:</w:t>
      </w:r>
      <w:r>
        <w:t xml:space="preserve"> </w:t>
      </w:r>
      <w:r>
        <w:t xml:space="preserve">здоровье и благополучие</w:t>
      </w:r>
      <w:r>
        <w:br/>
      </w:r>
      <w:r>
        <w:drawing>
          <wp:inline>
            <wp:extent cx="457200" cy="429895"/>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57200" cy="429895"/>
                    </a:xfrm>
                    <a:prstGeom prst="rect"/>
                  </pic:spPr>
                </pic:pic>
              </a:graphicData>
            </a:graphic>
          </wp:inline>
        </w:drawing>
      </w:r>
      <w:r>
        <w:t xml:space="preserve"> </w:t>
      </w:r>
      <w:r>
        <w:rPr>
          <w:b/>
          <w:bCs/>
        </w:rPr>
        <w:t xml:space="preserve">Потребности в расширении прав и возможностей:</w:t>
      </w:r>
      <w:r>
        <w:t xml:space="preserve"> </w:t>
      </w:r>
      <w:r>
        <w:t xml:space="preserve">равенство, урегулирование конфликтов, самоопределение</w:t>
      </w:r>
      <w:r>
        <w:br/>
      </w:r>
      <w:r>
        <w:drawing>
          <wp:inline>
            <wp:extent cx="438785" cy="429895"/>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38785" cy="429895"/>
                    </a:xfrm>
                    <a:prstGeom prst="rect"/>
                  </pic:spPr>
                </pic:pic>
              </a:graphicData>
            </a:graphic>
          </wp:inline>
        </w:drawing>
      </w:r>
      <w:r>
        <w:t xml:space="preserve"> </w:t>
      </w:r>
      <w:r>
        <w:rPr>
          <w:b/>
          <w:bCs/>
        </w:rPr>
        <w:t xml:space="preserve">Экономические потребности:</w:t>
      </w:r>
      <w:r>
        <w:t xml:space="preserve"> </w:t>
      </w:r>
      <w:r>
        <w:t xml:space="preserve">доход, значимая работа</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2" w:before="72"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hanging="1153" w:start="1828"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drawing>
          <wp:inline>
            <wp:extent cx="448310" cy="438785"/>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48310" cy="438785"/>
                    </a:xfrm>
                    <a:prstGeom prst="rect"/>
                  </pic:spPr>
                </pic:pic>
              </a:graphicData>
            </a:graphic>
          </wp:inline>
        </w:drawing>
      </w:r>
      <w:r>
        <w:t xml:space="preserve"> </w:t>
      </w:r>
      <w:r>
        <w:rPr>
          <w:b/>
          <w:bCs/>
        </w:rPr>
        <w:t xml:space="preserve">Материальные потребности:</w:t>
      </w:r>
      <w:r>
        <w:t xml:space="preserve"> </w:t>
      </w:r>
      <w:r>
        <w:t xml:space="preserve">жильё, системы связи, транспорт, энергия, управление отходами, продовольствие</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efore="298"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hanging="0" w:start="676" w:end="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z w:val="28"/>
        </w:rPr>
      </w:pPr>
      <w:r>
        <w:drawing>
          <wp:inline>
            <wp:extent cx="438785" cy="438785"/>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38785" cy="438785"/>
                    </a:xfrm>
                    <a:prstGeom prst="rect"/>
                  </pic:spPr>
                </pic:pic>
              </a:graphicData>
            </a:graphic>
          </wp:inline>
        </w:drawing>
      </w:r>
      <w:r>
        <w:t xml:space="preserve"> </w:t>
      </w:r>
      <w:r>
        <w:rPr>
          <w:b/>
          <w:bCs/>
        </w:rPr>
        <w:t xml:space="preserve">Экологические потребности:</w:t>
      </w:r>
      <w:r>
        <w:t xml:space="preserve"> </w:t>
      </w:r>
      <w:r>
        <w:t xml:space="preserve">воздух, вода, биоразнообразие, опыление, стабильный климат</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efore="291"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hanging="0" w:start="0" w:end="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center"/>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z w:val="21"/>
        </w:rPr>
      </w:pPr>
      <w:r>
        <w:t xml:space="preserve">РИСУНОК 1.1. Потребности человека и система сообщества</w:t>
      </w:r>
    </w:p>
    <w:p>
      <w:pPr>
        <w:pStyle w:val="BodyText"/>
      </w:pPr>
      <w:r>
        <w:t xml:space="preserve">Прежде чем мы сможем стать полноценными членами любого сообщества, нам необходимо</w:t>
      </w:r>
      <w:r>
        <w:t xml:space="preserve"> </w:t>
      </w:r>
      <w:r>
        <w:rPr>
          <w:i/>
          <w:iCs/>
        </w:rPr>
        <w:t xml:space="preserve">развиваться как личности</w:t>
      </w:r>
      <w:r>
        <w:t xml:space="preserve">. Нам нужно образование, здравоохранение, самоуважение, навыки и возможности для отдыха. В сообществах есть ресурсы — школы, университеты, детские программы, оздоровительные и медицинские услуги, больницы, объекты досуга — которые удовлетворяют эти потребности. Если существуют системы, помогающие людям быть здоровыми, продуктивными и счастливыми, можно говорить о достаточном</w:t>
      </w:r>
      <w:r>
        <w:t xml:space="preserve"> </w:t>
      </w:r>
      <w:r>
        <w:rPr>
          <w:i/>
          <w:iCs/>
        </w:rPr>
        <w:t xml:space="preserve">человеческом капитале</w:t>
      </w:r>
      <w:r>
        <w:t xml:space="preserve"> </w:t>
      </w:r>
      <w:r>
        <w:t xml:space="preserve">сообщества.</w:t>
      </w:r>
      <w:r>
        <w:t xml:space="preserve"> </w:t>
      </w:r>
      <w:r>
        <w:rPr>
          <w:i/>
          <w:iCs/>
        </w:rPr>
        <w:t xml:space="preserve">Человеческий капитал</w:t>
      </w:r>
      <w:r>
        <w:t xml:space="preserve"> </w:t>
      </w:r>
      <w:r>
        <w:t xml:space="preserve">— это способность сообщества способствовать нашему развитию и совокупность навыков, знаний и умений его жителей, которые они могут поддерживать.</w:t>
      </w:r>
    </w:p>
    <w:p>
      <w:pPr>
        <w:pStyle w:val="BodyText"/>
      </w:pPr>
      <w:r>
        <w:t xml:space="preserve">Есть и</w:t>
      </w:r>
      <w:r>
        <w:t xml:space="preserve"> </w:t>
      </w:r>
      <w:r>
        <w:rPr>
          <w:i/>
          <w:iCs/>
        </w:rPr>
        <w:t xml:space="preserve">социальные потребности</w:t>
      </w:r>
      <w:r>
        <w:t xml:space="preserve"> </w:t>
      </w:r>
      <w:r>
        <w:t xml:space="preserve">— те, которые можно удовлетворить только в сообществе. Нам важно ощущать связь и принадлежность, чувствовать безопасность, иметь возможность выражать себя и наслаждаться красотой мира. Нам нужны смысл и цель — а они неизменно возникают в отношениях: с детьми, семьёй, страной или с представлением о божественном. Эти человеческие и социальные потребности на протяжении веков породили многие религии и духовные традиции. Нужны поддерживающие отношения, сеть друзей и ощущение вклада в жизнь сообщества. Когда эти потребности удовлетворены, у сообщества много социальных активов. Если существуют системы, гарантирующие продолжение удовлетворения социальных и культурных потребностей, можно говорить о достаточном</w:t>
      </w:r>
      <w:r>
        <w:t xml:space="preserve"> </w:t>
      </w:r>
      <w:r>
        <w:rPr>
          <w:i/>
          <w:iCs/>
        </w:rPr>
        <w:t xml:space="preserve">социальном и культурном капитале</w:t>
      </w:r>
      <w:r>
        <w:t xml:space="preserve">.</w:t>
      </w:r>
    </w:p>
    <w:p>
      <w:pPr>
        <w:pStyle w:val="BodyText"/>
      </w:pPr>
      <w:r>
        <w:t xml:space="preserve">Для принятия решений, разрешения конфликтов и обеспечения равенства требуется</w:t>
      </w:r>
      <w:r>
        <w:t xml:space="preserve"> </w:t>
      </w:r>
      <w:r>
        <w:rPr>
          <w:i/>
          <w:iCs/>
        </w:rPr>
        <w:t xml:space="preserve">расширение прав и возможностей</w:t>
      </w:r>
      <w:r>
        <w:t xml:space="preserve">. Институты самоуправления, общественные программы по урегулированию споров, законы и регламенты, призванные обеспечить справедливость и мир — всё это активы в этой сфере.</w:t>
      </w:r>
      <w:r>
        <w:t xml:space="preserve"> </w:t>
      </w:r>
      <w:r>
        <w:rPr>
          <w:i/>
          <w:iCs/>
        </w:rPr>
        <w:t xml:space="preserve">Институциональный капитал</w:t>
      </w:r>
      <w:r>
        <w:t xml:space="preserve"> </w:t>
      </w:r>
      <w:r>
        <w:t xml:space="preserve">— правовая база, традиции, структуры и другие основы, позволяющие обществу воспроизводить нужные институты.</w:t>
      </w:r>
    </w:p>
    <w:p>
      <w:pPr>
        <w:pStyle w:val="BodyText"/>
      </w:pPr>
      <w:r>
        <w:t xml:space="preserve">Когда люди думают о потребностях, чаще всего первыми приходят на ум еда, одежда и жильё. Эти</w:t>
      </w:r>
      <w:r>
        <w:t xml:space="preserve"> </w:t>
      </w:r>
      <w:r>
        <w:rPr>
          <w:i/>
          <w:iCs/>
        </w:rPr>
        <w:t xml:space="preserve">материальные потребности</w:t>
      </w:r>
      <w:r>
        <w:t xml:space="preserve"> </w:t>
      </w:r>
      <w:r>
        <w:t xml:space="preserve">важны, а здания, промышленные товары, технологии и инфраструктура, создаваемые в сообществах, служат средствами их удовлетворения. Хорошее доступное жильё, чистая питьевая вода, эффективные системы переработки и повторного использования отходов, возобновляемая энергия, производство здоровой местной пищи, системы связи, соединяющие нас между собой и с миром — всё это</w:t>
      </w:r>
      <w:r>
        <w:t xml:space="preserve"> </w:t>
      </w:r>
      <w:r>
        <w:rPr>
          <w:i/>
          <w:iCs/>
        </w:rPr>
        <w:t xml:space="preserve">строительный и технологический капитал</w:t>
      </w:r>
      <w:r>
        <w:t xml:space="preserve">, необходимый для процветания.</w:t>
      </w:r>
    </w:p>
    <w:p>
      <w:pPr>
        <w:pStyle w:val="BodyText"/>
      </w:pPr>
      <w:r>
        <w:t xml:space="preserve">Материальные потребности выходят за рамки того, что мы производим сами, поэтому существуют и</w:t>
      </w:r>
      <w:r>
        <w:t xml:space="preserve"> </w:t>
      </w:r>
      <w:r>
        <w:rPr>
          <w:i/>
          <w:iCs/>
        </w:rPr>
        <w:t xml:space="preserve">экологические потребности</w:t>
      </w:r>
      <w:r>
        <w:t xml:space="preserve">. Нам нужен чистый воздух, разнообразные экосистемы, поддерживающие множество видов, стабильный климат, способность ассимилировать отходы, вода для поддержания жизни и для того, чтобы мы могли мыться, пить и радоваться жизни. Здоровые почвы, опылители — всё это</w:t>
      </w:r>
      <w:r>
        <w:t xml:space="preserve"> </w:t>
      </w:r>
      <w:r>
        <w:rPr>
          <w:i/>
          <w:iCs/>
        </w:rPr>
        <w:t xml:space="preserve">экологические активы</w:t>
      </w:r>
      <w:r>
        <w:t xml:space="preserve">, которые служат нашей системе жизнеобеспечения. Когда экосистема здорова и продуктивна, её регенеративные способности представляют собой</w:t>
      </w:r>
      <w:r>
        <w:t xml:space="preserve"> </w:t>
      </w:r>
      <w:r>
        <w:rPr>
          <w:i/>
          <w:iCs/>
        </w:rPr>
        <w:t xml:space="preserve">природный капитал</w:t>
      </w:r>
      <w:r>
        <w:t xml:space="preserve">, необходимый для устойчивого развития сообществ.</w:t>
      </w:r>
    </w:p>
    <w:p>
      <w:pPr>
        <w:pStyle w:val="BodyText"/>
      </w:pPr>
      <w:r>
        <w:t xml:space="preserve">Мы описали несколько видов активов и капитала, которые удовлетворяют наши потребности, но пока не упомянули финансовые активы и капитал, которые обычно ассоциируются со словами</w:t>
      </w:r>
      <w:r>
        <w:t xml:space="preserve"> </w:t>
      </w:r>
      <w:r>
        <w:rPr>
          <w:i/>
          <w:iCs/>
        </w:rPr>
        <w:t xml:space="preserve">«деньги»</w:t>
      </w:r>
      <w:r>
        <w:t xml:space="preserve"> </w:t>
      </w:r>
      <w:r>
        <w:t xml:space="preserve">и</w:t>
      </w:r>
      <w:r>
        <w:t xml:space="preserve"> </w:t>
      </w:r>
      <w:r>
        <w:rPr>
          <w:i/>
          <w:iCs/>
        </w:rPr>
        <w:t xml:space="preserve">«инвестиции»</w:t>
      </w:r>
      <w:r>
        <w:t xml:space="preserve">. Отчасти это потому, что деньги — скорее средство, чем сама потребность. Деньги нам на самом деле не нужны; нам нужны вещи, которые можно за них купить. Финансовый капитал сам по себе не обязателен, если можно получить необходимые блага и услуги другим способом. Обменная способность денег — одна из ключевых причин, почему они нам нужны сейчас и, надеемся, будут нужны и в будущем. Деньги позволяют обменивать то, что ценно для нас — время и труд, — на то, что ценно для других.</w:t>
      </w:r>
    </w:p>
    <w:p>
      <w:pPr>
        <w:pStyle w:val="BodyText"/>
      </w:pPr>
      <w:r>
        <w:t xml:space="preserve">Однако деньги — не единственное средство обмена. Тысячи лет люди обменивались товарами и услугами без денег. Вы помогаете соседу поставить новую крышу; он лечит вам зубы и ставит коронку. Вы отвозите детей подруги в школу; она присматривает за вашими детьми. В обоих случаях деньги не переходят из рук в руки, но обмен всё равно происходит. Ценность такого обмена — ещё один актив и форма капитала —</w:t>
      </w:r>
      <w:r>
        <w:t xml:space="preserve"> </w:t>
      </w:r>
      <w:r>
        <w:rPr>
          <w:i/>
          <w:iCs/>
        </w:rPr>
        <w:t xml:space="preserve">потенциальный обменный капитал</w:t>
      </w:r>
      <w:r>
        <w:t xml:space="preserve">.</w:t>
      </w:r>
    </w:p>
    <w:p>
      <w:pPr>
        <w:pStyle w:val="BodyText"/>
      </w:pPr>
      <w:r>
        <w:t xml:space="preserve">Наши общественные системы развивались веками под влиянием потребностей людей и стремления их удовлетворять. Под богатым сообществом обычно понимают</w:t>
      </w:r>
    </w:p>
    <w:p>
      <w:pPr>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hanging="0" w:start="3196" w:end="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center"/>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z w:val="20"/>
        </w:rPr>
      </w:pPr>
      <w:r>
        <w:drawing>
          <wp:inline>
            <wp:extent cx="3723640" cy="2075815"/>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723640" cy="2075815"/>
                    </a:xfrm>
                    <a:prstGeom prst="rect"/>
                  </pic:spPr>
                </pic:pic>
              </a:graphicData>
            </a:graphic>
          </wp:inline>
        </w:drawing>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Caption"/>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efore="277"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hanging="0" w:start="0" w:end="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center"/>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z w:val="21"/>
        </w:rPr>
      </w:pPr>
      <w:r>
        <w:t xml:space="preserve">Рисунок 1.2. Взаимосвязь между потребностями, активами и капиталом</w:t>
      </w:r>
    </w:p>
    <w:p>
      <w:pPr>
        <w:pStyle w:val="BodyText"/>
      </w:pPr>
      <w:r>
        <w:t xml:space="preserve">Более половины человечества сейчас живёт в городах, и эта тенденция, по прогнозам, сохранится как минимум ещё на десятилетие. Поэтому богатство нашего общества во многом сосредоточено в городах. Города — памятники коллективных усилий человечества на протяжении тысячелетий. Они формируют физические, пространственные и когнитивные структуры, которые удовлетворяют многие наши потребности. Учитывая это, в большинстве конкретных примеров создания богатства, которые мы обсуждаем, мы сосредоточимся на городах.</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efore="285"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tart="4910" w:end="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Богатство городов</w:t>
      </w:r>
    </w:p>
    <w:p>
      <w:pPr>
        <w:pStyle w:val="BodyText"/>
      </w:pPr>
      <w:r>
        <w:t xml:space="preserve">Чтобы понять альтернативные пути достижения индивидуального, общественного и экономического благополучия в городском контексте, нужно изучить, как функционируют города, и требуются активные действия городского руководства по решению ключевых вопросов устойчивой экономики. В книге «Города и богатство наций» Джейн Джейкобс городские регионы определены как главный двигатель экономического роста на протяжении истории. Она показала, что города и регионы обладали экономической мощью, позволяющей импортировать товары из других областей и одновременно разрабатывать местные замены этим импортам. Замещение импорта стало ключевым источником экономического роста городов</w:t>
      </w:r>
      <w:r>
        <w:t xml:space="preserve"> </w:t>
      </w:r>
      <w:r>
        <w:t xml:space="preserve">3</w:t>
      </w:r>
      <w:r>
        <w:t xml:space="preserve">.</w:t>
      </w:r>
    </w:p>
    <w:p>
      <w:pPr>
        <w:pStyle w:val="BodyText"/>
      </w:pPr>
      <w:r>
        <w:t xml:space="preserve">С момента Всемирного саммита по окружающей среде в Рио-де-Жанейро в 1992 году города по всему миру играют ведущую роль в усилиях по стабилизации климата и борьбе с разрушением окружающей среды. Появились различные движения — «устойчивые города», «здоровые города», «экологичные города» и, совсем недавно, «переходные города» — а также организации, созданные для поддержки городских инициатив. ICLEI была одной из первых: изначально она называлась Международный совет по местным экологическим инициативам, затем стала ICLEI — Местные органы власти за устойчивое развитие</w:t>
      </w:r>
      <w:r>
        <w:t xml:space="preserve"> </w:t>
      </w:r>
      <w:r>
        <w:t xml:space="preserve">4</w:t>
      </w:r>
      <w:r>
        <w:t xml:space="preserve">.</w:t>
      </w:r>
    </w:p>
    <w:p>
      <w:pPr>
        <w:pStyle w:val="BodyText"/>
      </w:pPr>
      <w:r>
        <w:t xml:space="preserve">Масштаб и глубина этого движения подтверждаются ростом других организаций за последние два десятилетия: Институт устойчивых сообществ, программа «Здоровые города» Всемирной организации здравоохранения, Международная организация «Здоровые города», Международная организация «Экополисы», Центр устойчивых городов, сеть Cities PLUS, Глобальные инициативы сообществ и крупнейшая из них — Организация «Объединённые города и местные власти» (ОУМВ). Международный конгресс городов был создан в 2004 году, когда несколько глобальных коалиций городов (Международный союз местных властей, Метрополис и Всемирная федерация объединённых городов) объединились в одну организацию.</w:t>
      </w:r>
      <w:r>
        <w:t xml:space="preserve">5</w:t>
      </w:r>
      <w:r>
        <w:t xml:space="preserve"> </w:t>
      </w:r>
      <w:r>
        <w:t xml:space="preserve">Кампания «Города тысячелетия» ОУМВ поддерживает Цели развития тысячелетия ООН, где в центре внимания — устойчивое окружение и устойчивая местная экономика. Города всё больше осознают, что решения проблем климата и экологии заложены в созданной нами экономике, и могут стать ключевыми катализаторами масштабных изменений.</w:t>
      </w:r>
    </w:p>
    <w:p>
      <w:pPr>
        <w:pStyle w:val="BodyText"/>
      </w:pPr>
      <w:r>
        <w:t xml:space="preserve">Города действуют на нескольких уровнях: от общих политических преобразований, например перепрофилирования районов с коммерческих на промышленные, до мелких шагов — например покупки бумажных полотенец для общественных туалетов. Политика проявляется в разных формах: долгосрочные планы с видением, целями и стратегиями; операционные бюджеты и планы капиталовложений; постановления и правила; годовые цели; а также внутренние политики — кадровая, закупочная и т. п. Долгосрочные планы задают направление изменений в постановлениях и бюджетах; бюджеты, планы капиталовложений и годовые цели определяют ежегодные мероприятия по реализации. Другие политики формируют повседневные процедуры.</w:t>
      </w:r>
    </w:p>
    <w:p>
      <w:pPr>
        <w:pStyle w:val="BodyText"/>
      </w:pPr>
      <w:r>
        <w:t xml:space="preserve">Так, например, в городской совет была избрана женщина, которая во время предвыборной кампании обещала сократить выбросы углерода и уменьшить зависимость от ископаемого топлива. В первый же день ей представляют покупку для полиции автомобиля с высоким расходом топлива для нового автопарка. Если она попытается остановить покупку, то столкнётся с сопротивлением начальника полиции и городского управляющего: они объяснят, что автомобиль включён в капитальный план и является частью долгосрочной программы замены, возможно, с контрактами с местными автодилерами, которые нельзя расторгнуть. Возражения новоизбранной, вероятно, отвергнут более опытные члены совета, и покупка будет произведена. Она может возразить: «…граждане на этих выборах ясно показали, что хотят сократить выбросы углерода и потребление ископаемого топлива». Ветераны на её ответ лишь улыбнутся и обменяются многозначительными взглядами: идеализм терпимо воспринимается, но добиваться перемен в повседневной практике гораздо сложнее.</w:t>
      </w:r>
    </w:p>
    <w:p>
      <w:pPr>
        <w:pStyle w:val="BodyText"/>
      </w:pPr>
      <w:r>
        <w:t xml:space="preserve">Предвыборные обещания, регулярные местные выборы, референдумы и голосования по облигациям дают властям постоянный поток новой информации и мнений граждан, но для реальных изменений нужны скоординированные усилия. Новоиспечённые члены городского совета часто не знают процессов, которые определяют крупномасштабную реализацию, и их легко втянуть в привычный уклад работы, особенно учитывая системные силы, стремящиеся сохранить статус-кво.</w:t>
      </w:r>
    </w:p>
    <w:p>
      <w:pPr>
        <w:pStyle w:val="BodyText"/>
      </w:pPr>
      <w:r>
        <w:t xml:space="preserve">Города — сложные механизмы, основанные на профсоюзных договорах, долгосрочных контрактах с поставщиками, опытном штате и потоках материалов и энергии, поддерживаемых видимой и невидимой инфраструктурой. Радикальные изменения в инфраструктуре требуют тщательного планирования — нельзя просто перерезать канализационные трубы, чтобы перекрыть приток сточных вод на очистные сооружения, даже если это кажется простым решением: непреднамеренные последствия превысят краткосрочный эффект. В других сферах это менее наглядно, но не менее верно — например, когда полицейский департамент намерен закупить автомобили с высоким расходом топлива.</w:t>
      </w:r>
    </w:p>
    <w:p>
      <w:pPr>
        <w:pStyle w:val="BodyText"/>
      </w:pPr>
      <w:r>
        <w:t xml:space="preserve">Долгосрочная перспектива, основанная на ценностях людей — на том, что для них действительно важно, — необходима для мобилизации коллективных действий. Однако даже появление такой перспективы не изменит ситуацию само по себе. По‑прежнему будет сложно переориентировать закупки для городского автопарка, если только она не будет перенесена в конкретные краткосрочные политики и программы.</w:t>
      </w:r>
    </w:p>
    <w:p>
      <w:pPr>
        <w:pStyle w:val="BodyText"/>
      </w:pPr>
      <w:r>
        <w:t xml:space="preserve">Краткосрочные политики и программы определяют направления реализации. Идея города, удобного для пешеходов, с уютными кварталами и сдержанным пригородным разрастанием требует изменений в правилах землепользования, прежде чем плотность застройки ощутимо изменится. Концепция чистого воздуха и снижения климатического воздействия должна найти отражение в ряде мер — от закупочной политики, поощряющей альтернативы энергоёмким товарам, до капитального планирования по производству возобновляемой энергии.</w:t>
      </w:r>
    </w:p>
    <w:p>
      <w:pPr>
        <w:pStyle w:val="BodyText"/>
      </w:pPr>
      <w:r>
        <w:t xml:space="preserve">Сегодня немногие города располагают комплексными долгосрочными планами и политиками, необходимыми для перехода к устойчивому развитию. Зачастую политический контекст фрагментирован, ориентирован на краткосрочные выгоды и противоречив. У города может быть генеральный план, охватывающий инфраструктуру, землепользование и экономическое развитие на три–пять лет. При интегрированном подходе капитальный план может отражать эти цели, но чаще он превращается в перечень разрозненных проектов, продиктованных требованиями отдельных департаментов или членов совета, без понимания их связи с долгосрочными целями — стабилизацией климата или искоренением бедности. Города редко учитывают такие фундаментальные факторы политического контекста, как общие ценности, социальное и человеческое развитие и управленческие структуры.</w:t>
      </w:r>
    </w:p>
    <w:p>
      <w:pPr>
        <w:pStyle w:val="BodyText"/>
      </w:pPr>
      <w:r>
        <w:t xml:space="preserve">Достижение долгосрочной устойчивости требует мер, выходящих за рамки полномочий городских властей; их усилия окажутся малоэффективными без сопутствующих изменений в более широком сообществе. Процесс с участием многих заинтересованных сторон даёт людям, организациям и крупным институтам возможность внести вклад в план и затем действовать в своих сферах для его реализации. Так город и его независимые силы начнут работать ради общих целей. Но и эти согласованные действия не возникают сами по себе — нужны руководство и организация со стороны города и партнёров.</w:t>
      </w:r>
    </w:p>
    <w:p>
      <w:pPr>
        <w:pStyle w:val="BodyText"/>
      </w:pPr>
      <w:r>
        <w:t xml:space="preserve">Интеграция и долгосрочный временной горизонт важнее для достижения городских целей, чем фокус на отдельных проблемах — климате, здравоохранении или экономике. Эти вопросы значимы, но меры будут неэффективны, если их реализовать поодиночке. Интегрированный подход связывает разные сферы, социально‑экономические границы и департаменты. Он также помогает избежать ситуации, когда достижение одной цели происходит за счёт другой.</w:t>
      </w:r>
    </w:p>
    <w:p>
      <w:pPr>
        <w:pStyle w:val="BodyText"/>
      </w:pPr>
      <w:r>
        <w:t xml:space="preserve">Экологическая политика, маргинализующая или обедняющая группы населения или районы — местные или отдалённые — в долгосрочной перспективе обречена на неудачу. Жилищные программы, не учитывающие влияние на важные открытые пространства, водно‑болотные угодья и сельскохозяйственные земли, со временем наносят городу ущерб. Экономическое развитие, основанное на истощении природных ресурсов или эксплуатации человеческого потенциала, в итоге даёт обратный эффект: оно обедняет сообщество вместо создания реального богатства.</w:t>
      </w:r>
    </w:p>
    <w:p>
      <w:pPr>
        <w:pStyle w:val="BodyText"/>
      </w:pPr>
      <w:r>
        <w:t xml:space="preserve">Если спросить некоторых мэров или членов городских советов, какое влияние они оказывают на экономику, они, вероятно, будут озадачены. Некоторые пошли так далеко, что строили промышленную инфраструктуру в надежде вернуть рабочие места промышленного века, не учитывая глобальные тренды, из‑за которых производство переместилось в другие части света.</w:t>
      </w:r>
    </w:p>
    <w:p>
      <w:pPr>
        <w:pStyle w:val="BodyText"/>
      </w:pPr>
      <w:r>
        <w:t xml:space="preserve">Другие возлагают надежды на маркетинговые усилия местной торговой палаты, которая активно участвует в выставках и размещает рекламу, продвигая регион как благоприятный для бизнеса.</w:t>
      </w:r>
    </w:p>
    <w:p>
      <w:pPr>
        <w:pStyle w:val="BodyText"/>
      </w:pPr>
      <w:r>
        <w:t xml:space="preserve">Некоторые из наиболее прогрессивных городских властей создали револьверные фонды кредитования, выступающие в роли кредитора последней инстанции для местных предприятий, испытывающих трудности с ликвидностью или ростом. Они организуют бизнес-инкубаторы, предоставляют услуги по составлению бизнес-планов и иногда помогают найти источники венчурного капитала для стартапов. Многие власти понимают важность местного бизнеса, но по-прежнему боятся занять твердую позицию, когда крупные компании угрожают вытеснить мелких предпринимателей с рынка.</w:t>
      </w:r>
    </w:p>
    <w:p>
      <w:pPr>
        <w:pStyle w:val="BodyText"/>
      </w:pPr>
      <w:r>
        <w:t xml:space="preserve">Большинство местных органов власти полагают, что все рабочие места равны, и что любая новая налоговая база священна. Экономика выступает хозяином, а местные сообщества — слугами, готовыми на всё ради инвесторов, даже если деловые практики последних вызывают сомнения.</w:t>
      </w:r>
    </w:p>
    <w:p>
      <w:pPr>
        <w:pStyle w:val="BodyText"/>
      </w:pPr>
      <w:r>
        <w:t xml:space="preserve">Переосмысление понятия богатства и переориентация местных инициатив на удовлетворение человеческих потребностей помогут лидерам рассматривать экономику как средство служения сообществу, а не наоборот. Существуют разные формы капитала, которые требуют инвестиций для процветания местного сообщества, а не только финансовый капитал. Социальный капитал, человеческий капитал, природный капитал, институциональный капитал, технологический капитал, обменный потенциал, построенный капитал и культурный капитал — всё это нужно понимать и укреплять, и эти многоплановые усилия — исключительная прерогатива местных сообществ.</w:t>
      </w:r>
    </w:p>
    <w:bookmarkEnd w:id="22"/>
    <w:bookmarkEnd w:id="23"/>
    <w:bookmarkStart w:id="24" w:name="X13e97629671b86903ae5110e61ebaefa82d689e"/>
    <w:p>
      <w:pPr>
        <w:pStyle w:val="Heading2"/>
      </w:pPr>
      <w:r>
        <w:t xml:space="preserve">Миф (и потенциал) индивидуального богатства</w:t>
      </w:r>
    </w:p>
    <w:p>
      <w:pPr>
        <w:pStyle w:val="FirstParagraph"/>
      </w:pPr>
      <w:r>
        <w:t xml:space="preserve">До сих пор мы затронули три вещи, которые определяют наше понимание богатства:</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ListParagraph"/>
        <w:tabs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tab w:val="clear" w:pos="709"/>
          <w:tab w:val="left" w:pos="1898" w:leader="none"/>
        </w:tabs>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exact" w:line="321" w:before="0"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hanging="273" w:start="949" w:end="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z w:val="28"/>
        </w:rPr>
        <w:numPr>
          <w:ilvl w:val="1"/>
          <w:numId w:val="1002"/>
        </w:numPr>
      </w:pPr>
      <w:r>
        <w:t xml:space="preserve">Очевидная идея обладания большим количеством денег</w:t>
      </w:r>
      <w:r>
        <w:br/>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ListParagraph"/>
        <w:tabs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tab w:val="clear" w:pos="709"/>
          <w:tab w:val="left" w:pos="1898" w:leader="none"/>
        </w:tabs>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0" w:before="9"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hanging="273" w:start="949" w:end="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z w:val="28"/>
        </w:rPr>
        <w:numPr>
          <w:ilvl w:val="1"/>
          <w:numId w:val="1002"/>
        </w:numPr>
      </w:pPr>
      <w:r>
        <w:t xml:space="preserve">Благополучие, достигаемое через удовлетворение широкого спектра человеческих потребностей</w:t>
      </w:r>
      <w:r>
        <w:br/>
      </w:r>
    </w:p>
    <w:p>
      <w:pPr>
        <w:pStyle w:val="Compact"/>
        <w:numPr>
          <w:ilvl w:val="0"/>
          <w:numId w:val="1001"/>
        </w:numPr>
      </w:pPr>
      <w:r>
        <w:t xml:space="preserve">Социальные системы, которые мы создаём для удовлетворения этих потребностей</w:t>
      </w:r>
    </w:p>
    <w:p>
      <w:pPr>
        <w:pStyle w:val="FirstParagraph"/>
      </w:pPr>
      <w:r>
        <w:t xml:space="preserve">Истинное богатство — сумма всех трёх составляющих. Однако можно чувствовать себя богатым, обладая лишь двумя последними, и можно быть бедным, имея много денег, но не будучи в состоянии удовлетворить важнейшие потребности и не получая поддержки сообщества.</w:t>
      </w:r>
    </w:p>
    <w:p>
      <w:pPr>
        <w:pStyle w:val="BodyText"/>
      </w:pPr>
      <w:r>
        <w:t xml:space="preserve">Североамериканская мифология сурового индивидуализма заставляет забывать, что настоящее богатство возможно только в обществе. «Самодеятельные миллионеры» нередко благополучно забывают о том, что их состояние стало возможным благодаря государственной инфраструктуре, институциональным механизмам и участию многих других людей. Они первыми выступают за снижение налогов.</w:t>
      </w:r>
    </w:p>
    <w:p>
      <w:pPr>
        <w:pStyle w:val="BodyText"/>
      </w:pPr>
      <w:r>
        <w:t xml:space="preserve">Американская торговая палата тратит на лоббирование больше, чем любая другая группа в Вашингтоне. Часто создаётся впечатление, что она не осознаёт: без верховенства закона, без водоснабжения и канализации в промышленных зонах, без политик, позволяющих бизнесу функционировать, их компании не смогли бы выжить, не говоря уже о получении прибыли.</w:t>
      </w:r>
    </w:p>
    <w:p>
      <w:pPr>
        <w:pStyle w:val="BodyText"/>
      </w:pPr>
      <w:r>
        <w:t xml:space="preserve">Если большинство людей не замечает структуры городов и сообществ, которые позволяют предприятиям и организациям успешно работать, то они так же не видят структуры другого важного компонента индивидуального богатства — денег. Современная денежная система скрыта от публичного взгляда, и большинство людей её не понимают. Если бы они понимали её, возможно, не стали бы слепо полагаться на неё как на единственный источник своей финансовой безопасности.</w:t>
      </w:r>
    </w:p>
    <w:p>
      <w:pPr>
        <w:pStyle w:val="BodyText"/>
      </w:pPr>
      <w:r>
        <w:t xml:space="preserve">Мы надеемся, что эта книга откроет вам глаза и на роль сообщества в создании богатства, и на роль денег и других средств обмена. Для этого нужно помочь снять с вас повязку на глазах (это не ваша вина): денежная система была завуалирована силами, извлекающими из неё прибыль. В конце концов, прежде чем вы начнёте создавать богатство и строить устойчивую местную экономику, важно понять, что такое богатство и на чём оно основано. Хорошая новость в том, что у вас тоже есть возможность создать настоящее богатство для себя, своих детей и своего сообщества. Но прежде чем покупать ещё лотерейные билеты, прочтите эту книгу — она покажет, как эффективные местные действия помогут вам достичь этой цели с гораздо меньшим риском.</w:t>
      </w:r>
    </w:p>
    <w:bookmarkEnd w:id="24"/>
    <w:bookmarkEnd w:id="25"/>
    <w:sectPr w:rsidR="00FC693F" w:rsidRPr="0006063C" w:rsidSect="00034616">
      <w:headerReference w:type="default" r:id="rId16"/>
      <w:headerReference w:type="first" r:id="rId17"/>
      <w:headerReference w:type="even" r:id="rId18"/>
      <w:footerReference w:type="default" r:id="rId19"/>
      <w:footerReference w:type="first" r:id="rId20"/>
      <w:footerReference w:type="even" r:id="rId21"/>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abstractNum w:abstractNumId="99412">
    <w:lvl w:ilvl="0">
      <w:numFmt w:val="bullet"/>
      <w:lvlText w:val="—"/>
      <w:lvlJc w:val="start"/>
      <w:pPr>
        <w:tabs>
          <w:tab w:val="num" w:pos="0"/>
        </w:tabs>
        <w:ind w:start="100" w:hanging="361"/>
      </w:pPr>
      <w:rPr>
        <w:rFonts w:ascii="Liberation Serif" w:hAnsi="Liberation Serif" w:cs="Liberation Serif" w:hint="default"/>
        <w:b w:val="false"/>
        <w:bCs w:val="false"/>
        <w:i w:val="false"/>
        <w:iCs w:val="false"/>
        <w:spacing w:val="0"/>
        <w:w w:val="102"/>
        <w:sz w:val="28"/>
        <w:szCs w:val="28"/>
        <w:lang w:val="en-US" w:eastAsia="en-US" w:bidi="ar-SA"/>
      </w:rPr>
    </w:lvl>
    <w:lvl w:ilvl="1">
      <w:start w:val="1"/>
      <w:numFmt w:val="decimal"/>
      <w:lvlText w:val="%2."/>
      <w:lvlJc w:val="start"/>
      <w:pPr>
        <w:tabs>
          <w:tab w:val="num" w:pos="0"/>
        </w:tabs>
        <w:ind w:start="949" w:hanging="274"/>
      </w:pPr>
      <w:rPr>
        <w:rFonts w:ascii="Liberation Serif" w:hAnsi="Liberation Serif" w:eastAsia="Liberation Serif" w:cs="Liberation Serif"/>
        <w:b w:val="false"/>
        <w:bCs w:val="false"/>
        <w:i w:val="false"/>
        <w:iCs w:val="false"/>
        <w:spacing w:val="0"/>
        <w:w w:val="102"/>
        <w:sz w:val="28"/>
        <w:szCs w:val="28"/>
        <w:lang w:val="en-US" w:eastAsia="en-US" w:bidi="ar-SA"/>
      </w:rPr>
    </w:lvl>
    <w:lvl w:ilvl="2">
      <w:start w:val="0"/>
      <w:numFmt w:val="bullet"/>
      <w:lvlText w:val=""/>
      <w:lvlJc w:val="start"/>
      <w:pPr>
        <w:tabs>
          <w:tab w:val="num" w:pos="0"/>
        </w:tabs>
        <w:ind w:start="2195" w:hanging="274"/>
      </w:pPr>
      <w:rPr>
        <w:rFonts w:ascii="Symbol" w:hAnsi="Symbol" w:cs="Symbol" w:hint="default"/>
        <w:lang w:val="en-US" w:eastAsia="en-US" w:bidi="ar-SA"/>
      </w:rPr>
    </w:lvl>
    <w:lvl w:ilvl="3">
      <w:start w:val="0"/>
      <w:numFmt w:val="bullet"/>
      <w:lvlText w:val=""/>
      <w:lvlJc w:val="start"/>
      <w:pPr>
        <w:tabs>
          <w:tab w:val="num" w:pos="0"/>
        </w:tabs>
        <w:ind w:start="3451" w:hanging="274"/>
      </w:pPr>
      <w:rPr>
        <w:rFonts w:ascii="Symbol" w:hAnsi="Symbol" w:cs="Symbol" w:hint="default"/>
        <w:lang w:val="en-US" w:eastAsia="en-US" w:bidi="ar-SA"/>
      </w:rPr>
    </w:lvl>
    <w:lvl w:ilvl="4">
      <w:start w:val="0"/>
      <w:numFmt w:val="bullet"/>
      <w:lvlText w:val=""/>
      <w:lvlJc w:val="start"/>
      <w:pPr>
        <w:tabs>
          <w:tab w:val="num" w:pos="0"/>
        </w:tabs>
        <w:ind w:start="4706" w:hanging="274"/>
      </w:pPr>
      <w:rPr>
        <w:rFonts w:ascii="Symbol" w:hAnsi="Symbol" w:cs="Symbol" w:hint="default"/>
        <w:lang w:val="en-US" w:eastAsia="en-US" w:bidi="ar-SA"/>
      </w:rPr>
    </w:lvl>
    <w:lvl w:ilvl="5">
      <w:start w:val="0"/>
      <w:numFmt w:val="bullet"/>
      <w:lvlText w:val=""/>
      <w:lvlJc w:val="start"/>
      <w:pPr>
        <w:tabs>
          <w:tab w:val="num" w:pos="0"/>
        </w:tabs>
        <w:ind w:start="5962" w:hanging="274"/>
      </w:pPr>
      <w:rPr>
        <w:rFonts w:ascii="Symbol" w:hAnsi="Symbol" w:cs="Symbol" w:hint="default"/>
        <w:lang w:val="en-US" w:eastAsia="en-US" w:bidi="ar-SA"/>
      </w:rPr>
    </w:lvl>
    <w:lvl w:ilvl="6">
      <w:start w:val="0"/>
      <w:numFmt w:val="bullet"/>
      <w:lvlText w:val=""/>
      <w:lvlJc w:val="start"/>
      <w:pPr>
        <w:tabs>
          <w:tab w:val="num" w:pos="0"/>
        </w:tabs>
        <w:ind w:start="7217" w:hanging="274"/>
      </w:pPr>
      <w:rPr>
        <w:rFonts w:ascii="Symbol" w:hAnsi="Symbol" w:cs="Symbol" w:hint="default"/>
        <w:lang w:val="en-US" w:eastAsia="en-US" w:bidi="ar-SA"/>
      </w:rPr>
    </w:lvl>
    <w:lvl w:ilvl="7">
      <w:start w:val="0"/>
      <w:numFmt w:val="bullet"/>
      <w:lvlText w:val=""/>
      <w:lvlJc w:val="start"/>
      <w:pPr>
        <w:tabs>
          <w:tab w:val="num" w:pos="0"/>
        </w:tabs>
        <w:ind w:start="8473" w:hanging="274"/>
      </w:pPr>
      <w:rPr>
        <w:rFonts w:ascii="Symbol" w:hAnsi="Symbol" w:cs="Symbol" w:hint="default"/>
        <w:lang w:val="en-US" w:eastAsia="en-US" w:bidi="ar-SA"/>
      </w:rPr>
    </w:lvl>
    <w:lvl w:ilvl="8">
      <w:start w:val="0"/>
      <w:numFmt w:val="bullet"/>
      <w:lvlText w:val=""/>
      <w:lvlJc w:val="start"/>
      <w:pPr>
        <w:tabs>
          <w:tab w:val="num" w:pos="0"/>
        </w:tabs>
        <w:ind w:start="9728" w:hanging="274"/>
      </w:pPr>
      <w:rPr>
        <w:rFonts w:ascii="Symbol" w:hAnsi="Symbol" w:cs="Symbol" w:hint="default"/>
        <w:lang w:val="en-US" w:eastAsia="en-US" w:bidi="ar-SA"/>
      </w:rPr>
    </w:lvl>
  </w:abstractNum>
  <w:num w:numId="1002">
    <w:abstractNumId w:val="9941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60" w:line="276" w:lineRule="auto"/>
    </w:pPr>
    <w:rPr>
      <w:rFonts w:ascii="Aptos" w:hAnsi="Aptos"/>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60"/>
      <w:outlineLvl w:val="0"/>
    </w:pPr>
    <w:rPr>
      <w:rFonts w:ascii="Aptos Display" w:asciiTheme="majorHAnsi" w:cstheme="majorBidi" w:eastAsiaTheme="majorEastAsia" w:hAnsi="Aptos Display" w:hAnsiTheme="majorHAnsi"/>
      <w:b/>
      <w:bCs/>
      <w:color w:themeColor="accent1" w:themeShade="BF" w:val="365F91"/>
      <w:sz w:val="36"/>
      <w:szCs w:val="28"/>
    </w:rPr>
  </w:style>
  <w:style w:styleId="Heading2" w:type="paragraph">
    <w:name w:val="heading 2"/>
    <w:basedOn w:val="Normal"/>
    <w:next w:val="Normal"/>
    <w:link w:val="Heading2Char"/>
    <w:uiPriority w:val="9"/>
    <w:unhideWhenUsed/>
    <w:qFormat/>
    <w:rsid w:val="00FC693F"/>
    <w:pPr>
      <w:keepNext/>
      <w:keepLines/>
      <w:spacing w:after="120" w:before="280"/>
      <w:outlineLvl w:val="1"/>
    </w:pPr>
    <w:rPr>
      <w:rFonts w:ascii="Aptos Display" w:asciiTheme="majorHAnsi" w:cstheme="majorBidi" w:eastAsiaTheme="majorEastAsia" w:hAnsi="Aptos Display"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80" w:before="240"/>
      <w:outlineLvl w:val="2"/>
    </w:pPr>
    <w:rPr>
      <w:rFonts w:ascii="Aptos Display" w:asciiTheme="majorHAnsi" w:cstheme="majorBidi" w:eastAsiaTheme="majorEastAsia" w:hAnsi="Aptos Display"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spacing w:after="80" w:line="264" w:lineRule="auto"/>
      <w:ind w:left="720"/>
      <w:contextualSpacing/>
    </w:pPr>
    <w:rPr>
      <w:rFonts w:ascii="Aptos" w:hAnsi="Aptos"/>
      <w:sz w:val="22"/>
    </w:rPr>
  </w:style>
  <w:style w:styleId="BodyText" w:type="paragraph">
    <w:name w:val="Body Text"/>
    <w:basedOn w:val="Normal"/>
    <w:link w:val="BodyTextChar"/>
    <w:uiPriority w:val="99"/>
    <w:unhideWhenUsed/>
    <w:rsid w:val="00AA1D8D"/>
    <w:pPr>
      <w:spacing w:after="160" w:line="276" w:lineRule="auto"/>
    </w:pPr>
    <w:rPr>
      <w:rFonts w:ascii="Aptos" w:hAnsi="Aptos"/>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00" w:before="80" w:line="240" w:lineRule="auto"/>
      <w:jc w:val="center"/>
    </w:pPr>
    <w:rPr>
      <w:rFonts w:ascii="Aptos" w:hAnsi="Aptos"/>
      <w:b/>
      <w:bCs/>
      <w:i/>
      <w:color w:themeColor="accent1" w:val="4F81BD"/>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Aptos" w:hAnsi="Aptos"/>
      <w:sz w:val="20"/>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2026-03-19T13:26:05Z</dcterms:created>
  <dcterms:modified xsi:type="dcterms:W3CDTF">2026-03-19T13:26:05Z</dcterms:modified>
</cp:coreProperties>
</file>

<file path=docProps/custom.xml><?xml version="1.0" encoding="utf-8"?>
<Properties xmlns="http://schemas.openxmlformats.org/officeDocument/2006/custom-properties" xmlns:vt="http://schemas.openxmlformats.org/officeDocument/2006/docPropsVTypes"/>
</file>