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Ð¢</w:t>
      </w:r>
    </w:p>
    <w:p>
      <w:pPr>
        <w:pStyle w:val="Author"/>
      </w:pPr>
      <w:r>
        <w:t xml:space="preserve">Iberoam</w:t>
      </w:r>
    </w:p>
    <w:p>
      <w:pPr>
        <w:pStyle w:val="Date"/>
      </w:pPr>
      <w:r>
        <w:t xml:space="preserve">2026-03-21</w:t>
      </w:r>
    </w:p>
    <w:p>
      <w:pPr>
        <w:pStyle w:val="Heading1"/>
      </w:pPr>
    </w:p>
    <w:p>
      <w:pPr>
        <w:pStyle w:val="FirstParagraph"/>
      </w:pPr>
      <w:r>
        <w:rPr>
          <w:b/>
          <w:bCs/>
        </w:rPr>
        <w:t xml:space="preserve">Собственность и богатство как проблема религиозной этики</w:t>
      </w:r>
    </w:p>
    <w:p>
      <w:pPr>
        <w:pStyle w:val="BodyText"/>
      </w:pPr>
      <w:r>
        <w:t xml:space="preserve">Практически все религии мира, говоря о небесном, не оставляют без внимания и земные проблемы. В каждой есть свои представления о целях и ценностях человеческой жизни, об идеалах общественного устройства, а также, хотя бы и в непроявленном виде, свое отношение к труду и хозяйству, собственности и богатству.</w:t>
      </w:r>
    </w:p>
    <w:p>
      <w:pPr>
        <w:pStyle w:val="BodyText"/>
      </w:pPr>
      <w:r>
        <w:t xml:space="preserve">Этическое осмысление вопросов, связанных с материальными благами, прослеживается в памятниках письменности древнейших цивилизаций, сакральных текстах многих религий мира, в том числе Библии, сочинениях античных и средневековых авторов, не говоря уже о мыслителях нового и новейшего времени. Тем не менее, они остаются нерешенными и поныне. В «Декларации тысячелетия», принятой в 2000г. ООН, отмечались небывалые масштабы социальной и имущественной дифференциации.</w:t>
      </w:r>
      <w:r>
        <w:rPr>
          <w:rStyle w:val="FootnoteReference"/>
        </w:rPr>
        <w:footnoteReference w:id="20"/>
      </w:r>
      <w:r>
        <w:t xml:space="preserve"> </w:t>
      </w:r>
      <w:r>
        <w:t xml:space="preserve">Экономический кризис усложнил ситуацию, в обсуждение которой активно включились религиозные лидеры и главы церквей различных конфессий. По их единодушному мнению, суть проблемы – в отрыве экономики от этики. По словам Патриарха Московского и Всея Руси Кирилла, из кризиса нужно выводить не столько экономику, сколько человеческие души.</w:t>
      </w:r>
      <w:r>
        <w:rPr>
          <w:rStyle w:val="FootnoteReference"/>
        </w:rPr>
        <w:footnoteReference w:id="21"/>
      </w:r>
      <w:r>
        <w:t xml:space="preserve"> </w:t>
      </w:r>
      <w:r>
        <w:t xml:space="preserve">О том, что собственность и богатство – не только экономические, но и нравственные категории говорит и глава католического мира Папа Бенедикт XVI. Он уже давно высказывал мысль, что экономика и этика, которые представляются современному миру взаимоисключающими, должны быть соединены, не теряя при этом своей автономности.</w:t>
      </w:r>
      <w:r>
        <w:rPr>
          <w:rStyle w:val="FootnoteReference"/>
        </w:rPr>
        <w:footnoteReference w:id="22"/>
      </w:r>
    </w:p>
    <w:p>
      <w:pPr>
        <w:pStyle w:val="BodyText"/>
      </w:pPr>
      <w:r>
        <w:t xml:space="preserve">Наверное, это справедливо, и человечество только бы выиграло от одухотворения хозяйственно-экономической жизни и развития в ней нравственного измерения. В этой связи возникает вопрос о содержании социально-экономической этики различных религий. К чему именно призывает она?</w:t>
      </w:r>
    </w:p>
    <w:p>
      <w:pPr>
        <w:pStyle w:val="BodyText"/>
      </w:pPr>
      <w:r>
        <w:t xml:space="preserve">С одной стороны, в этических системах разных религий можно найти немало общего, и нравственные постулаты, касающиеся труда, собственности и богатства, часто совпадают. Впрочем, это не удивительно, поскольку в основе большинства этических систем лежит так называемое «золотое правило» нравственности. Впервые его сформулировал греческий поэт-философ Гесиод (VIII в. до н.э.), и почти дословно повторил Конфуций: «Не делай другому того, чего не желаешь себе» (Луньюй, 15,23). В Ветхом Завете оно было преобразовано из заповеди воздержания от зла в заповедь деятельной любви: «Люби ближнего, как самого себя» (Лев.19,18). В Евангелии заповедь любви становится краеугольным камнем индивидуальной и социальной этики, распространяясь на все человечество.</w:t>
      </w:r>
    </w:p>
    <w:p>
      <w:pPr>
        <w:pStyle w:val="BodyText"/>
      </w:pPr>
      <w:r>
        <w:t xml:space="preserve">В целом можно сказать, что различные духовно-религиозные учения своими, порой противоположными путями, приходили к утверждению одних и тех же нравственных принципов и постулатов, в том числе касающихся материальных благ. К наиболее важным из них можно отнести:</w:t>
      </w:r>
    </w:p>
    <w:p>
      <w:pPr>
        <w:pStyle w:val="BodyText"/>
      </w:pPr>
      <w:r>
        <w:t xml:space="preserve">- признание духовных благ более важными, чем материальные;</w:t>
      </w:r>
    </w:p>
    <w:p>
      <w:pPr>
        <w:pStyle w:val="BodyText"/>
      </w:pPr>
      <w:r>
        <w:t xml:space="preserve">- осуждение сребролюбия, жадности и скаредности;</w:t>
      </w:r>
    </w:p>
    <w:p>
      <w:pPr>
        <w:pStyle w:val="BodyText"/>
      </w:pPr>
      <w:r>
        <w:t xml:space="preserve">- восхваление милосердия и благотворительности как важнейших добродетелей;</w:t>
      </w:r>
    </w:p>
    <w:p>
      <w:pPr>
        <w:pStyle w:val="BodyText"/>
      </w:pPr>
      <w:r>
        <w:t xml:space="preserve">- запрет на воровство и грабеж;</w:t>
      </w:r>
    </w:p>
    <w:p>
      <w:pPr>
        <w:pStyle w:val="BodyText"/>
      </w:pPr>
      <w:r>
        <w:t xml:space="preserve">- порицание неправедных способов обогащения, связанных, например, с обманом и насилием;</w:t>
      </w:r>
    </w:p>
    <w:p>
      <w:pPr>
        <w:pStyle w:val="BodyText"/>
      </w:pPr>
      <w:r>
        <w:t xml:space="preserve">- идею о воздаянии (на этом или том свете или в этой или будущей жизни). В большинстве религий праведник может надеяться на вознаграждение, в том числе материальное.</w:t>
      </w:r>
    </w:p>
    <w:p>
      <w:pPr>
        <w:pStyle w:val="BodyText"/>
      </w:pPr>
      <w:r>
        <w:t xml:space="preserve">Эти принципы утвердились и обрели религиозную аргументацию в эпоху так называемого «осевого времени», когда примерно между 800 и 500 гг. до н.э., - как это убедительно показал К. Ясперс, - совершился «самый резкий поворот в истории. Появился человек такого типа, какой сохранился и по сей день. В эту эпоху были заложены основы мировых религий, и сегодня определяющие жизнь людей».</w:t>
      </w:r>
      <w:r>
        <w:rPr>
          <w:rStyle w:val="FootnoteReference"/>
        </w:rPr>
        <w:footnoteReference w:id="23"/>
      </w:r>
      <w:r>
        <w:t xml:space="preserve"> </w:t>
      </w:r>
      <w:r>
        <w:t xml:space="preserve">Особенно важно, что при этом резко усилилось этическое измерение жизни. Это было связано с новым восприятием божественных сил, в которых стали видеть источник добра и справедливости.</w:t>
      </w:r>
    </w:p>
    <w:p>
      <w:pPr>
        <w:pStyle w:val="BodyText"/>
      </w:pPr>
      <w:r>
        <w:t xml:space="preserve">Вместе с тем, некоторые важные нравственные установки, регулирующие социально-экономические отношения, были выработаны задолго до появления мировых религий. К ним относится, прежде всего, идеал так называемого «равнообеспечивающего равенства», который в архаических обществах был связан с задачей сохранения рода.</w:t>
      </w:r>
      <w:r>
        <w:rPr>
          <w:rStyle w:val="FootnoteReference"/>
        </w:rPr>
        <w:footnoteReference w:id="24"/>
      </w:r>
      <w:r>
        <w:t xml:space="preserve"> </w:t>
      </w:r>
      <w:r>
        <w:t xml:space="preserve">С течением времени он претерпел значительную трансформацию, став основой отождествления равенства со справедливостью.</w:t>
      </w:r>
    </w:p>
    <w:p>
      <w:pPr>
        <w:pStyle w:val="BodyText"/>
      </w:pPr>
      <w:r>
        <w:t xml:space="preserve">Кроме того, в архаических обществах, как отмечал И. М. Дьяконов, возникла «естественная взаимопомощь, порождаемая беспросветной и общей нуждой», а с ней и уверенность в том, что «при необходимости каждому так же безвозмездно дадут».</w:t>
      </w:r>
      <w:r>
        <w:rPr>
          <w:rStyle w:val="FootnoteReference"/>
        </w:rPr>
        <w:footnoteReference w:id="25"/>
      </w:r>
      <w:r>
        <w:t xml:space="preserve"> </w:t>
      </w:r>
      <w:r>
        <w:t xml:space="preserve">Жадность каралась изгнанием из общины, что по тем временам было равнозначно смертной казни, а щедрость, напротив, превращалась в социальный капитал. Однако, - и это важно подчеркнуть, - в архаических обществах нормы житейской морали существовали</w:t>
      </w:r>
      <w:r>
        <w:t xml:space="preserve"> </w:t>
      </w:r>
      <w:r>
        <w:rPr>
          <w:i/>
          <w:iCs/>
        </w:rPr>
        <w:t xml:space="preserve">параллельно</w:t>
      </w:r>
      <w:r>
        <w:t xml:space="preserve"> </w:t>
      </w:r>
      <w:r>
        <w:t xml:space="preserve">с их религиозными воззрениями, практически не пересекаясь с ними. По справедливой оценке Э. Тейлора, связь между этикой и религией в этих обществах существует лишь в зачаточной форме или вовсе не существует.</w:t>
      </w:r>
      <w:r>
        <w:rPr>
          <w:rStyle w:val="FootnoteReference"/>
        </w:rPr>
        <w:footnoteReference w:id="26"/>
      </w:r>
      <w:r>
        <w:t xml:space="preserve"> </w:t>
      </w:r>
      <w:r>
        <w:t xml:space="preserve">Это, конечно, «не означает у них отсутствие нравственного чувства или нравственного идеала – и то, и другое есть у них, хотя и не в форме определенных учений, а в виде того традиционного сознания, которое мы называем общественным мнением и которое определяет у нас добро или зло».</w:t>
      </w:r>
      <w:r>
        <w:rPr>
          <w:rStyle w:val="FootnoteReference"/>
        </w:rPr>
        <w:footnoteReference w:id="27"/>
      </w:r>
    </w:p>
    <w:p>
      <w:pPr>
        <w:pStyle w:val="BodyText"/>
      </w:pPr>
      <w:r>
        <w:t xml:space="preserve">Решительный шаг к установлению такой связи сделали древнейшие цивилизации Шумера и Египта, которые, однако, так и не смогли переступить порога «осевого времени», оставшись в плену магизма. Тем не менее, у древних шумеров уже в IV тыс. до н.э., храм играл не только роль религиозного и культурного центра, но и гаранта социальной гармонии. Он оказывал помощь нуждающимся, устанавливал твердую систему мер и весов, боролся со злоупотреблениями богатых, определял максимальные проценты для кредиторов, давал попавшим в затруднительное положение гражданам небольшие беспроцентные займы. Исходя из представлений о моральном небесном законе, правители каждые 5–7 лет принимали “указы о справедливости”, по которым списывались старые долги, а земли возвращались прежним владельцам, которые были вынуждены продать их. Слишком большая имущественная дифференциация почиталась безусловным злом, противоречащим воле богов.</w:t>
      </w:r>
      <w:r>
        <w:rPr>
          <w:rStyle w:val="FootnoteReference"/>
        </w:rPr>
        <w:footnoteReference w:id="28"/>
      </w:r>
    </w:p>
    <w:p>
      <w:pPr>
        <w:pStyle w:val="BodyText"/>
      </w:pPr>
      <w:r>
        <w:t xml:space="preserve">Особенно важным для всего дальнейшего развития социально-экономической этики можно считать духовное наследие Древнего Египта. Несмотря на полное преобладание магизма, в котором с помощью заклинаний и ритуалов люди заставляли невидимые силы служить себе, и «ученый жрец обладал почти безграничной властью над всеми сверхъестественными существами, населявшими землю, воздух, ад и небеса»,</w:t>
      </w:r>
      <w:r>
        <w:rPr>
          <w:rStyle w:val="FootnoteReference"/>
        </w:rPr>
        <w:footnoteReference w:id="29"/>
      </w:r>
      <w:r>
        <w:t xml:space="preserve"> </w:t>
      </w:r>
      <w:r>
        <w:t xml:space="preserve">здесь стало развиваться нравственное богословие. Возникло учение о Едином Боге, создавшем человека по своему образу и подобию.</w:t>
      </w:r>
      <w:r>
        <w:rPr>
          <w:rStyle w:val="FootnoteReference"/>
        </w:rPr>
        <w:footnoteReference w:id="30"/>
      </w:r>
      <w:r>
        <w:t xml:space="preserve"> </w:t>
      </w:r>
      <w:r>
        <w:t xml:space="preserve">Этот Бог-Творец признавался также Верховным Собственником и подателем всех благ.</w:t>
      </w:r>
      <w:r>
        <w:rPr>
          <w:rStyle w:val="FootnoteReference"/>
        </w:rPr>
        <w:footnoteReference w:id="31"/>
      </w:r>
      <w:r>
        <w:t xml:space="preserve"> </w:t>
      </w:r>
      <w:r>
        <w:t xml:space="preserve">Также проводилась мысль, что блага мира предназначены</w:t>
      </w:r>
      <w:r>
        <w:t xml:space="preserve"> </w:t>
      </w:r>
      <w:r>
        <w:rPr>
          <w:i/>
          <w:iCs/>
        </w:rPr>
        <w:t xml:space="preserve">для всех людей</w:t>
      </w:r>
      <w:r>
        <w:t xml:space="preserve">.</w:t>
      </w:r>
      <w:r>
        <w:t xml:space="preserve"> </w:t>
      </w:r>
      <w:r>
        <w:t xml:space="preserve"> </w:t>
      </w:r>
      <w:r>
        <w:t xml:space="preserve">Эти идеи, высказанные мемфисскими жрецами в III тыс. до н.э., оказали большое влияние на древнееврейских мудрецов, став основой социальной и экономической этики иудаизма, а впоследствии также христианства и ислама.</w:t>
      </w:r>
      <w:r>
        <w:rPr>
          <w:rStyle w:val="FootnoteReference"/>
        </w:rPr>
        <w:footnoteReference w:id="32"/>
      </w:r>
    </w:p>
    <w:p>
      <w:pPr>
        <w:pStyle w:val="BodyText"/>
      </w:pPr>
      <w:r>
        <w:t xml:space="preserve">В «Книге Мертвых», которую можно рассматривать как своего рода итог развития египетской религиозной литературы, в эпоху Нового Царства появляются раздел «Венец оправдания» и так называемая «негативная исповедь», в которых отражались наиболее важные этические представления древних египтян. Весьма показательно, что в клятве, которую должен был произнести на посмертном суде египтянин, в частности, говорилось: «Я не поступал неправедно ни с кем: я не убивал людей, я не творил зла вместо справедливости. Я не притеснял бедного. Не оскорблял я слугу перед хозяином. Я не уменьшал меры зерна. Я не убавлял меры длины. Я не покушался на чужие поля. Я не утяжелял гири весов. Я не облегчал чаши весов. Я не уводил скот с его пастбищ». А также: «Я не воровал.., я не был жадным, …я не ростовщичествовал, …я не препирался ради моего имущества».</w:t>
      </w:r>
    </w:p>
    <w:p>
      <w:pPr>
        <w:pStyle w:val="BodyText"/>
      </w:pPr>
      <w:r>
        <w:t xml:space="preserve">Обратим особое внимание на следующие слова клятвы: «Я не делал различия между собой и другими. Я давал хлеб голодному, воду – жаждущему, одежду – нагому, ладью для переправы – не имеющему ее».</w:t>
      </w:r>
      <w:r>
        <w:rPr>
          <w:rStyle w:val="FootnoteReference"/>
        </w:rPr>
        <w:footnoteReference w:id="33"/>
      </w:r>
      <w:r>
        <w:t xml:space="preserve"> </w:t>
      </w:r>
      <w:r>
        <w:t xml:space="preserve">К нравственным заслугам этот тест относит и умеренность: «не велико было принадлежащее мне имущество», - должен был сказать на посмертном суде египтянин. К I в. до н.э. восхваление милосердия покойного становится постоянным лейтмотивом. Появляются сборники нравственных сентенций, в которых говорилось, что Бог сотворил бедного, чтобы выяснить, какое сердце у богатого. «Бог знает злодея, помышляющего злое. Он знает и праведного, в сердце которого величие Бога».</w:t>
      </w:r>
      <w:r>
        <w:rPr>
          <w:rStyle w:val="FootnoteReference"/>
        </w:rPr>
        <w:footnoteReference w:id="34"/>
      </w:r>
    </w:p>
    <w:p>
      <w:pPr>
        <w:pStyle w:val="BodyText"/>
      </w:pPr>
      <w:r>
        <w:t xml:space="preserve">Аналогичные идеи можной найти в иудаизме, христианстве и исламе, где посмертная участь определяется, в конечном счете, способностью сострадать и помогать нуждающимся, делиться с ними.</w:t>
      </w:r>
      <w:r>
        <w:rPr>
          <w:rStyle w:val="FootnoteReference"/>
        </w:rPr>
        <w:footnoteReference w:id="35"/>
      </w:r>
    </w:p>
    <w:p>
      <w:pPr>
        <w:pStyle w:val="BodyText"/>
      </w:pPr>
      <w:r>
        <w:t xml:space="preserve">Таким образом, многие нравственные принципы и постулаты, схожие в самых разных духовно-религиозных традициях, свидетельствуют о существовании неких универсальных основ человеческого бытия. Однако, «внешне тождественное не всегда является таковым на глубине, по скрытой своей сути, которая часто только и важна или даже единственно важна для человека. Также и различное по внешности нередко вводит в заблуждение, обнаруживая в особых условиях исходное свое тождество», - отмечал известный востоковед В. Н. Топоров.</w:t>
      </w:r>
      <w:r>
        <w:rPr>
          <w:rStyle w:val="FootnoteReference"/>
        </w:rPr>
        <w:footnoteReference w:id="36"/>
      </w:r>
      <w:r>
        <w:t xml:space="preserve"> </w:t>
      </w:r>
      <w:r>
        <w:t xml:space="preserve">Эти слова можно полностью отнести к социально-экономической этике различных религий. Их логика и обоснование этических принципов определяются вероучением и потому обладают неповторимой спецификой. И все же можно выделить два основных типа духовно-религиозных учений. Первый тип, к которому относятся, прежде всего, учения Индии и Китая, ощущает божественное как безличное космическое начало (Дао, Абсолют, Мировой Разум, Душа мира, Высшие энергетические структуры и т.д.). Второй тип, к которому относятся все монотеистические системы, воспринимает высшие силы как Божественную Личность, Которая услышит молитву и, возможно, окажет действенную помощь. Эта альтернатива, - как подчеркивал Й. Ратцингер, - «ни в коем случае не сводится только к теоретизированию – она начинается с анализа внутренней глубины вопроса о бытии и доходит до совершенно практического».</w:t>
      </w:r>
      <w:r>
        <w:rPr>
          <w:rStyle w:val="FootnoteReference"/>
        </w:rPr>
        <w:footnoteReference w:id="37"/>
      </w:r>
      <w:r>
        <w:t xml:space="preserve"> </w:t>
      </w:r>
      <w:r>
        <w:t xml:space="preserve">В том числе и до всего комплекса проблем, связанных с экономикой.</w:t>
      </w:r>
    </w:p>
    <w:p>
      <w:pPr>
        <w:pStyle w:val="BodyText"/>
      </w:pPr>
      <w:r>
        <w:rPr>
          <w:b/>
          <w:bCs/>
        </w:rPr>
        <w:t xml:space="preserve">Религии безличного Абсолюта</w:t>
      </w:r>
    </w:p>
    <w:p>
      <w:pPr>
        <w:pStyle w:val="BodyText"/>
      </w:pPr>
      <w:r>
        <w:t xml:space="preserve">Духовно-религиозные традиции Индии и Китая выводят нравственные императивы из разных источников. Прежде всего, из безличных космических законов, которым подчиняются не только люди, но также боги и духи. В ряде случаев, как это делали, например, индийские брахманы, – из человеческой природы, а также священных книг, созданных особенно мудрыми людьми, которые постигли законы Вселенной. Иногда – из простой целесообразности человеческого общежития, своего рода рационального консенсуса между людьми.</w:t>
      </w:r>
    </w:p>
    <w:p>
      <w:pPr>
        <w:pStyle w:val="BodyText"/>
      </w:pPr>
      <w:r>
        <w:t xml:space="preserve">Важно иметь ввиду, что многие из восточных учений, как, например, буддизм или конфуцианство, не являются религиями в полном смысле слова. Конфуций никогда ничего не говорил о богах и избегал разговоров о всем, что выходило за рамки собственно человеческого опыта. Так и учение Будды, по оценке многих исследователей, - не религия и даже не идеалистическая философия, а особого рода мировоззрение и психологическая практика, метод избавления от страданий.</w:t>
      </w:r>
    </w:p>
    <w:p>
      <w:pPr>
        <w:pStyle w:val="BodyText"/>
      </w:pPr>
      <w:r>
        <w:t xml:space="preserve">Но не только для буддизма, но и для большинства индийских учений характерно крайне «пессимистическое» отношение к земной жизни, в которой виделось преимущественно страдание. Поэтому главная цель многих из них заключалась в том, чтобы вырваться из круга перерождений и прекратить жить на земле. Естественно, что при таком подходе не возникло религиозно обоснованного стремления к преодолению бедности, которая к тому же связывалась с законом кармы. Это означало, что в прошлой жизни человек совершил ряд поступков, за которые расплачивается в этой жизни. Следовательно, он должен терпеливо сносить все беды и испытания, чтобы заслужить более благоприятное следующее рождение, может быть, в обеспеченной семье более высокой касты. Стремление радикально изменить свое социальное и имущественное положение представлялись «беспокойством» сознания, которое нужно преодолеть.</w:t>
      </w:r>
    </w:p>
    <w:p>
      <w:pPr>
        <w:pStyle w:val="BodyText"/>
      </w:pPr>
      <w:r>
        <w:t xml:space="preserve">Таким образом, учение о карме как высшем космическом законе служило обоснованием кастовой системы и связанными с ней представлениями о справедливости социального и имущественного неравенства. Наряду с этим важнейшую роль играло учение о дхарме - нравственном законе. Существовала общая дхарма, которой были обязаны следовать все люди, и индивидуальная, предназначенная для каждой касты, профессии, возраста и положения в обществе. Общая дхарма требовала самоотречения, терпения, честности, правдивости, а также воздержания от зла и насилия. Некоторые индийские учения, как, например, джайнизм, включали в нее и деятельную помощь: дать пищу голодному; воду – жаждущему; одежду – бедному; крова – странствующему.</w:t>
      </w:r>
    </w:p>
    <w:p>
      <w:pPr>
        <w:pStyle w:val="BodyText"/>
      </w:pPr>
      <w:r>
        <w:t xml:space="preserve">Отметим, что логика джайнизма оказалась парадоксальной. Так, главным в этом учении была аскеза и ахимса - непричинение вреда ничему живому. Поэтому джайнисты не могли пахать поле, боясь убить жучков и червячков, ни заниматься другими сельскохозяйственными делами. Оставалось только одно – торговля. Однако владеть собственностью они не имели права. В результате аскетический образ жизни, который они вели в соответствии со своим учением, в сочетании с хорошей репутацией в торговых делах, - честность входила в число их важнейших религиозных добродетелей, - приводили к тому, что они становились богатейшими людьми, хотя их богатство формально считалось собственностью общины.</w:t>
      </w:r>
    </w:p>
    <w:p>
      <w:pPr>
        <w:pStyle w:val="BodyText"/>
      </w:pPr>
      <w:r>
        <w:t xml:space="preserve">Учение Будды ставило вопросы о социальной этике и материальных благах в иной плоскости. Во-первых, потому, что, как отмечал Альберт Швейцер, жизне- и мироотрицание в буддизме уже не только «претендует на то, чтобы встать над этикой, но само делается этикой высшего типа».</w:t>
      </w:r>
      <w:r>
        <w:rPr>
          <w:rStyle w:val="FootnoteReference"/>
        </w:rPr>
        <w:footnoteReference w:id="38"/>
      </w:r>
      <w:r>
        <w:t xml:space="preserve"> </w:t>
      </w:r>
      <w:r>
        <w:t xml:space="preserve">Во-вторых, потому, что не знает ни Бога, ни свободы воли, выбирающей между добром и злом, ни бессмертия души, ни даже самой души. Особенное его возмущение вызывали идеи единобожия, иногда, хотя и крайне слабо, пробивавшиеся в индийской философской мысли. Более того, буддизм отрицал существование не только божественной, но и человеческой личности. По мнению Будды, в духовном мире, как и в материальном, все состоит из мельчайших элементов, которые каждое мгновение появляются и исчезают без следа, хотя и по закону «совместно-зависимого рождения». В результате можно говорить о человеческой личности лишь условно, на самом деле ее нет.</w:t>
      </w:r>
    </w:p>
    <w:p>
      <w:pPr>
        <w:pStyle w:val="BodyText"/>
      </w:pPr>
      <w:r>
        <w:t xml:space="preserve">Но при таком отрицании души и свободы личностиь, казалось бы, еще труднее построить нравственную систему, чем построить ее без Бога, - писал Ф. И. Щербатский в своем известном труде «Философское учение буддизма». Между тем, нравственное воздействие своего учения Будда считал задачей первостепенной важности. «Признание бытия души, существование личности, не только, по его мнению, не содействовало обоснованию нравственности, но являлось главным тому препятствием. В отрицании души он видел главную черту и превосходство своего учения над всеми другими. Там, где есть личность, есть и собственность, принадлежащая ей, где есть «я», там есть и «мое»; а где есть личная собственность, возникает и любовь к ней, в том или другом виде. Привязанность же к личной собственности есть корень всякого зла, корень как личного проступка, так и всякой социальной несправедливости».</w:t>
      </w:r>
      <w:r>
        <w:rPr>
          <w:rStyle w:val="FootnoteReference"/>
        </w:rPr>
        <w:footnoteReference w:id="39"/>
      </w:r>
    </w:p>
    <w:p>
      <w:pPr>
        <w:pStyle w:val="BodyText"/>
      </w:pPr>
      <w:r>
        <w:t xml:space="preserve">Опасаясь, что отрицание души может привести к нравственному безразличию и вседозволенности, Будда, обращаясь к обычным людям, проповедовал им, если можно так выразиться, общие человеческие ценности и общий набор добродетелей. Так, говоря о «восьмичленном пути» спасения, т.е. достижения нирваны, он указывал на правдивость, честность, доброе поведение, а также честные способы заработка. Но для истинных последователей Будды, монахов, отрекшихся от мирских благ, речь шла о том, что необходимо «познать и глубоко проникнуться идеей, что никакого «я» не существует, нет ничего «моего», нет «души», а существует только переменчивая, вечно играющая работа отдельных элементов – вот «истинное знание».</w:t>
      </w:r>
      <w:r>
        <w:t xml:space="preserve"> </w:t>
      </w:r>
      <w:r>
        <w:rPr>
          <w:rStyle w:val="FootnoteReference"/>
        </w:rPr>
        <w:footnoteReference w:id="40"/>
      </w:r>
    </w:p>
    <w:p>
      <w:pPr>
        <w:pStyle w:val="BodyText"/>
      </w:pPr>
      <w:r>
        <w:t xml:space="preserve">В отличие от индийской, китайской духовной традиции был присущ своего рода «оптимизм», положительное отношение к миру и жизни. Можно выделить три главные религиозно-философские концепции, в соответствии с которыми формировалась социальная этика и отношение к собственности в даосизме и конфуцианстве.</w:t>
      </w:r>
    </w:p>
    <w:p>
      <w:pPr>
        <w:pStyle w:val="BodyText"/>
      </w:pPr>
      <w:r>
        <w:rPr>
          <w:u w:val="single"/>
        </w:rPr>
        <w:t xml:space="preserve">Первая концепция</w:t>
      </w:r>
      <w:r>
        <w:t xml:space="preserve"> </w:t>
      </w:r>
      <w:r>
        <w:t xml:space="preserve">– о непрекращающейся трансформации мира, переходе от одного полюса бытия (инь) к другому (ян), их взаимосвязи и взаимодополнении, - стала основой представлений о зыбкости социально-экономического положения, приливу и отливу общего жизненного и материального благополучия. В этом контексте обладание собственностью не связывалось с чувством стабильности и воспринималось ситуативным, чему способствовали социально-политические реалии китайской жизни.</w:t>
      </w:r>
    </w:p>
    <w:p>
      <w:pPr>
        <w:pStyle w:val="BodyText"/>
      </w:pPr>
      <w:r>
        <w:rPr>
          <w:u w:val="single"/>
        </w:rPr>
        <w:t xml:space="preserve">Вторая концепция</w:t>
      </w:r>
      <w:r>
        <w:t xml:space="preserve"> </w:t>
      </w:r>
      <w:r>
        <w:t xml:space="preserve">связана с понятием Дао («Великого Пути», безличной Божественной реальности), а</w:t>
      </w:r>
      <w:r>
        <w:t xml:space="preserve"> </w:t>
      </w:r>
      <w:r>
        <w:rPr>
          <w:u w:val="single"/>
        </w:rPr>
        <w:t xml:space="preserve">третья</w:t>
      </w:r>
      <w:r>
        <w:t xml:space="preserve"> </w:t>
      </w:r>
      <w:r>
        <w:t xml:space="preserve">– со специфическим переживанием религиозной веры как доверия к Дао, которое беспристрастно и не вмешивается в дела людей, однако не безразлично к их нравственности.</w:t>
      </w:r>
      <w:r>
        <w:rPr>
          <w:rStyle w:val="FootnoteReference"/>
        </w:rPr>
        <w:footnoteReference w:id="41"/>
      </w:r>
      <w:r>
        <w:t xml:space="preserve"> </w:t>
      </w:r>
      <w:r>
        <w:t xml:space="preserve">Но к нему невозможно обратиться с мольбой, – оно безлично. Его невозможно и бесполезно возлюбить, а также нельзя постигнуть рассудком. Поэтому, как отмечает В.М. Крюков, – «Единственное приличествующее чувство – это «боязнь перед небесным авторитетом» (вэй тянь вэй)».</w:t>
      </w:r>
      <w:r>
        <w:rPr>
          <w:rStyle w:val="FootnoteReference"/>
        </w:rPr>
        <w:footnoteReference w:id="42"/>
      </w:r>
      <w:r>
        <w:t xml:space="preserve"> </w:t>
      </w:r>
      <w:r>
        <w:t xml:space="preserve">Эти общие концепции по-своему трактовались в даосизме, сконцентрированном на внутреннем мистическом пути, и конфуцианстве, который заботился прежде всего о нравственном воспитании через ритуализированные нормы внешнего поведения.</w:t>
      </w:r>
    </w:p>
    <w:p>
      <w:pPr>
        <w:pStyle w:val="BodyText"/>
      </w:pPr>
      <w:r>
        <w:t xml:space="preserve">В сакральных текстах дсосов («Дао де цзин», «Чжуан-цзы») собственность и богатство предстают преимущественно как испытания для достижения внутренней свободы, которая считалась необходимой для духовно-телесного здоровья, беспредельного долголетиия, а в перспективе - бессмертия. В итоге появилась схожая с христианской формула: мудрый «живет вместе с миром, но не принадлежит миру» и призыв довольствоваться необходимым. Характерна также идея о том, что богатство посылается Небом не для эгоистического пользования, а чтобы «вызволить из нищеты целую толпу».</w:t>
      </w:r>
    </w:p>
    <w:p>
      <w:pPr>
        <w:pStyle w:val="BodyText"/>
      </w:pPr>
      <w:r>
        <w:t xml:space="preserve">-----------------------9</w:t>
      </w:r>
    </w:p>
    <w:p>
      <w:pPr>
        <w:pStyle w:val="BodyText"/>
      </w:pPr>
      <w:r>
        <w:t xml:space="preserve">9</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p>
  </w:footnote>
  <w:footnote w:id="21">
    <w:p>
      <w:pPr>
        <w:pStyle w:val="FootnoteText"/>
      </w:pPr>
      <w:r>
        <w:rPr>
          <w:rStyle w:val="FootnoteReference"/>
        </w:rPr>
        <w:footnoteRef/>
      </w:r>
    </w:p>
  </w:footnote>
  <w:footnote w:id="22">
    <w:p>
      <w:pPr>
        <w:pStyle w:val="FootnoteText"/>
      </w:pPr>
      <w:r>
        <w:rPr>
          <w:rStyle w:val="FootnoteReference"/>
        </w:rPr>
        <w:footnoteRef/>
      </w:r>
    </w:p>
  </w:footnote>
  <w:footnote w:id="23">
    <w:p>
      <w:pPr>
        <w:pStyle w:val="FootnoteText"/>
      </w:pPr>
      <w:r>
        <w:rPr>
          <w:rStyle w:val="FootnoteReference"/>
        </w:rPr>
        <w:footnoteRef/>
      </w:r>
    </w:p>
  </w:footnote>
  <w:footnote w:id="24">
    <w:p>
      <w:pPr>
        <w:pStyle w:val="FootnoteText"/>
      </w:pPr>
      <w:r>
        <w:rPr>
          <w:rStyle w:val="FootnoteReference"/>
        </w:rPr>
        <w:footnoteRef/>
      </w:r>
    </w:p>
  </w:footnote>
  <w:footnote w:id="25">
    <w:p>
      <w:pPr>
        <w:pStyle w:val="FootnoteText"/>
      </w:pPr>
      <w:r>
        <w:rPr>
          <w:rStyle w:val="FootnoteReference"/>
        </w:rPr>
        <w:footnoteRef/>
      </w:r>
    </w:p>
  </w:footnote>
  <w:footnote w:id="26">
    <w:p>
      <w:pPr>
        <w:pStyle w:val="FootnoteText"/>
      </w:pPr>
      <w:r>
        <w:rPr>
          <w:rStyle w:val="FootnoteReference"/>
        </w:rPr>
        <w:footnoteRef/>
      </w:r>
    </w:p>
  </w:footnote>
  <w:footnote w:id="27">
    <w:p>
      <w:pPr>
        <w:pStyle w:val="FootnoteText"/>
      </w:pPr>
      <w:r>
        <w:rPr>
          <w:rStyle w:val="FootnoteReference"/>
        </w:rPr>
        <w:footnoteRef/>
      </w:r>
    </w:p>
  </w:footnote>
  <w:footnote w:id="28">
    <w:p>
      <w:pPr>
        <w:pStyle w:val="FootnoteText"/>
      </w:pPr>
      <w:r>
        <w:rPr>
          <w:rStyle w:val="FootnoteReference"/>
        </w:rPr>
        <w:footnoteRef/>
      </w:r>
    </w:p>
  </w:footnote>
  <w:footnote w:id="29">
    <w:p>
      <w:pPr>
        <w:pStyle w:val="FootnoteText"/>
      </w:pPr>
      <w:r>
        <w:rPr>
          <w:rStyle w:val="FootnoteReference"/>
        </w:rPr>
        <w:footnoteRef/>
      </w:r>
    </w:p>
  </w:footnote>
  <w:footnote w:id="30">
    <w:p>
      <w:pPr>
        <w:pStyle w:val="FootnoteText"/>
      </w:pPr>
      <w:r>
        <w:rPr>
          <w:rStyle w:val="FootnoteReference"/>
        </w:rPr>
        <w:footnoteRef/>
      </w:r>
    </w:p>
  </w:footnote>
  <w:footnote w:id="31">
    <w:p>
      <w:pPr>
        <w:pStyle w:val="FootnoteText"/>
      </w:pPr>
      <w:r>
        <w:rPr>
          <w:rStyle w:val="FootnoteReference"/>
        </w:rPr>
        <w:footnoteRef/>
      </w:r>
    </w:p>
  </w:footnote>
  <w:footnote w:id="32">
    <w:p>
      <w:pPr>
        <w:pStyle w:val="FootnoteText"/>
      </w:pPr>
      <w:r>
        <w:rPr>
          <w:rStyle w:val="FootnoteReference"/>
        </w:rPr>
        <w:footnoteRef/>
      </w:r>
    </w:p>
  </w:footnote>
  <w:footnote w:id="33">
    <w:p>
      <w:pPr>
        <w:pStyle w:val="FootnoteText"/>
      </w:pPr>
      <w:r>
        <w:rPr>
          <w:rStyle w:val="FootnoteReference"/>
        </w:rPr>
        <w:footnoteRef/>
      </w:r>
    </w:p>
  </w:footnote>
  <w:footnote w:id="34">
    <w:p>
      <w:pPr>
        <w:pStyle w:val="FootnoteText"/>
      </w:pPr>
      <w:r>
        <w:rPr>
          <w:rStyle w:val="FootnoteReference"/>
        </w:rPr>
        <w:footnoteRef/>
      </w:r>
    </w:p>
  </w:footnote>
  <w:footnote w:id="35">
    <w:p>
      <w:pPr>
        <w:pStyle w:val="FootnoteText"/>
      </w:pPr>
      <w:r>
        <w:rPr>
          <w:rStyle w:val="FootnoteReference"/>
        </w:rPr>
        <w:footnoteRef/>
      </w:r>
    </w:p>
  </w:footnote>
  <w:footnote w:id="36">
    <w:p>
      <w:pPr>
        <w:pStyle w:val="FootnoteText"/>
      </w:pPr>
      <w:r>
        <w:rPr>
          <w:rStyle w:val="FootnoteReference"/>
        </w:rPr>
        <w:footnoteRef/>
      </w:r>
    </w:p>
  </w:footnote>
  <w:footnote w:id="37">
    <w:p>
      <w:pPr>
        <w:pStyle w:val="FootnoteText"/>
      </w:pPr>
      <w:r>
        <w:rPr>
          <w:rStyle w:val="FootnoteReference"/>
        </w:rPr>
        <w:footnoteRef/>
      </w:r>
    </w:p>
  </w:footnote>
  <w:footnote w:id="38">
    <w:p>
      <w:pPr>
        <w:pStyle w:val="FootnoteText"/>
      </w:pPr>
      <w:r>
        <w:rPr>
          <w:rStyle w:val="FootnoteReference"/>
        </w:rPr>
        <w:footnoteRef/>
      </w:r>
    </w:p>
  </w:footnote>
  <w:footnote w:id="39">
    <w:p>
      <w:pPr>
        <w:pStyle w:val="FootnoteText"/>
      </w:pPr>
      <w:r>
        <w:rPr>
          <w:rStyle w:val="FootnoteReference"/>
        </w:rPr>
        <w:footnoteRef/>
      </w:r>
    </w:p>
  </w:footnote>
  <w:footnote w:id="40">
    <w:p>
      <w:pPr>
        <w:pStyle w:val="FootnoteText"/>
      </w:pPr>
      <w:r>
        <w:rPr>
          <w:rStyle w:val="FootnoteReference"/>
        </w:rPr>
        <w:footnoteRef/>
      </w:r>
    </w:p>
  </w:footnote>
  <w:footnote w:id="41">
    <w:p>
      <w:pPr>
        <w:pStyle w:val="FootnoteText"/>
      </w:pPr>
      <w:r>
        <w:rPr>
          <w:rStyle w:val="FootnoteReference"/>
        </w:rPr>
        <w:footnoteRef/>
      </w:r>
    </w:p>
  </w:footnote>
  <w:footnote w:id="42">
    <w:p>
      <w:pPr>
        <w:pStyle w:val="FootnoteText"/>
      </w:pPr>
      <w:r>
        <w:rPr>
          <w:rStyle w:val="FootnoteReference"/>
        </w:rPr>
        <w:footnoteRef/>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Ð¢</dc:title>
  <dc:creator>Iberoam</dc:creator>
  <cp:keywords/>
  <dcterms:created xsi:type="dcterms:W3CDTF">2026-03-21T13:04:52Z</dcterms:created>
  <dcterms:modified xsi:type="dcterms:W3CDTF">2026-03-21T13:04:52Z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2026-03-21</vt:lpwstr>
  </property>
</Properties>
</file>