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Title"/>
        <w:rPr/>
      </w:pPr>
      <w:r>
        <w:rPr>
          <w:sz w:val="40"/>
          <w:szCs w:val="40"/>
        </w:rPr>
        <w:t>ZESPÓŁ SZKÓŁ ŁĄCZNOŚCI</w:t>
      </w:r>
    </w:p>
    <w:p>
      <w:pPr>
        <w:pStyle w:val="Subtitle"/>
        <w:rPr>
          <w:sz w:val="40"/>
          <w:szCs w:val="40"/>
        </w:rPr>
      </w:pPr>
      <w:r>
        <w:rPr/>
        <w:t>Technikum nr 4</w:t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Title"/>
        <w:spacing w:lineRule="auto" w:line="276"/>
        <w:rPr>
          <w:sz w:val="32"/>
          <w:szCs w:val="32"/>
        </w:rPr>
      </w:pPr>
      <w:r>
        <w:rPr>
          <w:sz w:val="40"/>
          <w:szCs w:val="40"/>
        </w:rPr>
        <w:t>INDYWIDUALNY PLAN DYDAKTYCZNY</w:t>
      </w:r>
    </w:p>
    <w:p>
      <w:pPr>
        <w:pStyle w:val="BodyText"/>
        <w:rPr/>
      </w:pPr>
      <w:r>
        <w:rPr/>
      </w:r>
    </w:p>
    <w:p>
      <w:pPr>
        <w:pStyle w:val="Subtitle"/>
        <w:spacing w:lineRule="auto" w:line="276"/>
        <w:rPr/>
      </w:pPr>
      <w:r>
        <w:rPr/>
        <w:t>PODSTAWY TWORZENIA I TESTOWANIA APLIKACJI INTERNETOWYCH</w:t>
      </w:r>
    </w:p>
    <w:p>
      <w:pPr>
        <w:pStyle w:val="Subtitle"/>
        <w:spacing w:lineRule="auto" w:line="276"/>
        <w:rPr/>
      </w:pPr>
      <w:r>
        <w:rPr/>
      </w:r>
    </w:p>
    <w:p>
      <w:pPr>
        <w:pStyle w:val="Subtitle"/>
        <w:spacing w:lineRule="auto" w:line="276"/>
        <w:rPr/>
      </w:pPr>
      <w:r>
        <w:rPr/>
        <w:t xml:space="preserve">W ramach przedmiotu: </w:t>
      </w:r>
    </w:p>
    <w:p>
      <w:pPr>
        <w:pStyle w:val="BodyText"/>
        <w:rPr/>
      </w:pPr>
      <w:r>
        <w:rPr/>
      </w:r>
    </w:p>
    <w:p>
      <w:pPr>
        <w:pStyle w:val="Subtitle"/>
        <w:spacing w:lineRule="auto" w:line="276"/>
        <w:rPr/>
      </w:pPr>
      <w:r>
        <w:rPr/>
        <w:t>PRACOWNIA NOWOCZESNYCH TECHNOLOGII</w:t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Subtitle"/>
        <w:rPr/>
      </w:pPr>
      <w:r>
        <w:rPr/>
        <w:t xml:space="preserve">KLASA 4A, 4B, 4C </w:t>
      </w:r>
    </w:p>
    <w:p>
      <w:pPr>
        <w:pStyle w:val="Subtitle"/>
        <w:rPr/>
      </w:pPr>
      <w:r>
        <w:rPr/>
      </w:r>
    </w:p>
    <w:p>
      <w:pPr>
        <w:pStyle w:val="Subtitle"/>
        <w:rPr/>
      </w:pPr>
      <w:r>
        <w:rPr/>
        <w:t>ROK SZKOLNY 2025/2026</w:t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08"/>
          <w:tab w:val="left" w:pos="5529" w:leader="none"/>
        </w:tabs>
        <w:jc w:val="center"/>
        <w:rPr>
          <w:b/>
          <w:bCs/>
        </w:rPr>
      </w:pPr>
      <w:r>
        <w:rPr/>
        <w:t xml:space="preserve">Liczba godzin lekcyjnych: </w:t>
      </w:r>
      <w:r>
        <w:rPr>
          <w:b/>
        </w:rPr>
        <w:t>15 tygodni x 2 godzin = 30</w:t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ubtitle"/>
        <w:ind w:start="567"/>
        <w:rPr>
          <w:b w:val="false"/>
          <w:bCs w:val="false"/>
        </w:rPr>
      </w:pPr>
      <w:r>
        <w:rPr>
          <w:b w:val="false"/>
          <w:bCs w:val="false"/>
        </w:rPr>
        <w:t>Opracował: Sławomir Słowik</w:t>
      </w:r>
    </w:p>
    <w:p>
      <w:pPr>
        <w:pStyle w:val="Normal"/>
        <w:rPr/>
      </w:pPr>
      <w:r>
        <w:rPr/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10455" w:leader="dot"/>
            </w:tabs>
            <w:rPr>
              <w:rFonts w:ascii="Calibri" w:hAnsi="Calibri" w:eastAsia="" w:cs="" w:asciiTheme="minorAscii" w:cstheme="minorBidi" w:eastAsiaTheme="minorEastAsia" w:hAnsiTheme="minorAscii"/>
              <w:lang w:val="en-US" w:eastAsia="en-US"/>
            </w:rPr>
          </w:pPr>
          <w:r>
            <w:fldChar w:fldCharType="begin"/>
          </w:r>
          <w:r>
            <w:rPr>
              <w:rStyle w:val="czeindeksu"/>
              <w:webHidden/>
            </w:rPr>
            <w:instrText xml:space="preserve"> TOC \z \o "1-1" \u \h</w:instrText>
          </w:r>
          <w:r>
            <w:rPr>
              <w:rStyle w:val="czeindeksu"/>
              <w:webHidden/>
            </w:rPr>
            <w:fldChar w:fldCharType="separate"/>
          </w:r>
          <w:hyperlink w:anchor="_Toc21227027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_Toc2122702775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1. Cele dydaktyczne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455" w:leader="dot"/>
            </w:tabs>
            <w:rPr>
              <w:rFonts w:ascii="Calibri" w:hAnsi="Calibri" w:eastAsia="" w:cs="" w:asciiTheme="minorAscii" w:cstheme="minorBidi" w:eastAsiaTheme="minorEastAsia" w:hAnsiTheme="minorAscii"/>
              <w:lang w:val="en-US" w:eastAsia="en-US"/>
            </w:rPr>
          </w:pPr>
          <w:hyperlink w:anchor="_Toc13256326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_Toc1325632650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2. Cele wychowawcze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455" w:leader="dot"/>
            </w:tabs>
            <w:rPr>
              <w:rFonts w:ascii="Calibri" w:hAnsi="Calibri" w:eastAsia="" w:cs="" w:asciiTheme="minorAscii" w:cstheme="minorBidi" w:eastAsiaTheme="minorEastAsia" w:hAnsiTheme="minorAscii"/>
              <w:lang w:val="en-US" w:eastAsia="en-US"/>
            </w:rPr>
          </w:pPr>
          <w:hyperlink w:anchor="_Toc13475222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_Toc1347522282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3. Wymagania edukacyjne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455" w:leader="dot"/>
            </w:tabs>
            <w:rPr>
              <w:rFonts w:ascii="Calibri" w:hAnsi="Calibri" w:eastAsia="" w:cs="" w:asciiTheme="minorAscii" w:cstheme="minorBidi" w:eastAsiaTheme="minorEastAsia" w:hAnsiTheme="minorAscii"/>
              <w:lang w:val="en-US" w:eastAsia="en-US"/>
            </w:rPr>
          </w:pPr>
          <w:hyperlink w:anchor="_Toc13695945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_Toc1369594591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4. Środki dydaktyczne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455" w:leader="dot"/>
            </w:tabs>
            <w:rPr/>
          </w:pPr>
          <w:hyperlink w:anchor="_Toc6238802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_Toc623880227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5. Metody nauczania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455" w:leader="dot"/>
            </w:tabs>
            <w:rPr/>
          </w:pPr>
          <w:hyperlink w:anchor="_Toc3258457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_Toc325845790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webHidden/>
              </w:rPr>
              <w:t>6. Rozkład materiału nauczania</w:t>
              <w:tab/>
              <w:t>9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10456" w:leader="dot"/>
        </w:tabs>
        <w:rPr>
          <w:vanish w:val="false"/>
          <w:kern w:val="2"/>
          <w:lang w:val="en-US" w:eastAsia="en-US"/>
          <w14:ligatures w14:val="standardContextual"/>
        </w:rPr>
      </w:pPr>
      <w:r>
        <w:rPr>
          <w:vanish w:val="false"/>
          <w:kern w:val="2"/>
          <w:lang w:val="en-US" w:eastAsia="en-US"/>
          <w14:ligatures w14:val="standardContextu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81"/>
        </w:numPr>
        <w:tabs>
          <w:tab w:val="clear" w:pos="708"/>
          <w:tab w:val="left" w:pos="0" w:leader="none"/>
          <w:tab w:val="right" w:pos="10762" w:leader="dot"/>
        </w:tabs>
        <w:rPr>
          <w:rFonts w:ascii="Times New Roman" w:hAnsi="Times New Roman" w:cs="Times New Roman"/>
          <w:color w:val="E36C0A"/>
        </w:rPr>
      </w:pPr>
      <w:r>
        <w:rPr>
          <w:rFonts w:cs="Times New Roman" w:ascii="Times New Roman" w:hAnsi="Times New Roman"/>
          <w:color w:val="E36C0A"/>
        </w:rPr>
      </w:r>
    </w:p>
    <w:p>
      <w:pPr>
        <w:pStyle w:val="Heading1"/>
        <w:numPr>
          <w:ilvl w:val="0"/>
          <w:numId w:val="81"/>
        </w:numPr>
        <w:tabs>
          <w:tab w:val="clear" w:pos="708"/>
          <w:tab w:val="left" w:pos="0" w:leader="none"/>
          <w:tab w:val="right" w:pos="10762" w:leader="dot"/>
        </w:tabs>
        <w:rPr>
          <w:rFonts w:ascii="Times New Roman" w:hAnsi="Times New Roman" w:cs="Times New Roman"/>
          <w:color w:val="E36C0A"/>
        </w:rPr>
      </w:pPr>
      <w:r>
        <w:rPr>
          <w:rFonts w:cs="Times New Roman" w:ascii="Times New Roman" w:hAnsi="Times New Roman"/>
          <w:color w:val="E36C0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81"/>
        </w:numPr>
        <w:tabs>
          <w:tab w:val="clear" w:pos="708"/>
          <w:tab w:val="left" w:pos="0" w:leader="none"/>
          <w:tab w:val="right" w:pos="10762" w:leader="dot"/>
        </w:tabs>
        <w:rPr>
          <w:rFonts w:ascii="Times New Roman" w:hAnsi="Times New Roman" w:cs="Times New Roman"/>
          <w:color w:val="E36C0A"/>
        </w:rPr>
      </w:pPr>
      <w:bookmarkStart w:id="0" w:name="_Toc2122702775"/>
      <w:r>
        <w:rPr>
          <w:rFonts w:cs="Times New Roman" w:ascii="Times New Roman" w:hAnsi="Times New Roman"/>
          <w:color w:val="E36C0A"/>
        </w:rPr>
        <w:t>1. Cele dydaktyczne</w:t>
      </w:r>
      <w:bookmarkEnd w:id="0"/>
    </w:p>
    <w:p>
      <w:pPr>
        <w:pStyle w:val="Default"/>
        <w:rPr/>
      </w:pPr>
      <w:r>
        <w:rPr/>
      </w:r>
    </w:p>
    <w:p>
      <w:pPr>
        <w:pStyle w:val="Default"/>
        <w:spacing w:before="0" w:after="200"/>
        <w:ind w:firstLine="708"/>
        <w:rPr/>
      </w:pPr>
      <w:r>
        <w:rPr/>
        <w:t>Celem przedmiotu jest przekazanie uczniowi wiedzy i umiejętności związanych z tworzeniem aplikacji webowych (internetowych) z wykorzystaniem frameworka Django oraz pomoc w rozwoju naturalnych zdolności ucznia.W wyniku procesu nauczania uczeń:</w:t>
      </w:r>
    </w:p>
    <w:p>
      <w:pPr>
        <w:pStyle w:val="Default"/>
        <w:spacing w:before="0" w:after="200"/>
        <w:ind w:firstLine="708"/>
        <w:rPr/>
      </w:pPr>
      <w:r>
        <w:rPr/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Dobiera narzędzia i środowisko programistyczne do tworzenia aplikacji webowych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Konfiguruje i wykorzystuje system kontroli wersji GIT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Wykorzystuje framework Django do tworzenia aplikacji webowych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Projektuje i tworzy modele danych oraz wykonuje migracje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Tworzy widoki i szablony HTML w oparciu o architekturę MVT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Obsługuje formularze i przetwarza dane przesłane przez użytkownika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Stosuje kaskadowe arkusze stylów CSS oraz bibliotekę Bootstrap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Wdraża aplikację na zewnętrzny serwer (hosting)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Identyfikuje i poprawia błędy w tworzonych programach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Wykonuje podstawowe testy tworzonej aplikacji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6" w:beforeAutospacing="0" w:before="0" w:afterAutospacing="0" w:after="0"/>
        <w:ind w:hanging="360" w:start="720" w:end="0"/>
        <w:contextualSpacing/>
        <w:jc w:val="start"/>
        <w:rPr>
          <w:sz w:val="24"/>
          <w:szCs w:val="24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720" w:right="720" w:gutter="0" w:header="709" w:top="766" w:footer="0" w:bottom="720"/>
          <w:pgNumType w:start="1" w:fmt="decimal"/>
          <w:formProt w:val="false"/>
          <w:titlePg/>
          <w:textDirection w:val="lrTb"/>
          <w:docGrid w:type="default" w:linePitch="600" w:charSpace="32768"/>
        </w:sectPr>
      </w:pPr>
      <w:r>
        <w:rPr>
          <w:sz w:val="24"/>
          <w:szCs w:val="24"/>
        </w:rPr>
        <w:t>Wykorzystuje narzędzia AI wspomagające tworzenie aplikacji</w:t>
      </w:r>
    </w:p>
    <w:p>
      <w:pPr>
        <w:pStyle w:val="Heading1"/>
        <w:numPr>
          <w:ilvl w:val="0"/>
          <w:numId w:val="0"/>
        </w:numPr>
        <w:tabs>
          <w:tab w:val="clear" w:pos="708"/>
          <w:tab w:val="left" w:pos="0" w:leader="none"/>
          <w:tab w:val="right" w:pos="10762" w:leader="dot"/>
        </w:tabs>
        <w:spacing w:before="0" w:after="0"/>
        <w:ind w:hanging="0" w:start="0"/>
        <w:rPr>
          <w:sz w:val="20"/>
          <w:szCs w:val="20"/>
        </w:rPr>
      </w:pPr>
      <w:bookmarkStart w:id="1" w:name="_Toc1325632650"/>
      <w:r>
        <w:rPr>
          <w:rFonts w:cs="Times New Roman" w:ascii="Times New Roman" w:hAnsi="Times New Roman"/>
          <w:color w:val="E36C0A"/>
        </w:rPr>
        <w:t>2. Cele wychowawcze</w:t>
      </w:r>
      <w:bookmarkEnd w:id="1"/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er"/>
        <w:tabs>
          <w:tab w:val="clear" w:pos="4536"/>
          <w:tab w:val="clear" w:pos="9072"/>
        </w:tabs>
        <w:spacing w:lineRule="auto" w:line="276" w:before="0" w:after="0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W procesie wychowawczym należy zwrócić szczególną uwagę na aspekty prawne i etyczne związane z korzystaniem z legalnego oprogramowania.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/>
        <w:br/>
      </w:r>
      <w:r>
        <w:rPr>
          <w:sz w:val="24"/>
          <w:szCs w:val="24"/>
        </w:rPr>
        <w:t>Ponadto należy kształtować takie cechy jak: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360" w:leader="none"/>
        </w:tabs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rozumienie celowości samokształcenia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360" w:leader="none"/>
        </w:tabs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umiejętność kontrolowania i oceny swojej pracy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60" w:leader="none"/>
        </w:tabs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obowiązkowość i systematyczność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60" w:leader="none"/>
        </w:tabs>
        <w:spacing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dokładność i odpowiedzialność za wykonywaną pracę</w:t>
      </w:r>
    </w:p>
    <w:p>
      <w:pPr>
        <w:pStyle w:val="Normal"/>
        <w:tabs>
          <w:tab w:val="clear" w:pos="708"/>
          <w:tab w:val="left" w:pos="360" w:leader="none"/>
        </w:tabs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jc w:val="both"/>
        <w:rPr>
          <w:sz w:val="24"/>
          <w:szCs w:val="24"/>
        </w:r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720" w:right="720" w:gutter="0" w:header="709" w:top="766" w:footer="709" w:bottom="766"/>
          <w:pgNumType w:fmt="decimal"/>
          <w:formProt w:val="false"/>
          <w:textDirection w:val="lrTb"/>
          <w:docGrid w:type="default" w:linePitch="600" w:charSpace="32768"/>
        </w:sectPr>
      </w:pPr>
      <w:r>
        <w:rPr>
          <w:sz w:val="24"/>
          <w:szCs w:val="24"/>
        </w:rPr>
        <w:t>Założone cele dydaktyczne i wychowawcze wynikają z przyjętej w ZSŁ polityki jakości</w:t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E36C0A"/>
        </w:rPr>
      </w:pPr>
      <w:bookmarkStart w:id="2" w:name="__RefHeading___Toc366073085"/>
      <w:bookmarkStart w:id="3" w:name="_Toc1347522282"/>
      <w:bookmarkEnd w:id="2"/>
      <w:r>
        <w:rPr>
          <w:rFonts w:cs="Times New Roman" w:ascii="Times New Roman" w:hAnsi="Times New Roman"/>
          <w:color w:val="E36C0A"/>
        </w:rPr>
        <w:t>3. Wymagania edukacyjne</w:t>
      </w:r>
      <w:bookmarkEnd w:id="3"/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Klasa 4</w:t>
      </w:r>
    </w:p>
    <w:p>
      <w:pPr>
        <w:pStyle w:val="ListParagraph"/>
        <w:numPr>
          <w:ilvl w:val="0"/>
          <w:numId w:val="80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>I.        Zasady ogólne:</w:t>
      </w:r>
    </w:p>
    <w:p>
      <w:pPr>
        <w:pStyle w:val="ListParagraph"/>
        <w:numPr>
          <w:ilvl w:val="0"/>
          <w:numId w:val="80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79"/>
        </w:numPr>
        <w:spacing w:lineRule="auto" w:line="240"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</w:rPr>
        <w:t>1. W ocenianiu bieżącym, klasyfikacyjnym śródrocznym i rocznym stosuje się ogólne kryteria oceniania zawarte w statucie szkoły.</w:t>
      </w:r>
    </w:p>
    <w:p>
      <w:pPr>
        <w:pStyle w:val="NoSpacing"/>
        <w:numPr>
          <w:ilvl w:val="0"/>
          <w:numId w:val="78"/>
        </w:numPr>
        <w:spacing w:lineRule="auto" w:line="276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>2. Progi procentowe na potrzeby wystawiania ocen cząstkowych określa statut szkoły.</w:t>
      </w:r>
    </w:p>
    <w:p>
      <w:pPr>
        <w:pStyle w:val="ListParagraph"/>
        <w:numPr>
          <w:ilvl w:val="0"/>
          <w:numId w:val="77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3.  Uczeń jest zobowiązany do: </w:t>
      </w:r>
    </w:p>
    <w:p>
      <w:pPr>
        <w:pStyle w:val="ListParagraph"/>
        <w:numPr>
          <w:ilvl w:val="0"/>
          <w:numId w:val="76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przystąpienia do wszystkich, zapowiedzianych na pierwszych zajęciach obowiązkowych form sprawdzenia wiedzy i umiejętności:  sprawdzianów i prac klasowych</w:t>
      </w:r>
    </w:p>
    <w:p>
      <w:pPr>
        <w:pStyle w:val="ListParagraph"/>
        <w:numPr>
          <w:ilvl w:val="0"/>
          <w:numId w:val="75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- przystąpienia do poprawy ocen niedostatecznych uzyskanych z  obowiązkowych form sprawdzenia wiedzy i umiejętności w terminie </w:t>
      </w:r>
      <w:r>
        <w:rPr>
          <w:rFonts w:eastAsia="Times New Roman"/>
          <w:b/>
          <w:bCs/>
          <w:i/>
          <w:iCs/>
          <w:color w:themeColor="text1" w:val="000000"/>
          <w:sz w:val="22"/>
          <w:szCs w:val="22"/>
        </w:rPr>
        <w:t>dwóch tygodni od dnia otrzymania oceny.</w:t>
      </w:r>
    </w:p>
    <w:p>
      <w:pPr>
        <w:pStyle w:val="ListParagraph"/>
        <w:numPr>
          <w:ilvl w:val="0"/>
          <w:numId w:val="74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i/>
          <w:iCs/>
          <w:color w:themeColor="text1" w:val="000000"/>
          <w:sz w:val="22"/>
          <w:szCs w:val="22"/>
        </w:rPr>
        <w:t>-</w:t>
      </w:r>
      <w:r>
        <w:rPr>
          <w:rFonts w:eastAsia="Times New Roman"/>
          <w:color w:themeColor="text1" w:val="000000"/>
          <w:sz w:val="22"/>
          <w:szCs w:val="22"/>
        </w:rPr>
        <w:t xml:space="preserve">- systematycznej pracy i przygotowania na lekcję </w:t>
      </w:r>
    </w:p>
    <w:p>
      <w:pPr>
        <w:pStyle w:val="ListParagraph"/>
        <w:numPr>
          <w:ilvl w:val="0"/>
          <w:numId w:val="73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NoSpacing"/>
        <w:numPr>
          <w:ilvl w:val="0"/>
          <w:numId w:val="72"/>
        </w:numPr>
        <w:spacing w:lineRule="auto" w:line="276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>2. Uczeń ma prawo do:</w:t>
      </w:r>
    </w:p>
    <w:p>
      <w:pPr>
        <w:pStyle w:val="NoSpacing"/>
        <w:numPr>
          <w:ilvl w:val="0"/>
          <w:numId w:val="71"/>
        </w:numPr>
        <w:spacing w:lineRule="auto" w:line="276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>- uzyskania pomocy nauczyciela w nadrobieniu zaległości wynikających z długotrwałej nieobecności w szkole. Termin  nadrobienia zaległości</w:t>
      </w:r>
    </w:p>
    <w:p>
      <w:pPr>
        <w:pStyle w:val="NoSpacing"/>
        <w:numPr>
          <w:ilvl w:val="0"/>
          <w:numId w:val="70"/>
        </w:numPr>
        <w:spacing w:lineRule="auto" w:line="276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 xml:space="preserve">   </w:t>
      </w:r>
      <w:r>
        <w:rPr>
          <w:color w:themeColor="text1" w:val="000000"/>
          <w:sz w:val="22"/>
          <w:szCs w:val="22"/>
        </w:rPr>
        <w:t xml:space="preserve">podlega indywidualnym ustaleniom (adekwatnym do długości i przyczyny nieobecności). </w:t>
      </w:r>
    </w:p>
    <w:p>
      <w:pPr>
        <w:pStyle w:val="NoSpacing"/>
        <w:numPr>
          <w:ilvl w:val="0"/>
          <w:numId w:val="69"/>
        </w:numPr>
        <w:spacing w:lineRule="auto" w:line="276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  <w:t>-  poprawy oceny w sposób określony w statucie.</w:t>
      </w:r>
    </w:p>
    <w:p>
      <w:pPr>
        <w:pStyle w:val="ListParagraph"/>
        <w:numPr>
          <w:ilvl w:val="0"/>
          <w:numId w:val="68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67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>II.</w:t>
      </w:r>
      <w:r>
        <w:rPr/>
        <w:tab/>
      </w:r>
      <w:r>
        <w:rPr>
          <w:rFonts w:eastAsia="Times New Roman"/>
          <w:b/>
          <w:bCs/>
          <w:color w:themeColor="text1" w:val="000000"/>
          <w:sz w:val="22"/>
          <w:szCs w:val="22"/>
        </w:rPr>
        <w:t>Sposoby sprawdzania osiągnięć edukacyjnych</w:t>
      </w:r>
    </w:p>
    <w:p>
      <w:pPr>
        <w:pStyle w:val="ListParagraph"/>
        <w:numPr>
          <w:ilvl w:val="0"/>
          <w:numId w:val="66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1. Do sprawdzania wiedzy, umiejętności i postępów edukacyjnych ucznia stosuje się takie narzędzia jak: </w:t>
      </w:r>
    </w:p>
    <w:tbl>
      <w:tblPr>
        <w:tblW w:w="104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2124"/>
        <w:gridCol w:w="750"/>
        <w:gridCol w:w="7581"/>
      </w:tblGrid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kategoria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sz w:val="22"/>
                <w:szCs w:val="22"/>
              </w:rPr>
              <w:t>waga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themeColor="text1" w:val="000000"/>
                <w:sz w:val="22"/>
                <w:szCs w:val="22"/>
              </w:rPr>
              <w:t>definicja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Projekt (PR)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aplikacja webowa wykonana w toku zajęć lekcyjnych i pracy własnej ucznia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Praca klasowa (PK)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w tym: zajęcia kontrolne; co najmniej jednogodzinna forma sprawdzania wiadomości i umiejętności z danego działu obejmującego obszerny materiał dydaktyczny zapowiedziana z dwutygodniowym wyprzedzeniem;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Sprawdzian (S)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forma sprawdzania wiadomości i umiejętności obejmująca wąski zakres materiału, zapowiedziana z co najmniej tygodniowym wyprzedzeniem;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Kartkówka (K)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niezapowiedziana forma sprawdzania wiadomości i umiejętności obejmująca nie więcej niż trzy jednostki lekcyjne, będąca odpowiednikiem odpowiedzi ustnej;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themeColor="text1" w:val="000000"/>
                <w:sz w:val="22"/>
                <w:szCs w:val="22"/>
              </w:rPr>
              <w:t>Praca na lekcji (PL)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praca w czasie lekcji - indywidualna lub grupowa - z wykorzystaniem pomocniczych narzędzi (technik, źródeł itp.), dowodząca zaangażowania ucznia</w:t>
            </w:r>
          </w:p>
        </w:tc>
      </w:tr>
      <w:tr>
        <w:trPr>
          <w:trHeight w:val="300" w:hRule="atLeast"/>
        </w:trPr>
        <w:tc>
          <w:tcPr>
            <w:tcW w:w="21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i/>
                <w:iCs/>
                <w:color w:themeColor="text1" w:val="000000"/>
                <w:sz w:val="22"/>
                <w:szCs w:val="22"/>
              </w:rPr>
              <w:t>Praca domowa (PD)</w:t>
            </w:r>
          </w:p>
        </w:tc>
        <w:tc>
          <w:tcPr>
            <w:tcW w:w="7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7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 w:before="0" w:after="0"/>
              <w:ind w:end="-18"/>
              <w:rPr>
                <w:rFonts w:eastAsia="Times New Roman"/>
                <w:color w:themeColor="text1" w:val="000000"/>
                <w:sz w:val="22"/>
                <w:szCs w:val="22"/>
              </w:rPr>
            </w:pPr>
            <w:r>
              <w:rPr>
                <w:rFonts w:eastAsia="Times New Roman"/>
                <w:color w:themeColor="text1" w:val="000000"/>
                <w:sz w:val="22"/>
                <w:szCs w:val="22"/>
              </w:rPr>
              <w:t>zadania wykonywane przez ucznia poza lekcją.</w:t>
            </w:r>
          </w:p>
        </w:tc>
      </w:tr>
    </w:tbl>
    <w:p>
      <w:pPr>
        <w:pStyle w:val="ListParagraph"/>
        <w:numPr>
          <w:ilvl w:val="0"/>
          <w:numId w:val="65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64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2. Stosuje się także dodatkowe oznaczenia o funkcji informacyjnej dla ucznia i jego rodzica/opiekuna:  </w:t>
      </w:r>
      <w:r>
        <w:rPr>
          <w:rFonts w:eastAsia="Times New Roman"/>
          <w:b/>
          <w:bCs/>
          <w:color w:themeColor="text1" w:val="000000"/>
          <w:sz w:val="22"/>
          <w:szCs w:val="22"/>
        </w:rPr>
        <w:t>(zapis opcjonalny)</w:t>
      </w:r>
    </w:p>
    <w:p>
      <w:pPr>
        <w:pStyle w:val="ListParagraph"/>
        <w:numPr>
          <w:ilvl w:val="0"/>
          <w:numId w:val="63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„</w:t>
      </w:r>
      <w:r>
        <w:rPr>
          <w:rFonts w:eastAsia="Times New Roman"/>
          <w:color w:themeColor="text1" w:val="000000"/>
          <w:sz w:val="22"/>
          <w:szCs w:val="22"/>
        </w:rPr>
        <w:t xml:space="preserve">nb” - nieobecności ucznia </w:t>
      </w:r>
    </w:p>
    <w:p>
      <w:pPr>
        <w:pStyle w:val="ListParagraph"/>
        <w:numPr>
          <w:ilvl w:val="0"/>
          <w:numId w:val="62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„</w:t>
      </w:r>
      <w:r>
        <w:rPr>
          <w:rFonts w:eastAsia="Times New Roman"/>
          <w:color w:themeColor="text1" w:val="000000"/>
          <w:sz w:val="22"/>
          <w:szCs w:val="22"/>
        </w:rPr>
        <w:t>nz” – niezaliczona poprawa</w:t>
      </w:r>
    </w:p>
    <w:p>
      <w:pPr>
        <w:pStyle w:val="ListParagraph"/>
        <w:numPr>
          <w:ilvl w:val="0"/>
          <w:numId w:val="61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(…) – ocena poprawiona</w:t>
      </w:r>
    </w:p>
    <w:p>
      <w:pPr>
        <w:pStyle w:val="ListParagraph"/>
        <w:numPr>
          <w:ilvl w:val="0"/>
          <w:numId w:val="60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+/-   - oznaczenie wyniku za wykonanie pojedynczego elementu zadania</w:t>
      </w:r>
    </w:p>
    <w:p>
      <w:pPr>
        <w:pStyle w:val="ListParagraph"/>
        <w:numPr>
          <w:ilvl w:val="0"/>
          <w:numId w:val="59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58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 xml:space="preserve">3. Oceny za pośredni etap pracy </w:t>
      </w:r>
    </w:p>
    <w:p>
      <w:pPr>
        <w:pStyle w:val="ListParagraph"/>
        <w:numPr>
          <w:ilvl w:val="0"/>
          <w:numId w:val="57"/>
        </w:numPr>
        <w:spacing w:before="0" w:after="0"/>
        <w:contextualSpacing/>
        <w:rPr>
          <w:rFonts w:eastAsia="Times New Roman"/>
          <w:color w:themeColor="text1" w:val="000000"/>
          <w:sz w:val="20"/>
          <w:szCs w:val="20"/>
        </w:rPr>
      </w:pPr>
      <w:r>
        <w:rPr>
          <w:rFonts w:eastAsia="Times New Roman"/>
          <w:color w:themeColor="text1" w:val="000000"/>
          <w:sz w:val="20"/>
          <w:szCs w:val="20"/>
        </w:rPr>
        <w:t>Poza ocenami stosowane są również „plusy”, oraz „minusy” za podjęcie lub niepodjęcie działań obowiązkowych poleconych przez nauczyciela i rezultat pośredni wykonywanego zadania  (pięć „plusów” stanowią ocenę celującą, zaś  pięć „minusów”</w:t>
      </w:r>
      <w:r>
        <w:rPr>
          <w:rFonts w:eastAsia="Times New Roman"/>
          <w:color w:val="FF0000"/>
          <w:sz w:val="20"/>
          <w:szCs w:val="20"/>
        </w:rPr>
        <w:t xml:space="preserve"> </w:t>
      </w:r>
      <w:r>
        <w:rPr>
          <w:rFonts w:eastAsia="Times New Roman"/>
          <w:color w:themeColor="text1" w:val="000000"/>
          <w:sz w:val="20"/>
          <w:szCs w:val="20"/>
        </w:rPr>
        <w:t>ocenę niedostateczną)”.</w:t>
      </w:r>
    </w:p>
    <w:p>
      <w:pPr>
        <w:pStyle w:val="ListParagraph"/>
        <w:numPr>
          <w:ilvl w:val="0"/>
          <w:numId w:val="56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55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4. Aktywność i przygotowanie ucznia do zajęć ocenia się w kategoriach zachowania, zgodnie ze szkolnymi zasadami oceniania zachowania.</w:t>
      </w:r>
    </w:p>
    <w:p>
      <w:pPr>
        <w:pStyle w:val="ListParagraph"/>
        <w:numPr>
          <w:ilvl w:val="0"/>
          <w:numId w:val="54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53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5. Przy wystawieniu śródrocznej i rocznej oceny klasyfikacyjnej nauczyciel, poza średnią ważoną ocen bierze pod uwagę także:</w:t>
      </w:r>
    </w:p>
    <w:p>
      <w:pPr>
        <w:pStyle w:val="ListParagraph"/>
        <w:numPr>
          <w:ilvl w:val="0"/>
          <w:numId w:val="52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sukcesy ucznia w konkursach i olimpiadach przedmiotowych i technicznych</w:t>
      </w:r>
    </w:p>
    <w:p>
      <w:pPr>
        <w:pStyle w:val="ListParagraph"/>
        <w:numPr>
          <w:ilvl w:val="0"/>
          <w:numId w:val="51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wykonywanie dodatkowych zadań wskazanych przez nauczyciela</w:t>
      </w:r>
    </w:p>
    <w:p>
      <w:pPr>
        <w:pStyle w:val="ListParagraph"/>
        <w:numPr>
          <w:ilvl w:val="0"/>
          <w:numId w:val="50"/>
        </w:numPr>
        <w:tabs>
          <w:tab w:val="clear" w:pos="708"/>
          <w:tab w:val="left" w:pos="220" w:leader="none"/>
        </w:tabs>
        <w:spacing w:before="0" w:after="0"/>
        <w:ind w:hanging="360" w:start="720" w:end="-18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szczególną sytuację ucznia</w:t>
      </w:r>
    </w:p>
    <w:p>
      <w:pPr>
        <w:pStyle w:val="ListParagraph"/>
        <w:numPr>
          <w:ilvl w:val="0"/>
          <w:numId w:val="49"/>
        </w:numPr>
        <w:rPr>
          <w:rFonts w:eastAsia="Times New Roman"/>
          <w:color w:val="FF0000"/>
          <w:sz w:val="22"/>
          <w:szCs w:val="22"/>
        </w:rPr>
      </w:pPr>
      <w:r>
        <w:rPr>
          <w:rFonts w:eastAsia="Times New Roman"/>
          <w:color w:val="FF0000"/>
          <w:sz w:val="22"/>
          <w:szCs w:val="22"/>
        </w:rPr>
      </w:r>
    </w:p>
    <w:p>
      <w:pPr>
        <w:pStyle w:val="ListParagraph"/>
        <w:numPr>
          <w:ilvl w:val="0"/>
          <w:numId w:val="48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>III.  Zakres wymagań edukacyjnych na poszczególne śródroczne i roczne oceny klasyfikacyjne:</w:t>
      </w:r>
    </w:p>
    <w:p>
      <w:pPr>
        <w:pStyle w:val="ListParagraph"/>
        <w:numPr>
          <w:ilvl w:val="0"/>
          <w:numId w:val="47"/>
        </w:numPr>
        <w:spacing w:lineRule="auto" w:line="240" w:before="0" w:after="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  <w:u w:val="single"/>
        </w:rPr>
        <w:t xml:space="preserve">Ocenę celującą otrzymuje uczeń który </w:t>
      </w:r>
    </w:p>
    <w:p>
      <w:pPr>
        <w:pStyle w:val="ListParagraph"/>
        <w:numPr>
          <w:ilvl w:val="0"/>
          <w:numId w:val="46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 xml:space="preserve">- </w:t>
      </w:r>
      <w:r>
        <w:rPr>
          <w:rFonts w:eastAsia="Times New Roman"/>
          <w:color w:themeColor="text1" w:val="000000"/>
          <w:sz w:val="22"/>
          <w:szCs w:val="22"/>
        </w:rPr>
        <w:t>opanował wymagania wskazane w podstawie programowej na poziomie 95 % lub wyższym.</w:t>
      </w:r>
    </w:p>
    <w:p>
      <w:pPr>
        <w:pStyle w:val="ListParagraph"/>
        <w:numPr>
          <w:ilvl w:val="0"/>
          <w:numId w:val="45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- posługuje się wiedzą i umiejętnościami z zakresu podstawy programowej, standardów egzaminacyjnych, efektów kształcenia na poziomie powyżej 95% </w:t>
      </w:r>
    </w:p>
    <w:p>
      <w:pPr>
        <w:pStyle w:val="ListParagraph"/>
        <w:numPr>
          <w:ilvl w:val="0"/>
          <w:numId w:val="44"/>
        </w:numPr>
        <w:spacing w:lineRule="auto" w:line="240" w:before="0" w:after="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lub opanował wymagania </w:t>
      </w:r>
      <w:r>
        <w:rPr>
          <w:rFonts w:eastAsia="Times New Roman"/>
          <w:b/>
          <w:bCs/>
          <w:color w:themeColor="text1" w:val="000000"/>
          <w:sz w:val="22"/>
          <w:szCs w:val="22"/>
        </w:rPr>
        <w:t>na niższym poziomie niż ocena celująca, ale uzyskał tytuł laureata</w:t>
      </w:r>
      <w:r>
        <w:rPr>
          <w:rFonts w:eastAsia="Times New Roman"/>
          <w:color w:themeColor="text1" w:val="000000"/>
          <w:sz w:val="22"/>
          <w:szCs w:val="22"/>
        </w:rPr>
        <w:t xml:space="preserve"> albo finalisty konkursu przedmiotowego o zasięgu co najmniej  wojewódzkim;</w:t>
      </w:r>
    </w:p>
    <w:p>
      <w:pPr>
        <w:pStyle w:val="ListParagraph"/>
        <w:numPr>
          <w:ilvl w:val="0"/>
          <w:numId w:val="43"/>
        </w:numPr>
        <w:spacing w:lineRule="auto" w:line="240" w:before="0" w:after="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42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  <w:u w:val="single"/>
        </w:rPr>
        <w:t>Ocenę bardzo dobrą otrzymuje uczeń, który:</w:t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 xml:space="preserve">  </w:t>
      </w:r>
    </w:p>
    <w:p>
      <w:pPr>
        <w:pStyle w:val="ListParagraph"/>
        <w:numPr>
          <w:ilvl w:val="0"/>
          <w:numId w:val="41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posługuje się wiedzą i umiejętnościami z zakresu podstawy programowych, standardów egzaminacyjnych, efektów kształcenia na poziomie powyżej 85-94%</w:t>
      </w:r>
    </w:p>
    <w:p>
      <w:pPr>
        <w:pStyle w:val="ListParagraph"/>
        <w:numPr>
          <w:ilvl w:val="0"/>
          <w:numId w:val="40"/>
        </w:numPr>
        <w:rPr>
          <w:rFonts w:eastAsia="Times New Roman"/>
          <w:color w:themeColor="text1" w:val="000000"/>
          <w:sz w:val="22"/>
          <w:szCs w:val="22"/>
        </w:rPr>
      </w:pP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  <w:u w:val="single"/>
        </w:rPr>
        <w:t xml:space="preserve">Ocenę dobrą otrzymuje uczeń, który: </w:t>
      </w:r>
    </w:p>
    <w:p>
      <w:pPr>
        <w:pStyle w:val="ListParagraph"/>
        <w:numPr>
          <w:ilvl w:val="0"/>
          <w:numId w:val="39"/>
        </w:numPr>
        <w:spacing w:lineRule="auto" w:line="240" w:before="0" w:after="12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posługuje się wiedzą i umiejętnościami z zakresu podstawy programowych, standardów egzaminacyjnych, efektów kształcenia na poziomie 70-84%</w:t>
      </w:r>
    </w:p>
    <w:p>
      <w:pPr>
        <w:pStyle w:val="ListParagraph"/>
        <w:numPr>
          <w:ilvl w:val="0"/>
          <w:numId w:val="38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37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  <w:u w:val="single"/>
        </w:rPr>
        <w:t>Ocenę dostateczną otrzymuje uczeń, który</w:t>
      </w:r>
    </w:p>
    <w:p>
      <w:pPr>
        <w:pStyle w:val="ListParagraph"/>
        <w:numPr>
          <w:ilvl w:val="0"/>
          <w:numId w:val="36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posługuje się wiedzą i umiejętnościami z zakresu podstawy programowych, standardów egzaminacyjnych, efektów kształcenia na poziomie 60-69%</w:t>
      </w:r>
    </w:p>
    <w:p>
      <w:pPr>
        <w:pStyle w:val="ListParagraph"/>
        <w:numPr>
          <w:ilvl w:val="0"/>
          <w:numId w:val="35"/>
        </w:numPr>
        <w:rPr>
          <w:rFonts w:eastAsia="Times New Roman"/>
          <w:color w:themeColor="text1" w:val="000000"/>
          <w:sz w:val="22"/>
          <w:szCs w:val="22"/>
        </w:rPr>
      </w:pP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  <w:u w:val="single"/>
        </w:rPr>
        <w:t xml:space="preserve">Ocenę dopuszczającą otrzymuje uczeń, który: </w:t>
      </w:r>
    </w:p>
    <w:p>
      <w:pPr>
        <w:pStyle w:val="ListParagraph"/>
        <w:numPr>
          <w:ilvl w:val="0"/>
          <w:numId w:val="34"/>
        </w:numPr>
        <w:spacing w:lineRule="auto" w:line="240" w:before="0" w:after="12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 opanował co najmniej połowę wymagań na poziomie określonym w podstawie programowej.</w:t>
      </w:r>
    </w:p>
    <w:p>
      <w:pPr>
        <w:pStyle w:val="ListParagraph"/>
        <w:numPr>
          <w:ilvl w:val="0"/>
          <w:numId w:val="33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32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  <w:u w:val="single"/>
        </w:rPr>
        <w:t>Ocenę niedostateczną otrzymuje uczeń, który</w:t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: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 xml:space="preserve"> - nie spełnia wymagań na ocenę dopuszczającą</w:t>
      </w:r>
    </w:p>
    <w:p>
      <w:pPr>
        <w:pStyle w:val="ListParagraph"/>
        <w:numPr>
          <w:ilvl w:val="0"/>
          <w:numId w:val="31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30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b/>
          <w:bCs/>
          <w:color w:themeColor="text1" w:val="000000"/>
          <w:sz w:val="22"/>
          <w:szCs w:val="22"/>
        </w:rPr>
        <w:t>IV. Warunki i tryb otrzymania wyższej niż przewidywana rocznej oceny klasyfikacyjnej.</w:t>
      </w:r>
    </w:p>
    <w:p>
      <w:pPr>
        <w:pStyle w:val="ListParagraph"/>
        <w:numPr>
          <w:ilvl w:val="0"/>
          <w:numId w:val="29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</w:rPr>
        <w:t>1. Uczeń może otrzymać wyższą, niż przewidywana ocenę klasyfikacyjną gdy:</w:t>
      </w:r>
    </w:p>
    <w:p>
      <w:pPr>
        <w:pStyle w:val="ListParagraph"/>
        <w:numPr>
          <w:ilvl w:val="0"/>
          <w:numId w:val="28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</w:rPr>
        <w:t xml:space="preserve">1) Zaistnieją szczególne uzasadnione sytuacje i po uwzględnieniu  postępów pracy ucznia, które umożliwiły  mu opanowanie wymagań zawartych w            </w:t>
      </w:r>
    </w:p>
    <w:p>
      <w:pPr>
        <w:pStyle w:val="ListParagraph"/>
        <w:numPr>
          <w:ilvl w:val="0"/>
          <w:numId w:val="27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Style w:val="markedcontent"/>
          <w:rFonts w:eastAsia="Times New Roman"/>
          <w:color w:themeColor="text1" w:val="000000"/>
          <w:sz w:val="22"/>
          <w:szCs w:val="22"/>
        </w:rPr>
        <w:t xml:space="preserve">    </w:t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podstawie programowej, nauczyciel może podwyższyć ocenę klasyfikacyjną.</w:t>
      </w:r>
    </w:p>
    <w:p>
      <w:pPr>
        <w:pStyle w:val="ListParagraph"/>
        <w:numPr>
          <w:ilvl w:val="0"/>
          <w:numId w:val="26"/>
        </w:numPr>
        <w:spacing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25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2)  Uczeń lub jego rodzice wystąpią z wnioskiem do Dyrektora szkoły w terminie i trybie określonym w statucie szkoły.</w:t>
      </w:r>
    </w:p>
    <w:p>
      <w:pPr>
        <w:pStyle w:val="ListParagraph"/>
        <w:numPr>
          <w:ilvl w:val="0"/>
          <w:numId w:val="24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3) Uczeń jest laureatem konkursu przedmiotowego/olimpiady o zasięgu wojewódzkim lub wyższym.</w:t>
      </w:r>
    </w:p>
    <w:p>
      <w:pPr>
        <w:pStyle w:val="ListParagraph"/>
        <w:numPr>
          <w:ilvl w:val="0"/>
          <w:numId w:val="23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4) Uczeń wykonał dodatkowe zadanie wskazane przez nauczyciela</w:t>
      </w:r>
    </w:p>
    <w:p>
      <w:pPr>
        <w:pStyle w:val="ListParagraph"/>
        <w:numPr>
          <w:ilvl w:val="0"/>
          <w:numId w:val="22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21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>V. Metody i techniki nauczania</w:t>
      </w:r>
    </w:p>
    <w:p>
      <w:pPr>
        <w:pStyle w:val="ListParagraph"/>
        <w:numPr>
          <w:ilvl w:val="0"/>
          <w:numId w:val="80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Formy stosowane są w zależności od potrzeb i preferencji uczniów i należą do nich:</w:t>
      </w:r>
    </w:p>
    <w:p>
      <w:pPr>
        <w:pStyle w:val="ListParagraph"/>
        <w:numPr>
          <w:ilvl w:val="0"/>
          <w:numId w:val="20"/>
        </w:numPr>
        <w:spacing w:lineRule="auto" w:line="240" w:before="0" w:after="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wykład nauczyciela, referat ucznia, pogadanka nauczyciela z klasą, praca w grupach, praca w parach , praca indywidualna</w:t>
      </w:r>
    </w:p>
    <w:p>
      <w:pPr>
        <w:pStyle w:val="ListParagraph"/>
        <w:numPr>
          <w:ilvl w:val="0"/>
          <w:numId w:val="19"/>
        </w:numPr>
        <w:spacing w:lineRule="auto" w:line="240" w:before="0" w:after="0"/>
        <w:contextualSpacing/>
        <w:jc w:val="both"/>
        <w:rPr>
          <w:rFonts w:eastAsia="Times New Roman"/>
          <w:color w:val="C4BC96"/>
          <w:sz w:val="22"/>
          <w:szCs w:val="22"/>
        </w:rPr>
      </w:pPr>
      <w:r>
        <w:rPr>
          <w:rFonts w:eastAsia="Times New Roman"/>
          <w:color w:val="C4BC96"/>
          <w:sz w:val="22"/>
          <w:szCs w:val="22"/>
        </w:rPr>
      </w:r>
    </w:p>
    <w:p>
      <w:pPr>
        <w:pStyle w:val="ListParagraph"/>
        <w:numPr>
          <w:ilvl w:val="0"/>
          <w:numId w:val="80"/>
        </w:numPr>
        <w:spacing w:lineRule="auto" w:line="240" w:before="0" w:after="0"/>
        <w:contextualSpacing/>
        <w:jc w:val="both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Metody stosowane na zajęciach</w:t>
      </w:r>
      <w:r>
        <w:rPr>
          <w:rFonts w:eastAsia="Times New Roman"/>
          <w:b/>
          <w:bCs/>
          <w:color w:themeColor="text1" w:val="000000"/>
          <w:sz w:val="22"/>
          <w:szCs w:val="22"/>
        </w:rPr>
        <w:t xml:space="preserve">: </w:t>
      </w:r>
    </w:p>
    <w:p>
      <w:pPr>
        <w:pStyle w:val="ListParagraph"/>
        <w:numPr>
          <w:ilvl w:val="0"/>
          <w:numId w:val="18"/>
        </w:numPr>
        <w:spacing w:lineRule="auto" w:line="240" w:before="0" w:after="0"/>
        <w:contextualSpacing/>
        <w:jc w:val="both"/>
        <w:rPr>
          <w:rFonts w:eastAsia="Times New Roman"/>
          <w:color w:val="C4BC96"/>
          <w:sz w:val="22"/>
          <w:szCs w:val="22"/>
        </w:rPr>
      </w:pPr>
      <w:r>
        <w:rPr>
          <w:rFonts w:eastAsia="Times New Roman"/>
          <w:color w:val="C4BC96"/>
          <w:sz w:val="22"/>
          <w:szCs w:val="22"/>
        </w:rPr>
      </w:r>
    </w:p>
    <w:p>
      <w:pPr>
        <w:pStyle w:val="ListParagraph"/>
        <w:numPr>
          <w:ilvl w:val="0"/>
          <w:numId w:val="17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praca indywidualna, praca w parach, praca w grupach, projekt</w:t>
      </w:r>
    </w:p>
    <w:p>
      <w:pPr>
        <w:pStyle w:val="ListParagraph"/>
        <w:numPr>
          <w:ilvl w:val="0"/>
          <w:numId w:val="16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15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b/>
          <w:bCs/>
          <w:color w:themeColor="text1" w:val="000000"/>
          <w:sz w:val="22"/>
          <w:szCs w:val="22"/>
        </w:rPr>
        <w:t>VI.  Sposoby pracy z uczniem ze szczególnymi potrzebami. Indywidualizacja pracy</w:t>
      </w:r>
    </w:p>
    <w:p>
      <w:pPr>
        <w:pStyle w:val="ListParagraph"/>
        <w:numPr>
          <w:ilvl w:val="0"/>
          <w:numId w:val="14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1.  Indywidualizacja pracy odbywa się w oparciu o:</w:t>
      </w:r>
    </w:p>
    <w:p>
      <w:pPr>
        <w:pStyle w:val="ListParagraph"/>
        <w:numPr>
          <w:ilvl w:val="0"/>
          <w:numId w:val="13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val="C4BC96"/>
          <w:sz w:val="22"/>
          <w:szCs w:val="22"/>
        </w:rPr>
        <w:t xml:space="preserve">- </w:t>
      </w:r>
      <w:r>
        <w:rPr>
          <w:rFonts w:eastAsia="Times New Roman"/>
          <w:color w:themeColor="text1" w:val="000000"/>
          <w:sz w:val="22"/>
          <w:szCs w:val="22"/>
        </w:rPr>
        <w:t>zdiagnozowanych trudności uczniów, które wymagają indywidualnego wsparcia;</w:t>
      </w:r>
    </w:p>
    <w:p>
      <w:pPr>
        <w:pStyle w:val="ListParagraph"/>
        <w:numPr>
          <w:ilvl w:val="0"/>
          <w:numId w:val="12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zalecenia Poradni Psychologiczni Pedagogicznej, przedłożone przez ucznia</w:t>
      </w:r>
    </w:p>
    <w:p>
      <w:pPr>
        <w:pStyle w:val="ListParagraph"/>
        <w:numPr>
          <w:ilvl w:val="0"/>
          <w:numId w:val="11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obserwację prowadzoną przez na nauczyciela w trakcie zajęć</w:t>
      </w:r>
    </w:p>
    <w:p>
      <w:pPr>
        <w:pStyle w:val="ListParagraph"/>
        <w:numPr>
          <w:ilvl w:val="0"/>
          <w:numId w:val="10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- tempo pracy uczniów</w:t>
      </w:r>
    </w:p>
    <w:p>
      <w:pPr>
        <w:pStyle w:val="ListParagraph"/>
        <w:numPr>
          <w:ilvl w:val="0"/>
          <w:numId w:val="9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2.     Indywidualizacja pracy jest modyfikowana w zależności od potrzeb i pojawiających się trudności.  Jest organizowana w zależności od możliwości i warunków pracy i może mieć formę: </w:t>
      </w:r>
    </w:p>
    <w:p>
      <w:pPr>
        <w:pStyle w:val="ListParagraph"/>
        <w:numPr>
          <w:ilvl w:val="1"/>
          <w:numId w:val="9"/>
        </w:numPr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Oceny rzetelności, wywiązywania się z zadania, zaangażowania podczas wykonywania zadnia ( to uczniowie z trudnościami manualnymi)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Wsparcia ucznia w rozpoznawaniu informacji ważnych i mniej ważnych.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Wdrażania w odpowiednie sporządzanie notatek, które pomogą uporządkować i zapamiętać przekazywane informacje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Zmiany charakteru pracy ucznia w celu uniknięcia monotonności i utraty koncentracji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Oceniania prac pisemnych pod względem treści, poziomu merytorycznego zadania, a nie poziomu graficznego pisma, 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Wydłużenia czasu wypowiedzi ustnej, nawet jeżeli są w niej liczne błędy. Zapewnienie czasu na spokojne wypowiedzenie się. 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Umożliwienia uczniowi/uczennicy pisania domowych, prac kontrolnych na komputerze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Przekazywania krótkich i nieskomplikowanych poleceń;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Zachęcania do pisania krótkich wniosków pod koniec każdego tematu czy dyskusji, a także podsumowania odnoszącego się do całości omawianego rozdziału </w:t>
      </w:r>
    </w:p>
    <w:p>
      <w:pPr>
        <w:pStyle w:val="ListParagraph"/>
        <w:numPr>
          <w:ilvl w:val="1"/>
          <w:numId w:val="80"/>
        </w:numPr>
        <w:spacing w:lineRule="auto" w:line="360" w:before="0" w:after="0"/>
        <w:contextualSpacing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Doceniania zaangażowania i wkładu pracy podczas realizacji zadania;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 xml:space="preserve">Wydłużenia czasu wykonywania prac pisemnych 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Wydłużenia czasu przeznaczonego na naukę trudnych pojęć, symboli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Korygowania poprawności zapisu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Częstego przekazywania informacji zwrotnej na temat efektów jego pracy – należy wskazywać postępy i obszary do dalszej pracy;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Stosowania pozytywnej motywacji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Oceniania poszczególnych etapów wykonywania zadania</w:t>
      </w:r>
    </w:p>
    <w:p>
      <w:pPr>
        <w:pStyle w:val="ListParagraph"/>
        <w:numPr>
          <w:ilvl w:val="1"/>
          <w:numId w:val="80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Zezwolenia na poruszanie się po klasie/ zmianę pozycji pracy, jedzenie i picie w trakcie lekcji</w:t>
      </w:r>
    </w:p>
    <w:p>
      <w:pPr>
        <w:pStyle w:val="ListParagraph"/>
        <w:numPr>
          <w:ilvl w:val="0"/>
          <w:numId w:val="8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spacing w:lineRule="auto" w:line="360"/>
        <w:rPr>
          <w:rFonts w:eastAsia="Times New Roman"/>
          <w:color w:themeColor="text1" w:val="000000"/>
          <w:sz w:val="22"/>
          <w:szCs w:val="22"/>
        </w:rPr>
      </w:pPr>
      <w:r>
        <w:rPr>
          <w:rFonts w:eastAsia="Times New Roman"/>
          <w:color w:themeColor="text1" w:val="000000"/>
          <w:sz w:val="22"/>
          <w:szCs w:val="22"/>
        </w:rPr>
        <w:t>3. W pracy z uczniem zdolnym indywidualizacja opiera się na:</w:t>
      </w:r>
    </w:p>
    <w:p>
      <w:pPr>
        <w:pStyle w:val="ListParagraph"/>
        <w:numPr>
          <w:ilvl w:val="0"/>
          <w:numId w:val="6"/>
        </w:numPr>
        <w:rPr/>
      </w:pP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wzbogacaniu i poszerzeniu  treści nauczania.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przydzielaniu bardziej złożonych zadań.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zachęcaniu do podejmowania prac dodatkowych.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stwarzaniu okazji do swobodnego wyboru zadań trudniejszych, swobodnej decyzji w podejmowaniu dodatkowych zadań.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zachęcaniu do czytania polecanych przez nauczycieli czasopism, książek..</w:t>
      </w:r>
      <w:r>
        <w:rPr/>
        <w:br/>
      </w:r>
      <w:r>
        <w:rPr>
          <w:rStyle w:val="markedcontent"/>
          <w:rFonts w:eastAsia="Times New Roman"/>
          <w:color w:themeColor="text1" w:val="000000"/>
          <w:sz w:val="22"/>
          <w:szCs w:val="22"/>
        </w:rPr>
        <w:t>· Przygotowywaniu ucznia do udziału w konkursach szkolnych i pozaszkolnych</w:t>
      </w:r>
      <w:r>
        <w:rPr>
          <w:rStyle w:val="markedcontent"/>
          <w:rFonts w:cs="Calibri" w:ascii="Calibri" w:hAnsi="Calibri"/>
          <w:color w:themeColor="text1" w:val="000000"/>
          <w:sz w:val="22"/>
          <w:szCs w:val="22"/>
        </w:rPr>
        <w:t>.</w:t>
      </w:r>
    </w:p>
    <w:p>
      <w:pPr>
        <w:pStyle w:val="Heading1"/>
        <w:numPr>
          <w:ilvl w:val="0"/>
          <w:numId w:val="81"/>
        </w:numPr>
        <w:tabs>
          <w:tab w:val="clear" w:pos="708"/>
          <w:tab w:val="left" w:pos="0" w:leader="none"/>
          <w:tab w:val="right" w:pos="10762" w:leader="dot"/>
        </w:tabs>
        <w:rPr>
          <w:rFonts w:ascii="Times New Roman" w:hAnsi="Times New Roman" w:cs="Times New Roman"/>
          <w:color w:val="E36C0A"/>
        </w:rPr>
      </w:pPr>
      <w:bookmarkStart w:id="4" w:name="_Toc1369594591"/>
      <w:r>
        <w:rPr>
          <w:rFonts w:cs="Times New Roman" w:ascii="Times New Roman" w:hAnsi="Times New Roman"/>
          <w:color w:val="E36C0A"/>
        </w:rPr>
        <w:t>4. Środki dydaktyczne</w:t>
      </w:r>
      <w:bookmarkEnd w:id="4"/>
    </w:p>
    <w:p>
      <w:pPr>
        <w:pStyle w:val="Normal"/>
        <w:rPr/>
      </w:pPr>
      <w:r>
        <w:rPr/>
        <w:br/>
        <w:t xml:space="preserve">W pracowni powinny znajdować się: </w:t>
      </w:r>
    </w:p>
    <w:p>
      <w:pPr>
        <w:pStyle w:val="Normal"/>
        <w:rPr/>
      </w:pPr>
      <w:r>
        <w:rPr>
          <w:rFonts w:eastAsia="Symbol" w:cs="Symbol" w:ascii="Symbol" w:hAnsi="Symbol"/>
        </w:rPr>
        <w:t>-</w:t>
      </w:r>
      <w:r>
        <w:rPr/>
        <w:t xml:space="preserve"> Stanowisko komputerowe podłączone do sieci lokalnej z dostępem do internetu (1 stanowisko dla jednego ucznia). Każde stanowisko powinno być wyposażone w odpowiednie narzędzia do projektowania i tworzenia oraz testowania aplikacji internetowych oraz pakiet programów do tworzenia i obróbki grafiki; </w:t>
        <w:br/>
      </w:r>
      <w:r>
        <w:rPr>
          <w:rFonts w:eastAsia="Symbol" w:cs="Symbol" w:ascii="Symbol" w:hAnsi="Symbol"/>
        </w:rPr>
        <w:t>-</w:t>
      </w:r>
      <w:r>
        <w:rPr/>
        <w:t xml:space="preserve"> Komputer dla nauczyciela i projektor multimedialny. </w:t>
        <w:br/>
      </w:r>
      <w:r>
        <w:rPr>
          <w:rFonts w:eastAsia="Symbol" w:cs="Symbol" w:ascii="Symbol" w:hAnsi="Symbol"/>
        </w:rPr>
        <w:t>-</w:t>
      </w:r>
      <w:r>
        <w:rPr/>
        <w:t xml:space="preserve"> Tablica (whiteboard) z akcesoriami i/lub flipchart. </w:t>
        <w:br/>
      </w:r>
      <w:r>
        <w:rPr>
          <w:rFonts w:eastAsia="Symbol" w:cs="Symbol" w:ascii="Symbol" w:hAnsi="Symbol"/>
        </w:rPr>
        <w:t>-</w:t>
      </w:r>
      <w:r>
        <w:rPr/>
        <w:t xml:space="preserve"> Prezentacje na temat tworzenia aplikacji internetowych. </w:t>
        <w:br/>
      </w:r>
      <w:r>
        <w:rPr>
          <w:rFonts w:eastAsia="Symbol" w:cs="Symbol" w:ascii="Symbol" w:hAnsi="Symbol"/>
        </w:rPr>
        <w:t>-</w:t>
      </w:r>
      <w:r>
        <w:rPr/>
        <w:t xml:space="preserve"> Dokumentacja używanego oprogramowania (frameworków) w wersji elektronicznej.</w:t>
        <w:br/>
      </w:r>
      <w:r>
        <w:rPr>
          <w:rFonts w:eastAsia="Symbol" w:cs="Symbol" w:ascii="Symbol" w:hAnsi="Symbol"/>
        </w:rPr>
        <w:t>-</w:t>
      </w:r>
      <w:r>
        <w:rPr/>
        <w:t xml:space="preserve"> Tutoriale / kursy dotyczące tematyki zajęć w formie elektronicznej. </w:t>
      </w:r>
    </w:p>
    <w:p>
      <w:pPr>
        <w:pStyle w:val="Heading1"/>
        <w:numPr>
          <w:ilvl w:val="0"/>
          <w:numId w:val="81"/>
        </w:numPr>
        <w:tabs>
          <w:tab w:val="clear" w:pos="708"/>
          <w:tab w:val="left" w:pos="0" w:leader="none"/>
          <w:tab w:val="right" w:pos="10762" w:leader="dot"/>
        </w:tabs>
        <w:rPr>
          <w:rFonts w:ascii="Times New Roman" w:hAnsi="Times New Roman" w:cs="Times New Roman"/>
          <w:color w:val="E36C0A"/>
        </w:rPr>
      </w:pPr>
      <w:bookmarkStart w:id="5" w:name="_Toc623880227"/>
      <w:bookmarkStart w:id="6" w:name="_Toc169596556"/>
      <w:r>
        <w:rPr>
          <w:rFonts w:cs="Times New Roman" w:ascii="Times New Roman" w:hAnsi="Times New Roman"/>
          <w:color w:val="E36C0A"/>
        </w:rPr>
        <w:t>5. Metody nauczania</w:t>
      </w:r>
      <w:bookmarkEnd w:id="5"/>
      <w:bookmarkEnd w:id="6"/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Dominująca metodą kształcenia powinna być metoda praktyczna. Słuchacze większość czasu powinni poświęcić na ćwiczenia i rozwiązywanie zadań problematycznych. Podczas kursu powinny być wykorzystane elementy wykładów w celu prezentacji treści kształcenia.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keepLines/>
        <w:widowControl/>
        <w:numPr>
          <w:ilvl w:val="0"/>
          <w:numId w:val="0"/>
        </w:numPr>
        <w:suppressAutoHyphens w:val="true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81"/>
        </w:numPr>
        <w:spacing w:before="0" w:after="0"/>
        <w:rPr/>
      </w:pPr>
      <w:bookmarkStart w:id="7" w:name="_Toc325845790"/>
      <w:r>
        <w:rPr/>
        <w:t>6. Rozkład materiału nauczania</w:t>
      </w:r>
      <w:bookmarkEnd w:id="7"/>
    </w:p>
    <w:p>
      <w:pPr>
        <w:pStyle w:val="Normal"/>
        <w:rPr/>
      </w:pPr>
      <w:r>
        <w:rPr/>
      </w:r>
    </w:p>
    <w:tbl>
      <w:tblPr>
        <w:tblW w:w="158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0" w:lastRow="0" w:firstColumn="0" w:lastColumn="0" w:noHBand="0" w:val="0000"/>
      </w:tblPr>
      <w:tblGrid>
        <w:gridCol w:w="425"/>
        <w:gridCol w:w="567"/>
        <w:gridCol w:w="425"/>
        <w:gridCol w:w="1277"/>
        <w:gridCol w:w="2408"/>
        <w:gridCol w:w="1986"/>
        <w:gridCol w:w="991"/>
        <w:gridCol w:w="7797"/>
      </w:tblGrid>
      <w:tr>
        <w:trPr>
          <w:trHeight w:val="851" w:hRule="atLeast"/>
        </w:trPr>
        <w:tc>
          <w:tcPr>
            <w:tcW w:w="15876" w:type="dxa"/>
            <w:gridSpan w:val="8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Subtitle"/>
              <w:spacing w:lineRule="auto" w:line="276"/>
              <w:rPr/>
            </w:pPr>
            <w:r>
              <w:rPr/>
              <w:t>PRACOWNIA NOWOCZESNYCH TECHNOLOGII</w:t>
            </w:r>
          </w:p>
          <w:p>
            <w:pPr>
              <w:pStyle w:val="Subtitle"/>
              <w:spacing w:lineRule="auto" w:line="276"/>
              <w:rPr/>
            </w:pPr>
            <w:r>
              <w:rPr/>
              <w:t>TWORZENIE I TESTOWANIE APLIKACJI INTERNETOWYCH Z WYKORZYSTANIEM FRAMEWORKU DJANGO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Lekcja organizacyjna – zapoznanie uczniów z materiałem nauczania, wymaganiami edukacyjnymi, kryteriami oceny, przepisami BHP i regulaminem pracowni komputerowej. 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BHP i regulamin pracowni komputerowej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  <w:lang w:val="en-US"/>
              </w:rPr>
              <w:t>BHP(7)2</w:t>
            </w: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 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Uczeń umie zorganizować stanowisko pracy przy 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komputerze zgodnie z wymogami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ergonomii, przepisami bezpieczeństwa i higieny pracy,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 </w:t>
            </w: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ochrony przeciwpożarowej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 ochrony środowiska;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Wstęp i podstawowe pojęcia dotyczące aplikacji internetowych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Rozumie i definiuje czym jest aplikacja internetowa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Zna podstawową architekturę aplikacji internetowych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3-4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Przygotowanie środowiska programistycznego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Opisuje funkcje środowiska programistycznego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Dobiera środowisko programistyczne do określonych zadań i języka programowania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5-6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System kontroli wersji GIT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Konfiguruje konto GIThub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Inicjalizuje repozytorium lokalne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Synchronizuje repozytorium lokalne ze zdalnym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Tworzy, scala, usuwa gałęzie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Dodaje zmiany do indeksu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Commituje kod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Wysyła zmiany do repozytorium zdalnego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Klonuje repozytorium zdalne 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7-8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Platforma programistyczna – Framework. Wprowadzenie i instalacja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Definiuje czym jest framework programistyczny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Potrafi zainstalować wybrany framework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Tworzy bazowy projekt z użyciem frameworka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Uruchamia bazową aplikację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Tworzy środowisko wirtualne pythona (venv)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5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9-10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Podstawy HTML</w:t>
            </w:r>
            <w:r>
              <w:rPr/>
              <w:br/>
            </w:r>
            <w:r>
              <w:rPr>
                <w:rFonts w:cs="Calibri" w:ascii="Calibri" w:hAnsi="Calibri" w:cstheme="minorAscii"/>
                <w:sz w:val="16"/>
                <w:szCs w:val="16"/>
              </w:rPr>
              <w:t>Metody HTTP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Projektowanie aplikacji  internetowych 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Definiuje czym jest HTML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Zna podstawową strukturę znacznika HTML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Zna podstawowe znaczniki HTML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Definiuje czym jest protokół http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Zna podstawowe metody http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6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11-12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Model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Definiuje czym jest model w aplikacji MVP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Tworzy proste modele danych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Wykonuje migracje zmian w modelu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7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13-14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Widok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Definiuje czym jest widok w aplikacji MVP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Przekazuje kontekst do szablonu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Tworzy szablony HTML z językiem szablonów Django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Używa dziedziczenia szablonów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15-16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Kontroler/Szablon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Definiuje czym jest kontroler w aplikacji MVP</w:t>
            </w:r>
            <w:r>
              <w:rPr/>
              <w:br/>
            </w: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Rozumie czym jest Szablon w architekturze MVT wykorzystywanej przez Django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9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17-18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Kaskadowe arkusze stylów  CSS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Stosuje kaskadowość stylów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Rozróżnia selektory elementów, atrybutów, 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specjalne, pseudoklas i pseudoelementów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Rozpoznaje selektory CSS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Stosuje selektory CSS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19-20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Hosting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Zna pojęcie hostingu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Wykonuje deployment aplikacji na zewnętrzny serwer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Integruje aplikację z zewnętrzną bazą danych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11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21-22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Testowanie aplikacji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Testowanie  aplikacji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INF.04.8.</w:t>
            </w:r>
          </w:p>
          <w:p>
            <w:pPr>
              <w:pStyle w:val="Normal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Charakteryzuje główne metodyki testowania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Dobiera narzędzia walidacji strony internetowej 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  <w:lang w:val="en-US"/>
              </w:rPr>
              <w:t>(np. Postman, SoapUI, Swagger, Playwright, Selenium)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Przygotowuje środowiska testowe 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Przeprowadza testy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12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23-24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Godziny nietematyczne</w:t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Powtórzenie materiału</w:t>
            </w:r>
            <w:r>
              <w:rPr/>
              <w:br/>
            </w:r>
            <w:r>
              <w:rPr>
                <w:rFonts w:cs="Calibri" w:ascii="Calibri" w:hAnsi="Calibri" w:cstheme="minorAscii"/>
                <w:sz w:val="16"/>
                <w:szCs w:val="16"/>
              </w:rPr>
              <w:t>Praca klasowa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i testowanie aplikacji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INF.04.8.</w:t>
            </w:r>
          </w:p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Uczeń przestrzega zasad kultury i etyki. 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Uczeń potrafi planować działania i zarządzać czasem.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Uczeń potrafi radzić sobie ze stresem.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Uczeń potrafi stosować metody i techniki 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rozwiązywania problemów.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 xml:space="preserve">Uczeń potrafi ponosić odpowiedzialność 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za podejmowane działania.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13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25-26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Bootstrap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Wykorzystuje gotowe biblioteki styli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14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27-28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Temat właściwy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Narzędzia AI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aplikacji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Wykorzystuje narzędzia AI w projektowaniu aplikacji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Korzysta z trybu ‘Chat’</w:t>
            </w:r>
          </w:p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cstheme="minorAscii"/>
                <w:sz w:val="16"/>
                <w:szCs w:val="16"/>
              </w:rPr>
              <w:t>Korzysta z trybu ‘Agent’</w:t>
            </w:r>
          </w:p>
        </w:tc>
      </w:tr>
      <w:tr>
        <w:trPr>
          <w:trHeight w:val="300" w:hRule="atLeast"/>
        </w:trPr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15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29-30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2</w:t>
            </w:r>
          </w:p>
        </w:tc>
        <w:tc>
          <w:tcPr>
            <w:tcW w:w="12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Godziny nietematyczne</w:t>
            </w:r>
          </w:p>
        </w:tc>
        <w:tc>
          <w:tcPr>
            <w:tcW w:w="24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Godziny do wykorzystania przez nauczyciela</w:t>
            </w:r>
          </w:p>
        </w:tc>
        <w:tc>
          <w:tcPr>
            <w:tcW w:w="19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Projektowanie i testowanie aplikacji internetowych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INF.03.5.</w:t>
            </w:r>
          </w:p>
          <w:p>
            <w:pPr>
              <w:pStyle w:val="Normal"/>
              <w:spacing w:before="0" w:after="0"/>
              <w:rPr>
                <w:rFonts w:ascii="Calibri" w:hAnsi="Calibri" w:cs="Calibri" w:asciiTheme="minorAscii" w:cstheme="minorAscii" w:hAnsiTheme="minorAscii"/>
                <w:sz w:val="16"/>
                <w:szCs w:val="16"/>
                <w:lang w:val="en-US"/>
              </w:rPr>
            </w:pPr>
            <w:r>
              <w:rPr>
                <w:rFonts w:cs="Calibri" w:ascii="Calibri" w:hAnsi="Calibri" w:asciiTheme="minorAscii" w:cstheme="minorAscii" w:hAnsiTheme="minorAscii"/>
                <w:sz w:val="16"/>
                <w:szCs w:val="16"/>
              </w:rPr>
              <w:t>INF.04.8.</w:t>
            </w:r>
          </w:p>
        </w:tc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Default"/>
              <w:rPr>
                <w:rFonts w:ascii="Calibri" w:hAnsi="Calibri" w:cs="Calibri" w:asciiTheme="minorAscii" w:cstheme="minorAscii" w:hAnsiTheme="minorAscii"/>
                <w:sz w:val="16"/>
                <w:szCs w:val="16"/>
              </w:rPr>
            </w:pPr>
            <w:r>
              <w:rPr>
                <w:rFonts w:cs="Calibri" w:cstheme="minorAscii" w:ascii="Calibri" w:hAnsi="Calibri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orient="landscape" w:w="16838" w:h="11906"/>
      <w:pgMar w:left="766" w:right="766" w:gutter="0" w:header="709" w:top="766" w:footer="709" w:bottom="76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Symbol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  <w:font w:name="Wingdings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  <w:font w:name="OpenSymbol">
    <w:altName w:val="Arial Unicode MS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star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20" w:space="1" w:color="800000"/>
      </w:pBdr>
      <w:jc w:val="center"/>
      <w:rPr/>
    </w:pPr>
    <w:r>
      <w:rPr>
        <w:b/>
        <w:bCs/>
      </w:rPr>
      <w:t>"Pracownia Nowoczesnych Technologii"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0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2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3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4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5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6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7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8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9">
    <w:lvl w:ilvl="0">
      <w:start w:val="1"/>
      <w:numFmt w:val="decimal"/>
      <w:lvlText w:val="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0">
    <w:lvl w:ilvl="0">
      <w:start w:val="1"/>
      <w:numFmt w:val="decimal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1">
    <w:lvl w:ilvl="0">
      <w:start w:val="1"/>
      <w:numFmt w:val="decimal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8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a3bcc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pl-PL" w:eastAsia="ar-S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81"/>
      </w:numPr>
      <w:spacing w:lineRule="auto" w:line="240" w:before="480" w:after="0"/>
      <w:outlineLvl w:val="0"/>
    </w:pPr>
    <w:rPr>
      <w:rFonts w:ascii="Cambria" w:hAnsi="Cambria" w:eastAsia="Times New Roman" w:cs="Cambria"/>
      <w:b/>
      <w:bCs/>
      <w:color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  <w:sz w:val="16"/>
      <w:szCs w:val="16"/>
    </w:rPr>
  </w:style>
  <w:style w:type="character" w:styleId="WW8Num2z0" w:customStyle="1">
    <w:name w:val="WW8Num2z0"/>
    <w:qFormat/>
    <w:rPr>
      <w:rFonts w:ascii="Symbol" w:hAnsi="Symbol" w:cs="Symbol"/>
      <w:b/>
      <w:bCs/>
      <w:i w:val="false"/>
      <w:iCs w:val="false"/>
      <w:sz w:val="16"/>
      <w:szCs w:val="16"/>
    </w:rPr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ascii="Symbol" w:hAnsi="Symbol" w:cs="Symbol"/>
      <w:sz w:val="16"/>
      <w:szCs w:val="16"/>
    </w:rPr>
  </w:style>
  <w:style w:type="character" w:styleId="WW8Num4z0" w:customStyle="1">
    <w:name w:val="WW8Num4z0"/>
    <w:qFormat/>
    <w:rPr>
      <w:rFonts w:ascii="Symbol" w:hAnsi="Symbol" w:cs="Symbol"/>
      <w:sz w:val="16"/>
      <w:szCs w:val="16"/>
    </w:rPr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/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>
      <w:rFonts w:ascii="Symbol" w:hAnsi="Symbol" w:cs="Symbol"/>
      <w:sz w:val="16"/>
      <w:szCs w:val="16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9z1" w:customStyle="1">
    <w:name w:val="WW8Num9z1"/>
    <w:qFormat/>
    <w:rPr/>
  </w:style>
  <w:style w:type="character" w:styleId="WW8Num9z2" w:customStyle="1">
    <w:name w:val="WW8Num9z2"/>
    <w:qFormat/>
    <w:rPr/>
  </w:style>
  <w:style w:type="character" w:styleId="WW8Num9z3" w:customStyle="1">
    <w:name w:val="WW8Num9z3"/>
    <w:qFormat/>
    <w:rPr/>
  </w:style>
  <w:style w:type="character" w:styleId="WW8Num9z4" w:customStyle="1">
    <w:name w:val="WW8Num9z4"/>
    <w:qFormat/>
    <w:rPr/>
  </w:style>
  <w:style w:type="character" w:styleId="WW8Num9z5" w:customStyle="1">
    <w:name w:val="WW8Num9z5"/>
    <w:qFormat/>
    <w:rPr/>
  </w:style>
  <w:style w:type="character" w:styleId="WW8Num9z6" w:customStyle="1">
    <w:name w:val="WW8Num9z6"/>
    <w:qFormat/>
    <w:rPr/>
  </w:style>
  <w:style w:type="character" w:styleId="WW8Num9z7" w:customStyle="1">
    <w:name w:val="WW8Num9z7"/>
    <w:qFormat/>
    <w:rPr/>
  </w:style>
  <w:style w:type="character" w:styleId="WW8Num9z8" w:customStyle="1">
    <w:name w:val="WW8Num9z8"/>
    <w:qFormat/>
    <w:rPr/>
  </w:style>
  <w:style w:type="character" w:styleId="WW8Num10z0" w:customStyle="1">
    <w:name w:val="WW8Num10z0"/>
    <w:qFormat/>
    <w:rPr/>
  </w:style>
  <w:style w:type="character" w:styleId="WW8Num10z1" w:customStyle="1">
    <w:name w:val="WW8Num10z1"/>
    <w:qFormat/>
    <w:rPr/>
  </w:style>
  <w:style w:type="character" w:styleId="WW8Num10z2" w:customStyle="1">
    <w:name w:val="WW8Num10z2"/>
    <w:qFormat/>
    <w:rPr/>
  </w:style>
  <w:style w:type="character" w:styleId="WW8Num10z3" w:customStyle="1">
    <w:name w:val="WW8Num10z3"/>
    <w:qFormat/>
    <w:rPr/>
  </w:style>
  <w:style w:type="character" w:styleId="WW8Num10z4" w:customStyle="1">
    <w:name w:val="WW8Num10z4"/>
    <w:qFormat/>
    <w:rPr/>
  </w:style>
  <w:style w:type="character" w:styleId="WW8Num10z5" w:customStyle="1">
    <w:name w:val="WW8Num10z5"/>
    <w:qFormat/>
    <w:rPr/>
  </w:style>
  <w:style w:type="character" w:styleId="WW8Num10z6" w:customStyle="1">
    <w:name w:val="WW8Num10z6"/>
    <w:qFormat/>
    <w:rPr/>
  </w:style>
  <w:style w:type="character" w:styleId="WW8Num10z7" w:customStyle="1">
    <w:name w:val="WW8Num10z7"/>
    <w:qFormat/>
    <w:rPr/>
  </w:style>
  <w:style w:type="character" w:styleId="WW8Num10z8" w:customStyle="1">
    <w:name w:val="WW8Num10z8"/>
    <w:qFormat/>
    <w:rPr/>
  </w:style>
  <w:style w:type="character" w:styleId="WW8Num11z0" w:customStyle="1">
    <w:name w:val="WW8Num11z0"/>
    <w:qFormat/>
    <w:rPr/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WW8Num12z0" w:customStyle="1">
    <w:name w:val="WW8Num12z0"/>
    <w:qFormat/>
    <w:rPr/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>
      <w:rFonts w:ascii="Symbol" w:hAnsi="Symbol" w:cs="Symbol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4z0" w:customStyle="1">
    <w:name w:val="WW8Num14z0"/>
    <w:qFormat/>
    <w:rPr/>
  </w:style>
  <w:style w:type="character" w:styleId="WW8Num14z1" w:customStyle="1">
    <w:name w:val="WW8Num14z1"/>
    <w:qFormat/>
    <w:rPr/>
  </w:style>
  <w:style w:type="character" w:styleId="WW8Num14z2" w:customStyle="1">
    <w:name w:val="WW8Num14z2"/>
    <w:qFormat/>
    <w:rPr/>
  </w:style>
  <w:style w:type="character" w:styleId="WW8Num14z3" w:customStyle="1">
    <w:name w:val="WW8Num14z3"/>
    <w:qFormat/>
    <w:rPr/>
  </w:style>
  <w:style w:type="character" w:styleId="WW8Num14z4" w:customStyle="1">
    <w:name w:val="WW8Num14z4"/>
    <w:qFormat/>
    <w:rPr/>
  </w:style>
  <w:style w:type="character" w:styleId="WW8Num14z5" w:customStyle="1">
    <w:name w:val="WW8Num14z5"/>
    <w:qFormat/>
    <w:rPr/>
  </w:style>
  <w:style w:type="character" w:styleId="WW8Num14z6" w:customStyle="1">
    <w:name w:val="WW8Num14z6"/>
    <w:qFormat/>
    <w:rPr/>
  </w:style>
  <w:style w:type="character" w:styleId="WW8Num14z7" w:customStyle="1">
    <w:name w:val="WW8Num14z7"/>
    <w:qFormat/>
    <w:rPr/>
  </w:style>
  <w:style w:type="character" w:styleId="WW8Num14z8" w:customStyle="1">
    <w:name w:val="WW8Num14z8"/>
    <w:qFormat/>
    <w:rPr/>
  </w:style>
  <w:style w:type="character" w:styleId="WW8Num15z0" w:customStyle="1">
    <w:name w:val="WW8Num15z0"/>
    <w:qFormat/>
    <w:rPr>
      <w:rFonts w:ascii="Symbol" w:hAnsi="Symbol" w:cs="Symbol"/>
      <w:sz w:val="16"/>
      <w:szCs w:val="16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2" w:customStyle="1">
    <w:name w:val="WW8Num15z2"/>
    <w:qFormat/>
    <w:rPr>
      <w:rFonts w:ascii="Wingdings" w:hAnsi="Wingdings" w:cs="Wingdings"/>
    </w:rPr>
  </w:style>
  <w:style w:type="character" w:styleId="WW8Num15z3" w:customStyle="1">
    <w:name w:val="WW8Num15z3"/>
    <w:qFormat/>
    <w:rPr>
      <w:rFonts w:ascii="Symbol" w:hAnsi="Symbol" w:cs="Symbol"/>
    </w:rPr>
  </w:style>
  <w:style w:type="character" w:styleId="WW8Num16z0" w:customStyle="1">
    <w:name w:val="WW8Num16z0"/>
    <w:qFormat/>
    <w:rPr/>
  </w:style>
  <w:style w:type="character" w:styleId="WW8Num16z1" w:customStyle="1">
    <w:name w:val="WW8Num16z1"/>
    <w:qFormat/>
    <w:rPr/>
  </w:style>
  <w:style w:type="character" w:styleId="WW8Num16z2" w:customStyle="1">
    <w:name w:val="WW8Num16z2"/>
    <w:qFormat/>
    <w:rPr/>
  </w:style>
  <w:style w:type="character" w:styleId="WW8Num16z3" w:customStyle="1">
    <w:name w:val="WW8Num16z3"/>
    <w:qFormat/>
    <w:rPr/>
  </w:style>
  <w:style w:type="character" w:styleId="WW8Num16z4" w:customStyle="1">
    <w:name w:val="WW8Num16z4"/>
    <w:qFormat/>
    <w:rPr/>
  </w:style>
  <w:style w:type="character" w:styleId="WW8Num16z5" w:customStyle="1">
    <w:name w:val="WW8Num16z5"/>
    <w:qFormat/>
    <w:rPr/>
  </w:style>
  <w:style w:type="character" w:styleId="WW8Num16z6" w:customStyle="1">
    <w:name w:val="WW8Num16z6"/>
    <w:qFormat/>
    <w:rPr/>
  </w:style>
  <w:style w:type="character" w:styleId="WW8Num16z7" w:customStyle="1">
    <w:name w:val="WW8Num16z7"/>
    <w:qFormat/>
    <w:rPr/>
  </w:style>
  <w:style w:type="character" w:styleId="WW8Num16z8" w:customStyle="1">
    <w:name w:val="WW8Num16z8"/>
    <w:qFormat/>
    <w:rPr/>
  </w:style>
  <w:style w:type="character" w:styleId="WW8Num17z0" w:customStyle="1">
    <w:name w:val="WW8Num17z0"/>
    <w:qFormat/>
    <w:rPr>
      <w:rFonts w:ascii="Symbol" w:hAnsi="Symbol" w:cs="Symbol"/>
      <w:sz w:val="16"/>
      <w:szCs w:val="16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  <w:rPr>
      <w:rFonts w:ascii="Symbol" w:hAnsi="Symbol" w:cs="Symbol"/>
      <w:sz w:val="16"/>
      <w:szCs w:val="16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 w:cs="Wingdings"/>
    </w:rPr>
  </w:style>
  <w:style w:type="character" w:styleId="WW8Num18z3" w:customStyle="1">
    <w:name w:val="WW8Num18z3"/>
    <w:qFormat/>
    <w:rPr>
      <w:rFonts w:ascii="Symbol" w:hAnsi="Symbol" w:cs="Symbol"/>
    </w:rPr>
  </w:style>
  <w:style w:type="character" w:styleId="WW8Num19z0" w:customStyle="1">
    <w:name w:val="WW8Num19z0"/>
    <w:qFormat/>
    <w:rPr/>
  </w:style>
  <w:style w:type="character" w:styleId="WW8Num19z1" w:customStyle="1">
    <w:name w:val="WW8Num19z1"/>
    <w:qFormat/>
    <w:rPr/>
  </w:style>
  <w:style w:type="character" w:styleId="WW8Num19z2" w:customStyle="1">
    <w:name w:val="WW8Num19z2"/>
    <w:qFormat/>
    <w:rPr/>
  </w:style>
  <w:style w:type="character" w:styleId="WW8Num19z3" w:customStyle="1">
    <w:name w:val="WW8Num19z3"/>
    <w:qFormat/>
    <w:rPr/>
  </w:style>
  <w:style w:type="character" w:styleId="WW8Num19z4" w:customStyle="1">
    <w:name w:val="WW8Num19z4"/>
    <w:qFormat/>
    <w:rPr/>
  </w:style>
  <w:style w:type="character" w:styleId="WW8Num19z5" w:customStyle="1">
    <w:name w:val="WW8Num19z5"/>
    <w:qFormat/>
    <w:rPr/>
  </w:style>
  <w:style w:type="character" w:styleId="WW8Num19z6" w:customStyle="1">
    <w:name w:val="WW8Num19z6"/>
    <w:qFormat/>
    <w:rPr/>
  </w:style>
  <w:style w:type="character" w:styleId="WW8Num19z7" w:customStyle="1">
    <w:name w:val="WW8Num19z7"/>
    <w:qFormat/>
    <w:rPr/>
  </w:style>
  <w:style w:type="character" w:styleId="WW8Num19z8" w:customStyle="1">
    <w:name w:val="WW8Num19z8"/>
    <w:qFormat/>
    <w:rPr/>
  </w:style>
  <w:style w:type="character" w:styleId="WW8Num20z0" w:customStyle="1">
    <w:name w:val="WW8Num20z0"/>
    <w:qFormat/>
    <w:rPr>
      <w:rFonts w:ascii="Symbol" w:hAnsi="Symbol" w:cs="Symbol"/>
      <w:sz w:val="16"/>
      <w:szCs w:val="16"/>
    </w:rPr>
  </w:style>
  <w:style w:type="character" w:styleId="WW8Num21z0" w:customStyle="1">
    <w:name w:val="WW8Num21z0"/>
    <w:qFormat/>
    <w:rPr>
      <w:rFonts w:ascii="Symbol" w:hAnsi="Symbol" w:cs="Symbol"/>
      <w:sz w:val="16"/>
      <w:szCs w:val="16"/>
    </w:rPr>
  </w:style>
  <w:style w:type="character" w:styleId="WW8Num22z0" w:customStyle="1">
    <w:name w:val="WW8Num22z0"/>
    <w:qFormat/>
    <w:rPr>
      <w:rFonts w:ascii="Symbol" w:hAnsi="Symbol" w:cs="Symbol"/>
      <w:sz w:val="16"/>
      <w:szCs w:val="16"/>
    </w:rPr>
  </w:style>
  <w:style w:type="character" w:styleId="WW8Num22z1" w:customStyle="1">
    <w:name w:val="WW8Num22z1"/>
    <w:qFormat/>
    <w:rPr>
      <w:rFonts w:ascii="Courier New" w:hAnsi="Courier New" w:cs="Courier New"/>
    </w:rPr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3z0" w:customStyle="1">
    <w:name w:val="WW8Num23z0"/>
    <w:qFormat/>
    <w:rPr/>
  </w:style>
  <w:style w:type="character" w:styleId="WW8Num23z1" w:customStyle="1">
    <w:name w:val="WW8Num23z1"/>
    <w:qFormat/>
    <w:rPr/>
  </w:style>
  <w:style w:type="character" w:styleId="WW8Num23z2" w:customStyle="1">
    <w:name w:val="WW8Num23z2"/>
    <w:qFormat/>
    <w:rPr/>
  </w:style>
  <w:style w:type="character" w:styleId="WW8Num23z3" w:customStyle="1">
    <w:name w:val="WW8Num23z3"/>
    <w:qFormat/>
    <w:rPr/>
  </w:style>
  <w:style w:type="character" w:styleId="WW8Num23z4" w:customStyle="1">
    <w:name w:val="WW8Num23z4"/>
    <w:qFormat/>
    <w:rPr/>
  </w:style>
  <w:style w:type="character" w:styleId="WW8Num23z5" w:customStyle="1">
    <w:name w:val="WW8Num23z5"/>
    <w:qFormat/>
    <w:rPr/>
  </w:style>
  <w:style w:type="character" w:styleId="WW8Num23z6" w:customStyle="1">
    <w:name w:val="WW8Num23z6"/>
    <w:qFormat/>
    <w:rPr/>
  </w:style>
  <w:style w:type="character" w:styleId="WW8Num23z7" w:customStyle="1">
    <w:name w:val="WW8Num23z7"/>
    <w:qFormat/>
    <w:rPr/>
  </w:style>
  <w:style w:type="character" w:styleId="WW8Num23z8" w:customStyle="1">
    <w:name w:val="WW8Num23z8"/>
    <w:qFormat/>
    <w:rPr/>
  </w:style>
  <w:style w:type="character" w:styleId="WW8Num24z0" w:customStyle="1">
    <w:name w:val="WW8Num24z0"/>
    <w:qFormat/>
    <w:rPr>
      <w:rFonts w:ascii="Symbol" w:hAnsi="Symbol" w:cs="Symbol"/>
      <w:sz w:val="16"/>
      <w:szCs w:val="16"/>
    </w:rPr>
  </w:style>
  <w:style w:type="character" w:styleId="WW8Num24z1" w:customStyle="1">
    <w:name w:val="WW8Num24z1"/>
    <w:qFormat/>
    <w:rPr>
      <w:rFonts w:ascii="Courier New" w:hAnsi="Courier New" w:cs="Courier New"/>
    </w:rPr>
  </w:style>
  <w:style w:type="character" w:styleId="WW8Num24z2" w:customStyle="1">
    <w:name w:val="WW8Num24z2"/>
    <w:qFormat/>
    <w:rPr>
      <w:rFonts w:ascii="Wingdings" w:hAnsi="Wingdings" w:cs="Wingdings"/>
    </w:rPr>
  </w:style>
  <w:style w:type="character" w:styleId="WW8Num24z3" w:customStyle="1">
    <w:name w:val="WW8Num24z3"/>
    <w:qFormat/>
    <w:rPr>
      <w:rFonts w:ascii="Symbol" w:hAnsi="Symbol" w:cs="Symbol"/>
    </w:rPr>
  </w:style>
  <w:style w:type="character" w:styleId="WW8Num25z0" w:customStyle="1">
    <w:name w:val="WW8Num25z0"/>
    <w:qFormat/>
    <w:rPr/>
  </w:style>
  <w:style w:type="character" w:styleId="WW8Num25z1" w:customStyle="1">
    <w:name w:val="WW8Num25z1"/>
    <w:qFormat/>
    <w:rPr/>
  </w:style>
  <w:style w:type="character" w:styleId="WW8Num25z2" w:customStyle="1">
    <w:name w:val="WW8Num25z2"/>
    <w:qFormat/>
    <w:rPr/>
  </w:style>
  <w:style w:type="character" w:styleId="WW8Num25z3" w:customStyle="1">
    <w:name w:val="WW8Num25z3"/>
    <w:qFormat/>
    <w:rPr/>
  </w:style>
  <w:style w:type="character" w:styleId="WW8Num25z4" w:customStyle="1">
    <w:name w:val="WW8Num25z4"/>
    <w:qFormat/>
    <w:rPr/>
  </w:style>
  <w:style w:type="character" w:styleId="WW8Num25z5" w:customStyle="1">
    <w:name w:val="WW8Num25z5"/>
    <w:qFormat/>
    <w:rPr/>
  </w:style>
  <w:style w:type="character" w:styleId="WW8Num25z6" w:customStyle="1">
    <w:name w:val="WW8Num25z6"/>
    <w:qFormat/>
    <w:rPr/>
  </w:style>
  <w:style w:type="character" w:styleId="WW8Num25z7" w:customStyle="1">
    <w:name w:val="WW8Num25z7"/>
    <w:qFormat/>
    <w:rPr/>
  </w:style>
  <w:style w:type="character" w:styleId="WW8Num25z8" w:customStyle="1">
    <w:name w:val="WW8Num25z8"/>
    <w:qFormat/>
    <w:rPr/>
  </w:style>
  <w:style w:type="character" w:styleId="WW8Num26z0" w:customStyle="1">
    <w:name w:val="WW8Num26z0"/>
    <w:qFormat/>
    <w:rPr/>
  </w:style>
  <w:style w:type="character" w:styleId="WW8Num26z1" w:customStyle="1">
    <w:name w:val="WW8Num26z1"/>
    <w:qFormat/>
    <w:rPr/>
  </w:style>
  <w:style w:type="character" w:styleId="WW8Num26z2" w:customStyle="1">
    <w:name w:val="WW8Num26z2"/>
    <w:qFormat/>
    <w:rPr/>
  </w:style>
  <w:style w:type="character" w:styleId="WW8Num26z3" w:customStyle="1">
    <w:name w:val="WW8Num26z3"/>
    <w:qFormat/>
    <w:rPr/>
  </w:style>
  <w:style w:type="character" w:styleId="WW8Num26z4" w:customStyle="1">
    <w:name w:val="WW8Num26z4"/>
    <w:qFormat/>
    <w:rPr/>
  </w:style>
  <w:style w:type="character" w:styleId="WW8Num26z5" w:customStyle="1">
    <w:name w:val="WW8Num26z5"/>
    <w:qFormat/>
    <w:rPr/>
  </w:style>
  <w:style w:type="character" w:styleId="WW8Num26z6" w:customStyle="1">
    <w:name w:val="WW8Num26z6"/>
    <w:qFormat/>
    <w:rPr/>
  </w:style>
  <w:style w:type="character" w:styleId="WW8Num26z7" w:customStyle="1">
    <w:name w:val="WW8Num26z7"/>
    <w:qFormat/>
    <w:rPr/>
  </w:style>
  <w:style w:type="character" w:styleId="WW8Num26z8" w:customStyle="1">
    <w:name w:val="WW8Num26z8"/>
    <w:qFormat/>
    <w:rPr/>
  </w:style>
  <w:style w:type="character" w:styleId="WW8Num27z0" w:customStyle="1">
    <w:name w:val="WW8Num27z0"/>
    <w:qFormat/>
    <w:rPr>
      <w:sz w:val="23"/>
      <w:szCs w:val="23"/>
    </w:rPr>
  </w:style>
  <w:style w:type="character" w:styleId="WW8Num27z1" w:customStyle="1">
    <w:name w:val="WW8Num27z1"/>
    <w:qFormat/>
    <w:rPr/>
  </w:style>
  <w:style w:type="character" w:styleId="WW8Num27z2" w:customStyle="1">
    <w:name w:val="WW8Num27z2"/>
    <w:qFormat/>
    <w:rPr/>
  </w:style>
  <w:style w:type="character" w:styleId="WW8Num27z3" w:customStyle="1">
    <w:name w:val="WW8Num27z3"/>
    <w:qFormat/>
    <w:rPr/>
  </w:style>
  <w:style w:type="character" w:styleId="WW8Num27z4" w:customStyle="1">
    <w:name w:val="WW8Num27z4"/>
    <w:qFormat/>
    <w:rPr/>
  </w:style>
  <w:style w:type="character" w:styleId="WW8Num27z5" w:customStyle="1">
    <w:name w:val="WW8Num27z5"/>
    <w:qFormat/>
    <w:rPr/>
  </w:style>
  <w:style w:type="character" w:styleId="WW8Num27z6" w:customStyle="1">
    <w:name w:val="WW8Num27z6"/>
    <w:qFormat/>
    <w:rPr/>
  </w:style>
  <w:style w:type="character" w:styleId="WW8Num27z7" w:customStyle="1">
    <w:name w:val="WW8Num27z7"/>
    <w:qFormat/>
    <w:rPr/>
  </w:style>
  <w:style w:type="character" w:styleId="WW8Num27z8" w:customStyle="1">
    <w:name w:val="WW8Num27z8"/>
    <w:qFormat/>
    <w:rPr/>
  </w:style>
  <w:style w:type="character" w:styleId="WW8Num28z0" w:customStyle="1">
    <w:name w:val="WW8Num28z0"/>
    <w:qFormat/>
    <w:rPr/>
  </w:style>
  <w:style w:type="character" w:styleId="WW8Num28z1" w:customStyle="1">
    <w:name w:val="WW8Num28z1"/>
    <w:qFormat/>
    <w:rPr/>
  </w:style>
  <w:style w:type="character" w:styleId="WW8Num28z2" w:customStyle="1">
    <w:name w:val="WW8Num28z2"/>
    <w:qFormat/>
    <w:rPr/>
  </w:style>
  <w:style w:type="character" w:styleId="WW8Num28z3" w:customStyle="1">
    <w:name w:val="WW8Num28z3"/>
    <w:qFormat/>
    <w:rPr/>
  </w:style>
  <w:style w:type="character" w:styleId="WW8Num28z4" w:customStyle="1">
    <w:name w:val="WW8Num28z4"/>
    <w:qFormat/>
    <w:rPr/>
  </w:style>
  <w:style w:type="character" w:styleId="WW8Num28z5" w:customStyle="1">
    <w:name w:val="WW8Num28z5"/>
    <w:qFormat/>
    <w:rPr/>
  </w:style>
  <w:style w:type="character" w:styleId="WW8Num28z6" w:customStyle="1">
    <w:name w:val="WW8Num28z6"/>
    <w:qFormat/>
    <w:rPr/>
  </w:style>
  <w:style w:type="character" w:styleId="WW8Num28z7" w:customStyle="1">
    <w:name w:val="WW8Num28z7"/>
    <w:qFormat/>
    <w:rPr/>
  </w:style>
  <w:style w:type="character" w:styleId="WW8Num28z8" w:customStyle="1">
    <w:name w:val="WW8Num28z8"/>
    <w:qFormat/>
    <w:rPr/>
  </w:style>
  <w:style w:type="character" w:styleId="WW8Num29z0" w:customStyle="1">
    <w:name w:val="WW8Num29z0"/>
    <w:qFormat/>
    <w:rPr/>
  </w:style>
  <w:style w:type="character" w:styleId="WW8Num29z1" w:customStyle="1">
    <w:name w:val="WW8Num29z1"/>
    <w:qFormat/>
    <w:rPr/>
  </w:style>
  <w:style w:type="character" w:styleId="WW8Num29z2" w:customStyle="1">
    <w:name w:val="WW8Num29z2"/>
    <w:qFormat/>
    <w:rPr/>
  </w:style>
  <w:style w:type="character" w:styleId="WW8Num29z3" w:customStyle="1">
    <w:name w:val="WW8Num29z3"/>
    <w:qFormat/>
    <w:rPr/>
  </w:style>
  <w:style w:type="character" w:styleId="WW8Num29z4" w:customStyle="1">
    <w:name w:val="WW8Num29z4"/>
    <w:qFormat/>
    <w:rPr/>
  </w:style>
  <w:style w:type="character" w:styleId="WW8Num29z5" w:customStyle="1">
    <w:name w:val="WW8Num29z5"/>
    <w:qFormat/>
    <w:rPr/>
  </w:style>
  <w:style w:type="character" w:styleId="WW8Num29z6" w:customStyle="1">
    <w:name w:val="WW8Num29z6"/>
    <w:qFormat/>
    <w:rPr/>
  </w:style>
  <w:style w:type="character" w:styleId="WW8Num29z7" w:customStyle="1">
    <w:name w:val="WW8Num29z7"/>
    <w:qFormat/>
    <w:rPr/>
  </w:style>
  <w:style w:type="character" w:styleId="WW8Num29z8" w:customStyle="1">
    <w:name w:val="WW8Num29z8"/>
    <w:qFormat/>
    <w:rPr/>
  </w:style>
  <w:style w:type="character" w:styleId="WW8Num30z0" w:customStyle="1">
    <w:name w:val="WW8Num30z0"/>
    <w:qFormat/>
    <w:rPr>
      <w:rFonts w:ascii="Symbol" w:hAnsi="Symbol" w:cs="Symbol"/>
      <w:sz w:val="16"/>
      <w:szCs w:val="16"/>
    </w:rPr>
  </w:style>
  <w:style w:type="character" w:styleId="WW8Num31z0" w:customStyle="1">
    <w:name w:val="WW8Num31z0"/>
    <w:qFormat/>
    <w:rPr>
      <w:rFonts w:ascii="Symbol" w:hAnsi="Symbol" w:cs="Symbol"/>
      <w:sz w:val="16"/>
      <w:szCs w:val="16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/>
  </w:style>
  <w:style w:type="character" w:styleId="WW8Num32z1" w:customStyle="1">
    <w:name w:val="WW8Num32z1"/>
    <w:qFormat/>
    <w:rPr/>
  </w:style>
  <w:style w:type="character" w:styleId="WW8Num32z2" w:customStyle="1">
    <w:name w:val="WW8Num32z2"/>
    <w:qFormat/>
    <w:rPr/>
  </w:style>
  <w:style w:type="character" w:styleId="WW8Num32z3" w:customStyle="1">
    <w:name w:val="WW8Num32z3"/>
    <w:qFormat/>
    <w:rPr/>
  </w:style>
  <w:style w:type="character" w:styleId="WW8Num32z4" w:customStyle="1">
    <w:name w:val="WW8Num32z4"/>
    <w:qFormat/>
    <w:rPr/>
  </w:style>
  <w:style w:type="character" w:styleId="WW8Num32z5" w:customStyle="1">
    <w:name w:val="WW8Num32z5"/>
    <w:qFormat/>
    <w:rPr/>
  </w:style>
  <w:style w:type="character" w:styleId="WW8Num32z6" w:customStyle="1">
    <w:name w:val="WW8Num32z6"/>
    <w:qFormat/>
    <w:rPr/>
  </w:style>
  <w:style w:type="character" w:styleId="WW8Num32z7" w:customStyle="1">
    <w:name w:val="WW8Num32z7"/>
    <w:qFormat/>
    <w:rPr/>
  </w:style>
  <w:style w:type="character" w:styleId="WW8Num32z8" w:customStyle="1">
    <w:name w:val="WW8Num32z8"/>
    <w:qFormat/>
    <w:rPr/>
  </w:style>
  <w:style w:type="character" w:styleId="WW8Num33z0" w:customStyle="1">
    <w:name w:val="WW8Num33z0"/>
    <w:qFormat/>
    <w:rPr/>
  </w:style>
  <w:style w:type="character" w:styleId="WW8Num33z1" w:customStyle="1">
    <w:name w:val="WW8Num33z1"/>
    <w:qFormat/>
    <w:rPr/>
  </w:style>
  <w:style w:type="character" w:styleId="WW8Num33z2" w:customStyle="1">
    <w:name w:val="WW8Num33z2"/>
    <w:qFormat/>
    <w:rPr/>
  </w:style>
  <w:style w:type="character" w:styleId="WW8Num33z3" w:customStyle="1">
    <w:name w:val="WW8Num33z3"/>
    <w:qFormat/>
    <w:rPr/>
  </w:style>
  <w:style w:type="character" w:styleId="WW8Num33z4" w:customStyle="1">
    <w:name w:val="WW8Num33z4"/>
    <w:qFormat/>
    <w:rPr/>
  </w:style>
  <w:style w:type="character" w:styleId="WW8Num33z5" w:customStyle="1">
    <w:name w:val="WW8Num33z5"/>
    <w:qFormat/>
    <w:rPr/>
  </w:style>
  <w:style w:type="character" w:styleId="WW8Num33z6" w:customStyle="1">
    <w:name w:val="WW8Num33z6"/>
    <w:qFormat/>
    <w:rPr/>
  </w:style>
  <w:style w:type="character" w:styleId="WW8Num33z7" w:customStyle="1">
    <w:name w:val="WW8Num33z7"/>
    <w:qFormat/>
    <w:rPr/>
  </w:style>
  <w:style w:type="character" w:styleId="WW8Num33z8" w:customStyle="1">
    <w:name w:val="WW8Num33z8"/>
    <w:qFormat/>
    <w:rPr/>
  </w:style>
  <w:style w:type="character" w:styleId="WW8Num34z0" w:customStyle="1">
    <w:name w:val="WW8Num34z0"/>
    <w:qFormat/>
    <w:rPr>
      <w:rFonts w:ascii="Symbol" w:hAnsi="Symbol" w:cs="Symbol"/>
      <w:sz w:val="16"/>
      <w:szCs w:val="16"/>
    </w:rPr>
  </w:style>
  <w:style w:type="character" w:styleId="WW8Num35z0" w:customStyle="1">
    <w:name w:val="WW8Num35z0"/>
    <w:qFormat/>
    <w:rPr/>
  </w:style>
  <w:style w:type="character" w:styleId="WW8Num35z1" w:customStyle="1">
    <w:name w:val="WW8Num35z1"/>
    <w:qFormat/>
    <w:rPr/>
  </w:style>
  <w:style w:type="character" w:styleId="WW8Num35z2" w:customStyle="1">
    <w:name w:val="WW8Num35z2"/>
    <w:qFormat/>
    <w:rPr/>
  </w:style>
  <w:style w:type="character" w:styleId="WW8Num35z3" w:customStyle="1">
    <w:name w:val="WW8Num35z3"/>
    <w:qFormat/>
    <w:rPr/>
  </w:style>
  <w:style w:type="character" w:styleId="WW8Num35z4" w:customStyle="1">
    <w:name w:val="WW8Num35z4"/>
    <w:qFormat/>
    <w:rPr/>
  </w:style>
  <w:style w:type="character" w:styleId="WW8Num35z5" w:customStyle="1">
    <w:name w:val="WW8Num35z5"/>
    <w:qFormat/>
    <w:rPr/>
  </w:style>
  <w:style w:type="character" w:styleId="WW8Num35z6" w:customStyle="1">
    <w:name w:val="WW8Num35z6"/>
    <w:qFormat/>
    <w:rPr/>
  </w:style>
  <w:style w:type="character" w:styleId="WW8Num35z7" w:customStyle="1">
    <w:name w:val="WW8Num35z7"/>
    <w:qFormat/>
    <w:rPr/>
  </w:style>
  <w:style w:type="character" w:styleId="WW8Num35z8" w:customStyle="1">
    <w:name w:val="WW8Num35z8"/>
    <w:qFormat/>
    <w:rPr/>
  </w:style>
  <w:style w:type="character" w:styleId="WW8Num36z0" w:customStyle="1">
    <w:name w:val="WW8Num36z0"/>
    <w:qFormat/>
    <w:rPr/>
  </w:style>
  <w:style w:type="character" w:styleId="WW8Num36z1" w:customStyle="1">
    <w:name w:val="WW8Num36z1"/>
    <w:qFormat/>
    <w:rPr/>
  </w:style>
  <w:style w:type="character" w:styleId="WW8Num36z2" w:customStyle="1">
    <w:name w:val="WW8Num36z2"/>
    <w:qFormat/>
    <w:rPr/>
  </w:style>
  <w:style w:type="character" w:styleId="WW8Num36z3" w:customStyle="1">
    <w:name w:val="WW8Num36z3"/>
    <w:qFormat/>
    <w:rPr/>
  </w:style>
  <w:style w:type="character" w:styleId="WW8Num36z4" w:customStyle="1">
    <w:name w:val="WW8Num36z4"/>
    <w:qFormat/>
    <w:rPr/>
  </w:style>
  <w:style w:type="character" w:styleId="WW8Num36z5" w:customStyle="1">
    <w:name w:val="WW8Num36z5"/>
    <w:qFormat/>
    <w:rPr/>
  </w:style>
  <w:style w:type="character" w:styleId="WW8Num36z6" w:customStyle="1">
    <w:name w:val="WW8Num36z6"/>
    <w:qFormat/>
    <w:rPr/>
  </w:style>
  <w:style w:type="character" w:styleId="WW8Num36z7" w:customStyle="1">
    <w:name w:val="WW8Num36z7"/>
    <w:qFormat/>
    <w:rPr/>
  </w:style>
  <w:style w:type="character" w:styleId="WW8Num36z8" w:customStyle="1">
    <w:name w:val="WW8Num36z8"/>
    <w:qFormat/>
    <w:rPr/>
  </w:style>
  <w:style w:type="character" w:styleId="Domylnaczcionkaakapitu1" w:customStyle="1">
    <w:name w:val="Domyślna czcionka akapitu1"/>
    <w:qFormat/>
    <w:rPr/>
  </w:style>
  <w:style w:type="character" w:styleId="ZnakZnak8" w:customStyle="1">
    <w:name w:val="Znak Znak8"/>
    <w:qFormat/>
    <w:rPr>
      <w:rFonts w:ascii="Cambria" w:hAnsi="Cambria" w:cs="Cambria"/>
      <w:b/>
      <w:bCs/>
      <w:color w:val="365F91"/>
      <w:sz w:val="28"/>
      <w:szCs w:val="28"/>
      <w:lang w:val="x-none" w:eastAsia="ar-SA" w:bidi="ar-SA"/>
    </w:rPr>
  </w:style>
  <w:style w:type="character" w:styleId="ZnakZnak7" w:customStyle="1">
    <w:name w:val="Znak Znak7"/>
    <w:qFormat/>
    <w:rPr>
      <w:rFonts w:ascii="Times New Roman" w:hAnsi="Times New Roman" w:cs="Times New Roman"/>
      <w:sz w:val="24"/>
      <w:szCs w:val="24"/>
    </w:rPr>
  </w:style>
  <w:style w:type="character" w:styleId="ZnakZnak6" w:customStyle="1">
    <w:name w:val="Znak Znak6"/>
    <w:qFormat/>
    <w:rPr>
      <w:rFonts w:ascii="Times New Roman" w:hAnsi="Times New Roman" w:cs="Times New Roman"/>
      <w:sz w:val="24"/>
      <w:szCs w:val="24"/>
    </w:rPr>
  </w:style>
  <w:style w:type="character" w:styleId="ZnakZnak5" w:customStyle="1">
    <w:name w:val="Znak Znak5"/>
    <w:qFormat/>
    <w:rPr>
      <w:rFonts w:ascii="Tahoma" w:hAnsi="Tahoma" w:cs="Tahoma"/>
      <w:sz w:val="16"/>
      <w:szCs w:val="16"/>
    </w:rPr>
  </w:style>
  <w:style w:type="character" w:styleId="ZnakZnak4" w:customStyle="1">
    <w:name w:val="Znak Znak4"/>
    <w:qFormat/>
    <w:rPr>
      <w:rFonts w:ascii="Times New Roman" w:hAnsi="Times New Roman" w:cs="Times New Roman"/>
      <w:b/>
      <w:bCs/>
      <w:sz w:val="24"/>
      <w:szCs w:val="24"/>
      <w:lang w:val="x-none" w:eastAsia="ar-SA" w:bidi="ar-SA"/>
    </w:rPr>
  </w:style>
  <w:style w:type="character" w:styleId="ZnakZnak3" w:customStyle="1">
    <w:name w:val="Znak Znak3"/>
    <w:qFormat/>
    <w:rPr>
      <w:rFonts w:ascii="Times New Roman" w:hAnsi="Times New Roman" w:cs="Times New Roman"/>
      <w:b/>
      <w:bCs/>
      <w:sz w:val="24"/>
      <w:szCs w:val="24"/>
      <w:lang w:val="x-none" w:eastAsia="ar-SA" w:bidi="ar-SA"/>
    </w:rPr>
  </w:style>
  <w:style w:type="character" w:styleId="ZnakZnak2" w:customStyle="1">
    <w:name w:val="Znak Znak2"/>
    <w:qFormat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styleId="NoSpacingChar" w:customStyle="1">
    <w:name w:val="No Spacing Char"/>
    <w:qFormat/>
    <w:rPr>
      <w:rFonts w:eastAsia="Times New Roman" w:cs="Calibri"/>
      <w:sz w:val="22"/>
      <w:szCs w:val="22"/>
      <w:lang w:val="pl-PL" w:eastAsia="ar-SA" w:bidi="ar-SA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ZnakZnak1" w:customStyle="1">
    <w:name w:val="Znak Znak1"/>
    <w:qFormat/>
    <w:rPr>
      <w:rFonts w:ascii="Times New Roman" w:hAnsi="Times New Roman" w:cs="Times New Roman"/>
      <w:sz w:val="20"/>
      <w:szCs w:val="20"/>
      <w:lang w:val="x-none"/>
    </w:rPr>
  </w:style>
  <w:style w:type="character" w:styleId="ZnakZnak" w:customStyle="1">
    <w:name w:val="Znak Znak"/>
    <w:qFormat/>
    <w:rPr>
      <w:rFonts w:ascii="Times New Roman" w:hAnsi="Times New Roman" w:cs="Times New Roman"/>
      <w:sz w:val="24"/>
      <w:szCs w:val="24"/>
    </w:rPr>
  </w:style>
  <w:style w:type="character" w:styleId="Znakinumeracji" w:customStyle="1">
    <w:name w:val="Znaki numeracji"/>
    <w:qFormat/>
    <w:rPr/>
  </w:style>
  <w:style w:type="character" w:styleId="HeaderChar" w:customStyle="1">
    <w:name w:val="Header Char"/>
    <w:qFormat/>
    <w:locked/>
    <w:rsid w:val="0051375d"/>
    <w:rPr>
      <w:rFonts w:eastAsia="Calibri"/>
      <w:sz w:val="24"/>
      <w:szCs w:val="24"/>
      <w:lang w:val="pl-PL" w:eastAsia="ar-SA" w:bidi="ar-SA"/>
    </w:rPr>
  </w:style>
  <w:style w:type="character" w:styleId="CommentReference">
    <w:name w:val="Comment Reference"/>
    <w:qFormat/>
    <w:rsid w:val="00570477"/>
    <w:rPr>
      <w:sz w:val="16"/>
      <w:szCs w:val="16"/>
    </w:rPr>
  </w:style>
  <w:style w:type="character" w:styleId="CommentTextChar" w:customStyle="1">
    <w:name w:val="Comment Text Char"/>
    <w:link w:val="CommentText"/>
    <w:qFormat/>
    <w:rsid w:val="00570477"/>
    <w:rPr>
      <w:rFonts w:eastAsia="Calibri"/>
      <w:lang w:eastAsia="ar-SA"/>
    </w:rPr>
  </w:style>
  <w:style w:type="character" w:styleId="CommentSubjectChar" w:customStyle="1">
    <w:name w:val="Comment Subject Char"/>
    <w:link w:val="annotationsubject"/>
    <w:qFormat/>
    <w:rsid w:val="00570477"/>
    <w:rPr>
      <w:rFonts w:eastAsia="Calibri"/>
      <w:b/>
      <w:bCs/>
      <w:lang w:eastAsia="ar-SA"/>
    </w:rPr>
  </w:style>
  <w:style w:type="character" w:styleId="markedcontent" w:customStyle="1">
    <w:name w:val="markedcontent"/>
    <w:basedOn w:val="DefaultParagraphFont"/>
    <w:uiPriority w:val="99"/>
    <w:qFormat/>
    <w:rsid w:val="07258d9a"/>
    <w:rPr/>
  </w:style>
  <w:style w:type="character" w:styleId="ListParagraphChar" w:customStyle="1">
    <w:name w:val="List Paragraph Char"/>
    <w:link w:val="ListParagraph"/>
    <w:uiPriority w:val="34"/>
    <w:qFormat/>
    <w:locked/>
    <w:rsid w:val="001b1f03"/>
    <w:rPr>
      <w:rFonts w:eastAsia="Calibri"/>
      <w:sz w:val="24"/>
      <w:szCs w:val="24"/>
      <w:lang w:eastAsia="ar-SA"/>
    </w:rPr>
  </w:style>
  <w:style w:type="character" w:styleId="Brak" w:customStyle="1">
    <w:name w:val="Brak"/>
    <w:qFormat/>
    <w:rsid w:val="003f291d"/>
    <w:rPr/>
  </w:style>
  <w:style w:type="character" w:styleId="czeindeksuuser">
    <w:name w:val="Łącze indeksu (user)"/>
    <w:qFormat/>
    <w:rPr/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20"/>
    </w:pPr>
    <w:rPr>
      <w:rFonts w:eastAsia="Times New Roman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Podpis1" w:customStyle="1">
    <w:name w:val="Podpis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Subtitle"/>
    <w:qFormat/>
    <w:pPr>
      <w:spacing w:lineRule="auto" w:line="240" w:before="0" w:after="0"/>
      <w:jc w:val="center"/>
    </w:pPr>
    <w:rPr>
      <w:rFonts w:eastAsia="Times New Roman"/>
      <w:b/>
      <w:bCs/>
      <w:sz w:val="36"/>
      <w:szCs w:val="36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eastAsia="Times New Roman"/>
      <w:b/>
      <w:bCs/>
      <w:sz w:val="28"/>
      <w:szCs w:val="28"/>
    </w:rPr>
  </w:style>
  <w:style w:type="paragraph" w:styleId="tytul" w:customStyle="1">
    <w:name w:val="tytul"/>
    <w:basedOn w:val="Normal"/>
    <w:qFormat/>
    <w:pPr>
      <w:spacing w:lineRule="auto" w:line="240" w:before="280" w:after="45"/>
    </w:pPr>
    <w:rPr>
      <w:rFonts w:ascii="Tahoma" w:hAnsi="Tahoma" w:cs="Tahoma"/>
      <w:b/>
      <w:bCs/>
      <w:sz w:val="21"/>
      <w:szCs w:val="21"/>
    </w:rPr>
  </w:style>
  <w:style w:type="paragraph" w:styleId="aktualizacja" w:customStyle="1">
    <w:name w:val="aktualizacja"/>
    <w:basedOn w:val="Normal"/>
    <w:qFormat/>
    <w:pPr>
      <w:spacing w:lineRule="auto" w:line="240" w:before="0" w:after="280"/>
    </w:pPr>
    <w:rPr>
      <w:rFonts w:ascii="Tahoma" w:hAnsi="Tahoma" w:cs="Tahoma"/>
      <w:sz w:val="14"/>
      <w:szCs w:val="14"/>
    </w:rPr>
  </w:style>
  <w:style w:type="paragraph" w:styleId="zawod" w:customStyle="1">
    <w:name w:val="zawod"/>
    <w:basedOn w:val="Normal"/>
    <w:qFormat/>
    <w:pPr>
      <w:spacing w:lineRule="auto" w:line="240" w:before="280" w:after="280"/>
    </w:pPr>
    <w:rPr>
      <w:rFonts w:ascii="Tahoma" w:hAnsi="Tahoma" w:cs="Tahoma"/>
      <w:b/>
      <w:bCs/>
      <w:sz w:val="21"/>
      <w:szCs w:val="21"/>
    </w:rPr>
  </w:style>
  <w:style w:type="paragraph" w:styleId="Bezodstpw1" w:customStyle="1">
    <w:name w:val="Bez odstępów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Times New Roman" w:cs="Calibri"/>
      <w:color w:val="auto"/>
      <w:kern w:val="0"/>
      <w:sz w:val="22"/>
      <w:szCs w:val="22"/>
      <w:lang w:val="pl-PL" w:eastAsia="ar-SA" w:bidi="ar-SA"/>
    </w:rPr>
  </w:style>
  <w:style w:type="paragraph" w:styleId="TOC2">
    <w:name w:val="toc 2"/>
    <w:basedOn w:val="Normal"/>
    <w:next w:val="Normal"/>
    <w:pPr>
      <w:spacing w:lineRule="auto" w:line="240" w:before="0" w:after="0"/>
      <w:ind w:start="240"/>
    </w:pPr>
    <w:rPr>
      <w:rFonts w:eastAsia="Times New Roman"/>
    </w:rPr>
  </w:style>
  <w:style w:type="paragraph" w:styleId="TOC1">
    <w:name w:val="toc 1"/>
    <w:basedOn w:val="Normal"/>
    <w:next w:val="Normal"/>
    <w:uiPriority w:val="39"/>
    <w:pPr>
      <w:spacing w:lineRule="auto" w:line="240" w:before="0" w:after="0"/>
    </w:pPr>
    <w:rPr>
      <w:rFonts w:eastAsia="Times New Roman"/>
    </w:rPr>
  </w:style>
  <w:style w:type="paragraph" w:styleId="Akapitzlist1" w:customStyle="1">
    <w:name w:val="Akapit z listą1"/>
    <w:basedOn w:val="Normal"/>
    <w:qFormat/>
    <w:pPr>
      <w:ind w:start="720"/>
    </w:pPr>
    <w:rPr/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pl-PL" w:eastAsia="ar-SA" w:bidi="ar-SA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eastAsia="Times New Roman"/>
      <w:sz w:val="20"/>
      <w:szCs w:val="20"/>
    </w:rPr>
  </w:style>
  <w:style w:type="paragraph" w:styleId="Tekstpodstawowywcity21" w:customStyle="1">
    <w:name w:val="Tekst podstawowy wcięty 21"/>
    <w:basedOn w:val="Normal"/>
    <w:qFormat/>
    <w:pPr>
      <w:spacing w:lineRule="auto" w:line="480" w:before="0" w:after="120"/>
      <w:ind w:start="283"/>
    </w:pPr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CommentText">
    <w:name w:val="Comment Text"/>
    <w:basedOn w:val="Normal"/>
    <w:link w:val="CommentTextChar"/>
    <w:qFormat/>
    <w:rsid w:val="0057047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570477"/>
    <w:pPr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0" w:after="200"/>
      <w:ind w:star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l-PL" w:eastAsia="ja-JP" w:bidi="ar-SA"/>
    </w:rPr>
  </w:style>
  <w:style w:type="paragraph" w:styleId="Zawartoramkiuser">
    <w:name w:val="Zawartość ramki (user)"/>
    <w:basedOn w:val="Normal"/>
    <w:qFormat/>
    <w:pPr/>
    <w:rPr/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LibreOffice/25.8.6.2$Windows_X86_64 LibreOffice_project/b4b39682cd9868fa725bc664aff94278d315bd04</Application>
  <AppVersion>15.0000</AppVersion>
  <Pages>12</Pages>
  <Words>1898</Words>
  <Characters>12809</Characters>
  <CharactersWithSpaces>14469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2024-06-18T07:11:00Z</dcterms:created>
  <dc:creator>Marcin</dc:creator>
  <dc:description/>
  <dc:language>pl-PL</dc:language>
  <cp:lastModifiedBy/>
  <cp:lastPrinted>2022-12-23T10:38:00Z</cp:lastPrinted>
  <dcterms:modified xsi:type="dcterms:W3CDTF">2026-05-27T08:42:24Z</dcterms:modified>
  <cp:revision>131</cp:revision>
  <dc:subject/>
  <dc:title>Indywidualny plan dydaktyczny z przedmiotu "Bazy Danych"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ActionId">
    <vt:lpwstr>f7c8bc4d-9568-40bb-83d1-3973d2ded1c2</vt:lpwstr>
  </property>
  <property fmtid="{D5CDD505-2E9C-101B-9397-08002B2CF9AE}" pid="3" name="MSIP_Label_9386b39a-f873-4afb-95b7-159453b5f857_ContentBits">
    <vt:lpwstr>0</vt:lpwstr>
  </property>
  <property fmtid="{D5CDD505-2E9C-101B-9397-08002B2CF9AE}" pid="4" name="MSIP_Label_9386b39a-f873-4afb-95b7-159453b5f857_Enabled">
    <vt:lpwstr>true</vt:lpwstr>
  </property>
  <property fmtid="{D5CDD505-2E9C-101B-9397-08002B2CF9AE}" pid="5" name="MSIP_Label_9386b39a-f873-4afb-95b7-159453b5f857_Method">
    <vt:lpwstr>Standard</vt:lpwstr>
  </property>
  <property fmtid="{D5CDD505-2E9C-101B-9397-08002B2CF9AE}" pid="6" name="MSIP_Label_9386b39a-f873-4afb-95b7-159453b5f857_Name">
    <vt:lpwstr>General</vt:lpwstr>
  </property>
  <property fmtid="{D5CDD505-2E9C-101B-9397-08002B2CF9AE}" pid="7" name="MSIP_Label_9386b39a-f873-4afb-95b7-159453b5f857_SetDate">
    <vt:lpwstr>2024-06-18T07:11:40Z</vt:lpwstr>
  </property>
  <property fmtid="{D5CDD505-2E9C-101B-9397-08002B2CF9AE}" pid="8" name="MSIP_Label_9386b39a-f873-4afb-95b7-159453b5f857_SiteId">
    <vt:lpwstr>3d918542-68a9-4e89-ac7a-0f74754ddb24</vt:lpwstr>
  </property>
</Properties>
</file>