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572B82"/>
        </w:rPr>
        <w:t>Thesis Progress </w:t>
      </w:r>
      <w:r>
        <w:rPr>
          <w:color w:val="572B82"/>
          <w:spacing w:val="-2"/>
        </w:rPr>
        <w:t>Report</w:t>
      </w:r>
    </w:p>
    <w:p>
      <w:pPr>
        <w:spacing w:before="128"/>
        <w:ind w:left="0" w:right="0" w:firstLine="0"/>
        <w:jc w:val="center"/>
        <w:rPr>
          <w:sz w:val="22"/>
        </w:rPr>
      </w:pPr>
      <w:r>
        <w:rPr>
          <w:color w:val="444444"/>
          <w:sz w:val="22"/>
        </w:rPr>
        <w:t>Hallucination Evaluation in LLM-Based Medical </w:t>
      </w:r>
      <w:r>
        <w:rPr>
          <w:color w:val="444444"/>
          <w:spacing w:val="-2"/>
          <w:sz w:val="22"/>
        </w:rPr>
        <w:t>Summarization</w:t>
      </w:r>
    </w:p>
    <w:p>
      <w:pPr>
        <w:spacing w:line="302" w:lineRule="auto" w:before="179"/>
        <w:ind w:left="1983" w:right="1968" w:firstLine="0"/>
        <w:jc w:val="center"/>
        <w:rPr>
          <w:sz w:val="22"/>
        </w:rPr>
      </w:pPr>
      <w:r>
        <w:rPr>
          <w:color w:val="444444"/>
          <w:sz w:val="22"/>
        </w:rPr>
        <w:t>California</w:t>
      </w:r>
      <w:r>
        <w:rPr>
          <w:color w:val="444444"/>
          <w:spacing w:val="-7"/>
          <w:sz w:val="22"/>
        </w:rPr>
        <w:t> </w:t>
      </w:r>
      <w:r>
        <w:rPr>
          <w:color w:val="444444"/>
          <w:sz w:val="22"/>
        </w:rPr>
        <w:t>State</w:t>
      </w:r>
      <w:r>
        <w:rPr>
          <w:color w:val="444444"/>
          <w:spacing w:val="-7"/>
          <w:sz w:val="22"/>
        </w:rPr>
        <w:t> </w:t>
      </w:r>
      <w:r>
        <w:rPr>
          <w:color w:val="444444"/>
          <w:sz w:val="22"/>
        </w:rPr>
        <w:t>University,</w:t>
      </w:r>
      <w:r>
        <w:rPr>
          <w:color w:val="444444"/>
          <w:spacing w:val="-7"/>
          <w:sz w:val="22"/>
        </w:rPr>
        <w:t> </w:t>
      </w:r>
      <w:r>
        <w:rPr>
          <w:color w:val="444444"/>
          <w:sz w:val="22"/>
        </w:rPr>
        <w:t>Northridge</w:t>
      </w:r>
      <w:r>
        <w:rPr>
          <w:color w:val="444444"/>
          <w:spacing w:val="-7"/>
          <w:sz w:val="22"/>
        </w:rPr>
        <w:t> </w:t>
      </w:r>
      <w:r>
        <w:rPr>
          <w:color w:val="444444"/>
          <w:sz w:val="22"/>
        </w:rPr>
        <w:t>·</w:t>
      </w:r>
      <w:r>
        <w:rPr>
          <w:color w:val="444444"/>
          <w:spacing w:val="-7"/>
          <w:sz w:val="22"/>
        </w:rPr>
        <w:t> </w:t>
      </w:r>
      <w:r>
        <w:rPr>
          <w:color w:val="444444"/>
          <w:sz w:val="22"/>
        </w:rPr>
        <w:t>Comp</w:t>
      </w:r>
      <w:r>
        <w:rPr>
          <w:color w:val="444444"/>
          <w:spacing w:val="-7"/>
          <w:sz w:val="22"/>
        </w:rPr>
        <w:t> </w:t>
      </w:r>
      <w:r>
        <w:rPr>
          <w:color w:val="444444"/>
          <w:sz w:val="22"/>
        </w:rPr>
        <w:t>696C April 2026</w:t>
      </w:r>
    </w:p>
    <w:p>
      <w:pPr>
        <w:pStyle w:val="BodyText"/>
        <w:spacing w:before="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183359</wp:posOffset>
                </wp:positionV>
                <wp:extent cx="57912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72B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4.437735pt;width:456pt;height:.1pt;mso-position-horizontal-relative:page;mso-position-vertical-relative:paragraph;z-index:-15728640;mso-wrap-distance-left:0;mso-wrap-distance-right:0" id="docshape1" coordorigin="1560,289" coordsize="9120,0" path="m1560,289l10680,289e" filled="false" stroked="true" strokeweight="1pt" strokecolor="#572b8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1" w:after="0"/>
        <w:ind w:left="386" w:right="0" w:hanging="266"/>
        <w:jc w:val="left"/>
      </w:pPr>
      <w:r>
        <w:rPr>
          <w:color w:val="572B82"/>
        </w:rPr>
        <w:t>Project </w:t>
      </w:r>
      <w:r>
        <w:rPr>
          <w:color w:val="572B82"/>
          <w:spacing w:val="-2"/>
        </w:rPr>
        <w:t>Overview</w:t>
      </w:r>
    </w:p>
    <w:p>
      <w:pPr>
        <w:pStyle w:val="BodyText"/>
        <w:spacing w:before="1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990600</wp:posOffset>
                </wp:positionH>
                <wp:positionV relativeFrom="paragraph">
                  <wp:posOffset>81944</wp:posOffset>
                </wp:positionV>
                <wp:extent cx="57912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72B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6.452344pt;width:456pt;height:.1pt;mso-position-horizontal-relative:page;mso-position-vertical-relative:paragraph;z-index:-15728128;mso-wrap-distance-left:0;mso-wrap-distance-right:0" id="docshape2" coordorigin="1560,129" coordsize="9120,0" path="m1560,129l10680,129e" filled="false" stroked="true" strokeweight="1pt" strokecolor="#572b8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92" w:lineRule="auto"/>
        <w:ind w:left="120" w:right="116"/>
        <w:jc w:val="both"/>
      </w:pPr>
      <w:r>
        <w:rPr>
          <w:color w:val="444444"/>
        </w:rPr>
        <w:t>This thesis investigates the extent to which hallucinations occur in large language model </w:t>
      </w:r>
      <w:r>
        <w:rPr>
          <w:color w:val="444444"/>
        </w:rPr>
        <w:t>(LLM) generated summaries of clinical notes, and whether retrieval-augmented generation (RAG) mitigates them. The evaluation pipeline applies Natural Language Inference (NLI) to classify each generated claim</w:t>
      </w:r>
      <w:r>
        <w:rPr>
          <w:color w:val="444444"/>
          <w:spacing w:val="80"/>
        </w:rPr>
        <w:t> </w:t>
      </w:r>
      <w:r>
        <w:rPr>
          <w:color w:val="444444"/>
        </w:rPr>
        <w:t>as</w:t>
      </w:r>
      <w:r>
        <w:rPr>
          <w:color w:val="444444"/>
          <w:spacing w:val="80"/>
        </w:rPr>
        <w:t> </w:t>
      </w:r>
      <w:r>
        <w:rPr>
          <w:color w:val="444444"/>
        </w:rPr>
        <w:t>Supported,</w:t>
      </w:r>
      <w:r>
        <w:rPr>
          <w:color w:val="444444"/>
          <w:spacing w:val="80"/>
        </w:rPr>
        <w:t> </w:t>
      </w:r>
      <w:r>
        <w:rPr>
          <w:color w:val="444444"/>
        </w:rPr>
        <w:t>Not-Supported,</w:t>
      </w:r>
      <w:r>
        <w:rPr>
          <w:color w:val="444444"/>
          <w:spacing w:val="80"/>
        </w:rPr>
        <w:t> </w:t>
      </w:r>
      <w:r>
        <w:rPr>
          <w:color w:val="444444"/>
        </w:rPr>
        <w:t>or</w:t>
      </w:r>
      <w:r>
        <w:rPr>
          <w:color w:val="444444"/>
          <w:spacing w:val="80"/>
        </w:rPr>
        <w:t> </w:t>
      </w:r>
      <w:r>
        <w:rPr>
          <w:color w:val="444444"/>
        </w:rPr>
        <w:t>Contradicted</w:t>
      </w:r>
      <w:r>
        <w:rPr>
          <w:color w:val="444444"/>
          <w:spacing w:val="80"/>
        </w:rPr>
        <w:t> </w:t>
      </w:r>
      <w:r>
        <w:rPr>
          <w:color w:val="444444"/>
        </w:rPr>
        <w:t>by</w:t>
      </w:r>
      <w:r>
        <w:rPr>
          <w:color w:val="444444"/>
          <w:spacing w:val="80"/>
        </w:rPr>
        <w:t> </w:t>
      </w:r>
      <w:r>
        <w:rPr>
          <w:color w:val="444444"/>
        </w:rPr>
        <w:t>the</w:t>
      </w:r>
      <w:r>
        <w:rPr>
          <w:color w:val="444444"/>
          <w:spacing w:val="80"/>
        </w:rPr>
        <w:t> </w:t>
      </w:r>
      <w:r>
        <w:rPr>
          <w:color w:val="444444"/>
        </w:rPr>
        <w:t>source</w:t>
      </w:r>
      <w:r>
        <w:rPr>
          <w:color w:val="444444"/>
          <w:spacing w:val="80"/>
        </w:rPr>
        <w:t> </w:t>
      </w:r>
      <w:r>
        <w:rPr>
          <w:color w:val="444444"/>
        </w:rPr>
        <w:t>document,</w:t>
      </w:r>
      <w:r>
        <w:rPr>
          <w:color w:val="444444"/>
          <w:spacing w:val="80"/>
        </w:rPr>
        <w:t> </w:t>
      </w:r>
      <w:r>
        <w:rPr>
          <w:color w:val="444444"/>
        </w:rPr>
        <w:t>yielding</w:t>
      </w:r>
      <w:r>
        <w:rPr>
          <w:color w:val="444444"/>
          <w:spacing w:val="80"/>
        </w:rPr>
        <w:t> </w:t>
      </w:r>
      <w:r>
        <w:rPr>
          <w:color w:val="444444"/>
        </w:rPr>
        <w:t>two per-summary metrics: Unsupported Fact Rate (UFR) and Contradiction Rate (CR).</w:t>
      </w:r>
    </w:p>
    <w:p>
      <w:pPr>
        <w:pStyle w:val="BodyText"/>
        <w:spacing w:before="90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>
          <w:color w:val="572B82"/>
        </w:rPr>
        <w:t>Work </w:t>
      </w:r>
      <w:r>
        <w:rPr>
          <w:color w:val="572B82"/>
          <w:spacing w:val="-2"/>
        </w:rPr>
        <w:t>Completed</w:t>
      </w:r>
    </w:p>
    <w:p>
      <w:pPr>
        <w:pStyle w:val="BodyText"/>
        <w:spacing w:before="1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990600</wp:posOffset>
                </wp:positionH>
                <wp:positionV relativeFrom="paragraph">
                  <wp:posOffset>82017</wp:posOffset>
                </wp:positionV>
                <wp:extent cx="57912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72B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6.458106pt;width:456pt;height:.1pt;mso-position-horizontal-relative:page;mso-position-vertical-relative:paragraph;z-index:-15727616;mso-wrap-distance-left:0;mso-wrap-distance-right:0" id="docshape3" coordorigin="1560,129" coordsize="9120,0" path="m1560,129l10680,129e" filled="false" stroked="true" strokeweight="1pt" strokecolor="#572b8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63" w:val="left" w:leader="none"/>
        </w:tabs>
        <w:spacing w:line="271" w:lineRule="auto" w:before="122" w:after="0"/>
        <w:ind w:left="440" w:right="117" w:firstLine="0"/>
        <w:jc w:val="left"/>
        <w:rPr>
          <w:sz w:val="20"/>
        </w:rPr>
      </w:pPr>
      <w:r>
        <w:rPr>
          <w:color w:val="444444"/>
          <w:sz w:val="20"/>
        </w:rPr>
        <w:t>MTSamples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data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pipeline: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loaded,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filtered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(Discharge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Summary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+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Consult–H&amp;P;),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and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sampled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50 clinical notes (seed=42) for reproducibility.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20" w:after="0"/>
        <w:ind w:left="565" w:right="0" w:hanging="125"/>
        <w:jc w:val="left"/>
        <w:rPr>
          <w:sz w:val="20"/>
        </w:rPr>
      </w:pPr>
      <w:r>
        <w:rPr>
          <w:color w:val="444444"/>
          <w:sz w:val="20"/>
        </w:rPr>
        <w:t>E0 Baseline: GPT-4o-mini summaries generated from full clinical note (no </w:t>
      </w:r>
      <w:r>
        <w:rPr>
          <w:color w:val="444444"/>
          <w:spacing w:val="-2"/>
          <w:sz w:val="20"/>
        </w:rPr>
        <w:t>retrieval).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71" w:lineRule="auto" w:before="50" w:after="0"/>
        <w:ind w:left="440" w:right="1467" w:firstLine="0"/>
        <w:jc w:val="left"/>
        <w:rPr>
          <w:sz w:val="20"/>
        </w:rPr>
      </w:pPr>
      <w:r>
        <w:rPr>
          <w:color w:val="444444"/>
          <w:sz w:val="20"/>
        </w:rPr>
        <w:t>E1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RAG: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GPT-4o-mini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summaries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generated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from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top-3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retrieved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sentence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chunks (all-MiniLM-L6-v2 bi-encoder).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71" w:lineRule="auto" w:before="21" w:after="0"/>
        <w:ind w:left="440" w:right="210" w:firstLine="0"/>
        <w:jc w:val="left"/>
        <w:rPr>
          <w:sz w:val="20"/>
        </w:rPr>
      </w:pPr>
      <w:r>
        <w:rPr>
          <w:color w:val="444444"/>
          <w:sz w:val="20"/>
        </w:rPr>
        <w:t>E2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Extractive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Baseline: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centroid-based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sentence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extraction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(top-5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most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representative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sentences by mean cosine similarity) — no LLM call.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54" w:lineRule="auto" w:before="6" w:after="0"/>
        <w:ind w:left="440" w:right="464" w:firstLine="0"/>
        <w:jc w:val="left"/>
        <w:rPr>
          <w:sz w:val="20"/>
        </w:rPr>
      </w:pPr>
      <w:r>
        <w:rPr>
          <w:color w:val="444444"/>
          <w:sz w:val="20"/>
        </w:rPr>
        <w:t>Claim-level NLI evaluation framework: spaCy sentence segmentation </w:t>
      </w:r>
      <w:r>
        <w:rPr>
          <w:rFonts w:ascii="Symbol" w:hAnsi="Symbol"/>
          <w:color w:val="444444"/>
          <w:sz w:val="20"/>
        </w:rPr>
        <w:t></w:t>
      </w:r>
      <w:r>
        <w:rPr>
          <w:rFonts w:ascii="Times New Roman" w:hAnsi="Times New Roman"/>
          <w:color w:val="444444"/>
          <w:sz w:val="20"/>
        </w:rPr>
        <w:t> </w:t>
      </w:r>
      <w:r>
        <w:rPr>
          <w:color w:val="444444"/>
          <w:sz w:val="20"/>
        </w:rPr>
        <w:t>bi-encoder evidence retrieval</w:t>
      </w:r>
      <w:r>
        <w:rPr>
          <w:color w:val="444444"/>
          <w:spacing w:val="-5"/>
          <w:sz w:val="20"/>
        </w:rPr>
        <w:t> </w:t>
      </w:r>
      <w:r>
        <w:rPr>
          <w:rFonts w:ascii="Symbol" w:hAnsi="Symbol"/>
          <w:color w:val="444444"/>
          <w:sz w:val="20"/>
        </w:rPr>
        <w:t></w:t>
      </w:r>
      <w:r>
        <w:rPr>
          <w:rFonts w:ascii="Times New Roman" w:hAnsi="Times New Roman"/>
          <w:color w:val="444444"/>
          <w:sz w:val="20"/>
        </w:rPr>
        <w:t> </w:t>
      </w:r>
      <w:r>
        <w:rPr>
          <w:color w:val="444444"/>
          <w:sz w:val="20"/>
        </w:rPr>
        <w:t>cross-encoder/nli-MiniLM2-L6-H768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support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classification</w:t>
      </w:r>
      <w:r>
        <w:rPr>
          <w:color w:val="444444"/>
          <w:spacing w:val="-5"/>
          <w:sz w:val="20"/>
        </w:rPr>
        <w:t> </w:t>
      </w:r>
      <w:r>
        <w:rPr>
          <w:rFonts w:ascii="Symbol" w:hAnsi="Symbol"/>
          <w:color w:val="444444"/>
          <w:sz w:val="20"/>
        </w:rPr>
        <w:t></w:t>
      </w:r>
      <w:r>
        <w:rPr>
          <w:rFonts w:ascii="Times New Roman" w:hAnsi="Times New Roman"/>
          <w:color w:val="444444"/>
          <w:sz w:val="20"/>
        </w:rPr>
        <w:t> </w:t>
      </w:r>
      <w:r>
        <w:rPr>
          <w:color w:val="444444"/>
          <w:sz w:val="20"/>
        </w:rPr>
        <w:t>UFR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/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CR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aggregation.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34" w:after="0"/>
        <w:ind w:left="565" w:right="0" w:hanging="125"/>
        <w:jc w:val="left"/>
        <w:rPr>
          <w:sz w:val="20"/>
        </w:rPr>
      </w:pPr>
      <w:r>
        <w:rPr>
          <w:color w:val="444444"/>
          <w:sz w:val="20"/>
        </w:rPr>
        <w:t>Wilcoxon signed-rank tests (two-sided) comparing E0 vs E1 for both UFR and </w:t>
      </w:r>
      <w:r>
        <w:rPr>
          <w:color w:val="444444"/>
          <w:spacing w:val="-5"/>
          <w:sz w:val="20"/>
        </w:rPr>
        <w:t>CR.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71" w:lineRule="auto" w:before="50" w:after="0"/>
        <w:ind w:left="440" w:right="443" w:firstLine="0"/>
        <w:jc w:val="left"/>
        <w:rPr>
          <w:sz w:val="20"/>
        </w:rPr>
      </w:pPr>
      <w:r>
        <w:rPr>
          <w:color w:val="444444"/>
          <w:sz w:val="20"/>
        </w:rPr>
        <w:t>Aggregate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statistics,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per-sample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comparison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table,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and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four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diagnostic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plots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(box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plots,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scatter plot, improvement bar chart) saved to results/.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21" w:after="0"/>
        <w:ind w:left="565" w:right="0" w:hanging="125"/>
        <w:jc w:val="left"/>
        <w:rPr>
          <w:sz w:val="20"/>
        </w:rPr>
      </w:pPr>
      <w:r>
        <w:rPr>
          <w:color w:val="444444"/>
          <w:sz w:val="20"/>
        </w:rPr>
        <w:t>CITI Human Subjects Research training completed (certification on </w:t>
      </w:r>
      <w:r>
        <w:rPr>
          <w:color w:val="444444"/>
          <w:spacing w:val="-2"/>
          <w:sz w:val="20"/>
        </w:rPr>
        <w:t>file).</w:t>
      </w: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>
          <w:color w:val="572B82"/>
        </w:rPr>
        <w:t>Key </w:t>
      </w:r>
      <w:r>
        <w:rPr>
          <w:color w:val="572B82"/>
          <w:spacing w:val="-2"/>
        </w:rPr>
        <w:t>Results</w:t>
      </w:r>
    </w:p>
    <w:p>
      <w:pPr>
        <w:pStyle w:val="BodyText"/>
        <w:spacing w:before="2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990600</wp:posOffset>
                </wp:positionH>
                <wp:positionV relativeFrom="paragraph">
                  <wp:posOffset>82319</wp:posOffset>
                </wp:positionV>
                <wp:extent cx="57912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72B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6.481836pt;width:456pt;height:.1pt;mso-position-horizontal-relative:page;mso-position-vertical-relative:paragraph;z-index:-15727104;mso-wrap-distance-left:0;mso-wrap-distance-right:0" id="docshape4" coordorigin="1560,130" coordsize="9120,0" path="m1560,130l10680,130e" filled="false" stroked="true" strokeweight="1pt" strokecolor="#572b8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78" w:lineRule="auto"/>
        <w:ind w:left="120"/>
      </w:pPr>
      <w:r>
        <w:rPr>
          <w:color w:val="444444"/>
        </w:rPr>
        <w:t>The</w:t>
      </w:r>
      <w:r>
        <w:rPr>
          <w:color w:val="444444"/>
          <w:spacing w:val="-5"/>
        </w:rPr>
        <w:t> </w:t>
      </w:r>
      <w:r>
        <w:rPr>
          <w:color w:val="444444"/>
        </w:rPr>
        <w:t>table</w:t>
      </w:r>
      <w:r>
        <w:rPr>
          <w:color w:val="444444"/>
          <w:spacing w:val="-5"/>
        </w:rPr>
        <w:t> </w:t>
      </w:r>
      <w:r>
        <w:rPr>
          <w:color w:val="444444"/>
        </w:rPr>
        <w:t>below</w:t>
      </w:r>
      <w:r>
        <w:rPr>
          <w:color w:val="444444"/>
          <w:spacing w:val="-5"/>
        </w:rPr>
        <w:t> </w:t>
      </w:r>
      <w:r>
        <w:rPr>
          <w:color w:val="444444"/>
        </w:rPr>
        <w:t>presents</w:t>
      </w:r>
      <w:r>
        <w:rPr>
          <w:color w:val="444444"/>
          <w:spacing w:val="-5"/>
        </w:rPr>
        <w:t> </w:t>
      </w:r>
      <w:r>
        <w:rPr>
          <w:color w:val="444444"/>
        </w:rPr>
        <w:t>mean</w:t>
      </w:r>
      <w:r>
        <w:rPr>
          <w:color w:val="444444"/>
          <w:spacing w:val="-5"/>
        </w:rPr>
        <w:t> </w:t>
      </w:r>
      <w:r>
        <w:rPr>
          <w:color w:val="444444"/>
        </w:rPr>
        <w:t>UFR</w:t>
      </w:r>
      <w:r>
        <w:rPr>
          <w:color w:val="444444"/>
          <w:spacing w:val="-5"/>
        </w:rPr>
        <w:t> </w:t>
      </w:r>
      <w:r>
        <w:rPr>
          <w:color w:val="444444"/>
        </w:rPr>
        <w:t>and</w:t>
      </w:r>
      <w:r>
        <w:rPr>
          <w:color w:val="444444"/>
          <w:spacing w:val="-5"/>
        </w:rPr>
        <w:t> </w:t>
      </w:r>
      <w:r>
        <w:rPr>
          <w:color w:val="444444"/>
        </w:rPr>
        <w:t>CR</w:t>
      </w:r>
      <w:r>
        <w:rPr>
          <w:color w:val="444444"/>
          <w:spacing w:val="-5"/>
        </w:rPr>
        <w:t> </w:t>
      </w:r>
      <w:r>
        <w:rPr>
          <w:color w:val="444444"/>
        </w:rPr>
        <w:t>across</w:t>
      </w:r>
      <w:r>
        <w:rPr>
          <w:color w:val="444444"/>
          <w:spacing w:val="-5"/>
        </w:rPr>
        <w:t> </w:t>
      </w:r>
      <w:r>
        <w:rPr>
          <w:color w:val="444444"/>
        </w:rPr>
        <w:t>50</w:t>
      </w:r>
      <w:r>
        <w:rPr>
          <w:color w:val="444444"/>
          <w:spacing w:val="-5"/>
        </w:rPr>
        <w:t> </w:t>
      </w:r>
      <w:r>
        <w:rPr>
          <w:color w:val="444444"/>
        </w:rPr>
        <w:t>samples</w:t>
      </w:r>
      <w:r>
        <w:rPr>
          <w:color w:val="444444"/>
          <w:spacing w:val="-5"/>
        </w:rPr>
        <w:t> </w:t>
      </w:r>
      <w:r>
        <w:rPr>
          <w:color w:val="444444"/>
        </w:rPr>
        <w:t>for</w:t>
      </w:r>
      <w:r>
        <w:rPr>
          <w:color w:val="444444"/>
          <w:spacing w:val="-5"/>
        </w:rPr>
        <w:t> </w:t>
      </w:r>
      <w:r>
        <w:rPr>
          <w:color w:val="444444"/>
        </w:rPr>
        <w:t>each</w:t>
      </w:r>
      <w:r>
        <w:rPr>
          <w:color w:val="444444"/>
          <w:spacing w:val="-5"/>
        </w:rPr>
        <w:t> </w:t>
      </w:r>
      <w:r>
        <w:rPr>
          <w:color w:val="444444"/>
        </w:rPr>
        <w:t>experimental</w:t>
      </w:r>
      <w:r>
        <w:rPr>
          <w:color w:val="444444"/>
          <w:spacing w:val="-5"/>
        </w:rPr>
        <w:t> </w:t>
      </w:r>
      <w:r>
        <w:rPr>
          <w:color w:val="444444"/>
        </w:rPr>
        <w:t>condition,</w:t>
      </w:r>
      <w:r>
        <w:rPr>
          <w:color w:val="444444"/>
          <w:spacing w:val="-5"/>
        </w:rPr>
        <w:t> </w:t>
      </w:r>
      <w:r>
        <w:rPr>
          <w:color w:val="444444"/>
        </w:rPr>
        <w:t>along with the E1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>E0 delta and Wilcoxon signed-rank p-values.</w:t>
      </w: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512"/>
        <w:gridCol w:w="1512"/>
        <w:gridCol w:w="1656"/>
        <w:gridCol w:w="1224"/>
        <w:gridCol w:w="1440"/>
      </w:tblGrid>
      <w:tr>
        <w:trPr>
          <w:trHeight w:val="430" w:hRule="atLeast"/>
        </w:trPr>
        <w:tc>
          <w:tcPr>
            <w:tcW w:w="1728" w:type="dxa"/>
            <w:shd w:val="clear" w:color="auto" w:fill="572B82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Metric</w:t>
            </w:r>
          </w:p>
        </w:tc>
        <w:tc>
          <w:tcPr>
            <w:tcW w:w="1512" w:type="dxa"/>
            <w:shd w:val="clear" w:color="auto" w:fill="572B82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E0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Baseline</w:t>
            </w:r>
          </w:p>
        </w:tc>
        <w:tc>
          <w:tcPr>
            <w:tcW w:w="1512" w:type="dxa"/>
            <w:shd w:val="clear" w:color="auto" w:fill="572B82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E1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RAG</w:t>
            </w:r>
          </w:p>
        </w:tc>
        <w:tc>
          <w:tcPr>
            <w:tcW w:w="1656" w:type="dxa"/>
            <w:shd w:val="clear" w:color="auto" w:fill="572B82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E2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Extractive</w:t>
            </w:r>
          </w:p>
        </w:tc>
        <w:tc>
          <w:tcPr>
            <w:tcW w:w="1224" w:type="dxa"/>
            <w:shd w:val="clear" w:color="auto" w:fill="572B82"/>
          </w:tcPr>
          <w:p>
            <w:pPr>
              <w:pStyle w:val="TableParagraph"/>
              <w:spacing w:before="94"/>
              <w:ind w:right="1"/>
              <w:rPr>
                <w:rFonts w:ascii="Symbol" w:hAnsi="Symbol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E1</w:t>
            </w:r>
            <w:r>
              <w:rPr>
                <w:rFonts w:ascii="Symbol" w:hAnsi="Symbol"/>
                <w:color w:val="FFFFFF"/>
                <w:sz w:val="18"/>
              </w:rPr>
              <w:t></w:t>
            </w:r>
            <w:r>
              <w:rPr>
                <w:rFonts w:ascii="Arial" w:hAnsi="Arial"/>
                <w:b/>
                <w:color w:val="FFFFFF"/>
                <w:sz w:val="18"/>
              </w:rPr>
              <w:t>E0 </w:t>
            </w:r>
            <w:r>
              <w:rPr>
                <w:rFonts w:ascii="Symbol" w:hAnsi="Symbol"/>
                <w:color w:val="FFFFFF"/>
                <w:spacing w:val="-10"/>
                <w:sz w:val="18"/>
              </w:rPr>
              <w:t></w:t>
            </w:r>
          </w:p>
        </w:tc>
        <w:tc>
          <w:tcPr>
            <w:tcW w:w="1440" w:type="dxa"/>
            <w:shd w:val="clear" w:color="auto" w:fill="572B82"/>
          </w:tcPr>
          <w:p>
            <w:pPr>
              <w:pStyle w:val="TableParagraph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p-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value</w:t>
            </w:r>
          </w:p>
        </w:tc>
      </w:tr>
      <w:tr>
        <w:trPr>
          <w:trHeight w:val="430" w:hRule="atLeast"/>
        </w:trPr>
        <w:tc>
          <w:tcPr>
            <w:tcW w:w="172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UFR </w:t>
            </w:r>
            <w:r>
              <w:rPr>
                <w:spacing w:val="-2"/>
                <w:sz w:val="18"/>
              </w:rPr>
              <w:t>(mean)</w:t>
            </w:r>
          </w:p>
        </w:tc>
        <w:tc>
          <w:tcPr>
            <w:tcW w:w="151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0.7967</w:t>
            </w:r>
          </w:p>
        </w:tc>
        <w:tc>
          <w:tcPr>
            <w:tcW w:w="151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0.8070</w:t>
            </w:r>
          </w:p>
        </w:tc>
        <w:tc>
          <w:tcPr>
            <w:tcW w:w="165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0.1220</w:t>
            </w:r>
          </w:p>
        </w:tc>
        <w:tc>
          <w:tcPr>
            <w:tcW w:w="1224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+0.0103</w:t>
            </w:r>
          </w:p>
        </w:tc>
        <w:tc>
          <w:tcPr>
            <w:tcW w:w="1440" w:type="dxa"/>
            <w:shd w:val="clear" w:color="auto" w:fill="F4F4F4"/>
          </w:tcPr>
          <w:p>
            <w:pPr>
              <w:pStyle w:val="TableParagraph"/>
              <w:ind w:left="264"/>
              <w:jc w:val="left"/>
              <w:rPr>
                <w:sz w:val="18"/>
              </w:rPr>
            </w:pPr>
            <w:r>
              <w:rPr>
                <w:sz w:val="18"/>
              </w:rPr>
              <w:t>0.576 </w:t>
            </w:r>
            <w:r>
              <w:rPr>
                <w:spacing w:val="-2"/>
                <w:sz w:val="18"/>
              </w:rPr>
              <w:t>(n.s.)</w:t>
            </w:r>
          </w:p>
        </w:tc>
      </w:tr>
      <w:tr>
        <w:trPr>
          <w:trHeight w:val="430" w:hRule="atLeast"/>
        </w:trPr>
        <w:tc>
          <w:tcPr>
            <w:tcW w:w="172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CR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2"/>
                <w:sz w:val="18"/>
              </w:rPr>
              <w:t>(mean)</w:t>
            </w:r>
          </w:p>
        </w:tc>
        <w:tc>
          <w:tcPr>
            <w:tcW w:w="151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0.2262</w:t>
            </w:r>
          </w:p>
        </w:tc>
        <w:tc>
          <w:tcPr>
            <w:tcW w:w="151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0.1536</w:t>
            </w:r>
          </w:p>
        </w:tc>
        <w:tc>
          <w:tcPr>
            <w:tcW w:w="165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0.0963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0.0726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C0000"/>
                <w:sz w:val="18"/>
              </w:rPr>
              <w:t>0.0001 </w:t>
            </w:r>
            <w:r>
              <w:rPr>
                <w:rFonts w:ascii="Arial"/>
                <w:b/>
                <w:color w:val="CC0000"/>
                <w:spacing w:val="-5"/>
                <w:sz w:val="18"/>
              </w:rPr>
              <w:t>***</w:t>
            </w:r>
          </w:p>
        </w:tc>
      </w:tr>
    </w:tbl>
    <w:p>
      <w:pPr>
        <w:spacing w:before="85"/>
        <w:ind w:left="120" w:right="0" w:firstLine="0"/>
        <w:jc w:val="left"/>
        <w:rPr>
          <w:sz w:val="16"/>
        </w:rPr>
      </w:pPr>
      <w:r>
        <w:rPr>
          <w:color w:val="878787"/>
          <w:sz w:val="16"/>
        </w:rPr>
        <w:t>UFR: 42% of samples improved with RAG. CR: 72% of samples improved with </w:t>
      </w:r>
      <w:r>
        <w:rPr>
          <w:color w:val="878787"/>
          <w:spacing w:val="-4"/>
          <w:sz w:val="16"/>
        </w:rPr>
        <w:t>RAG.</w:t>
      </w:r>
    </w:p>
    <w:p>
      <w:pPr>
        <w:spacing w:line="288" w:lineRule="auto" w:before="36"/>
        <w:ind w:left="120" w:right="0" w:firstLine="0"/>
        <w:jc w:val="left"/>
        <w:rPr>
          <w:sz w:val="16"/>
        </w:rPr>
      </w:pPr>
      <w:r>
        <w:rPr>
          <w:color w:val="878787"/>
          <w:sz w:val="16"/>
        </w:rPr>
        <w:t>UFR</w:t>
      </w:r>
      <w:r>
        <w:rPr>
          <w:color w:val="878787"/>
          <w:spacing w:val="-2"/>
          <w:sz w:val="16"/>
        </w:rPr>
        <w:t> </w:t>
      </w:r>
      <w:r>
        <w:rPr>
          <w:color w:val="878787"/>
          <w:sz w:val="16"/>
        </w:rPr>
        <w:t>=</w:t>
      </w:r>
      <w:r>
        <w:rPr>
          <w:color w:val="878787"/>
          <w:spacing w:val="-2"/>
          <w:sz w:val="16"/>
        </w:rPr>
        <w:t> </w:t>
      </w:r>
      <w:r>
        <w:rPr>
          <w:color w:val="878787"/>
          <w:sz w:val="16"/>
        </w:rPr>
        <w:t>Unsupported</w:t>
      </w:r>
      <w:r>
        <w:rPr>
          <w:color w:val="878787"/>
          <w:spacing w:val="-2"/>
          <w:sz w:val="16"/>
        </w:rPr>
        <w:t> </w:t>
      </w:r>
      <w:r>
        <w:rPr>
          <w:color w:val="878787"/>
          <w:sz w:val="16"/>
        </w:rPr>
        <w:t>Fact</w:t>
      </w:r>
      <w:r>
        <w:rPr>
          <w:color w:val="878787"/>
          <w:spacing w:val="-3"/>
          <w:sz w:val="16"/>
        </w:rPr>
        <w:t> </w:t>
      </w:r>
      <w:r>
        <w:rPr>
          <w:color w:val="878787"/>
          <w:sz w:val="16"/>
        </w:rPr>
        <w:t>Rate</w:t>
      </w:r>
      <w:r>
        <w:rPr>
          <w:color w:val="878787"/>
          <w:spacing w:val="-2"/>
          <w:sz w:val="16"/>
        </w:rPr>
        <w:t> </w:t>
      </w:r>
      <w:r>
        <w:rPr>
          <w:color w:val="878787"/>
          <w:sz w:val="16"/>
        </w:rPr>
        <w:t>=</w:t>
      </w:r>
      <w:r>
        <w:rPr>
          <w:color w:val="878787"/>
          <w:spacing w:val="-2"/>
          <w:sz w:val="16"/>
        </w:rPr>
        <w:t> </w:t>
      </w:r>
      <w:r>
        <w:rPr>
          <w:color w:val="878787"/>
          <w:sz w:val="16"/>
        </w:rPr>
        <w:t>(Contradicted</w:t>
      </w:r>
      <w:r>
        <w:rPr>
          <w:color w:val="878787"/>
          <w:spacing w:val="-2"/>
          <w:sz w:val="16"/>
        </w:rPr>
        <w:t> </w:t>
      </w:r>
      <w:r>
        <w:rPr>
          <w:color w:val="878787"/>
          <w:sz w:val="16"/>
        </w:rPr>
        <w:t>+</w:t>
      </w:r>
      <w:r>
        <w:rPr>
          <w:color w:val="878787"/>
          <w:spacing w:val="-3"/>
          <w:sz w:val="16"/>
        </w:rPr>
        <w:t> </w:t>
      </w:r>
      <w:r>
        <w:rPr>
          <w:color w:val="878787"/>
          <w:sz w:val="16"/>
        </w:rPr>
        <w:t>Not-Supported)</w:t>
      </w:r>
      <w:r>
        <w:rPr>
          <w:color w:val="878787"/>
          <w:spacing w:val="-2"/>
          <w:sz w:val="16"/>
        </w:rPr>
        <w:t> </w:t>
      </w:r>
      <w:r>
        <w:rPr>
          <w:color w:val="878787"/>
          <w:sz w:val="16"/>
        </w:rPr>
        <w:t>/</w:t>
      </w:r>
      <w:r>
        <w:rPr>
          <w:color w:val="878787"/>
          <w:spacing w:val="-2"/>
          <w:sz w:val="16"/>
        </w:rPr>
        <w:t> </w:t>
      </w:r>
      <w:r>
        <w:rPr>
          <w:color w:val="878787"/>
          <w:sz w:val="16"/>
        </w:rPr>
        <w:t>total</w:t>
      </w:r>
      <w:r>
        <w:rPr>
          <w:color w:val="878787"/>
          <w:spacing w:val="-2"/>
          <w:sz w:val="16"/>
        </w:rPr>
        <w:t> </w:t>
      </w:r>
      <w:r>
        <w:rPr>
          <w:color w:val="878787"/>
          <w:sz w:val="16"/>
        </w:rPr>
        <w:t>claims.</w:t>
      </w:r>
      <w:r>
        <w:rPr>
          <w:color w:val="878787"/>
          <w:spacing w:val="-3"/>
          <w:sz w:val="16"/>
        </w:rPr>
        <w:t> </w:t>
      </w:r>
      <w:r>
        <w:rPr>
          <w:color w:val="878787"/>
          <w:sz w:val="16"/>
        </w:rPr>
        <w:t>CR</w:t>
      </w:r>
      <w:r>
        <w:rPr>
          <w:color w:val="878787"/>
          <w:spacing w:val="-2"/>
          <w:sz w:val="16"/>
        </w:rPr>
        <w:t> </w:t>
      </w:r>
      <w:r>
        <w:rPr>
          <w:color w:val="878787"/>
          <w:sz w:val="16"/>
        </w:rPr>
        <w:t>=</w:t>
      </w:r>
      <w:r>
        <w:rPr>
          <w:color w:val="878787"/>
          <w:spacing w:val="-2"/>
          <w:sz w:val="16"/>
        </w:rPr>
        <w:t> </w:t>
      </w:r>
      <w:r>
        <w:rPr>
          <w:color w:val="878787"/>
          <w:sz w:val="16"/>
        </w:rPr>
        <w:t>Contradiction</w:t>
      </w:r>
      <w:r>
        <w:rPr>
          <w:color w:val="878787"/>
          <w:spacing w:val="-2"/>
          <w:sz w:val="16"/>
        </w:rPr>
        <w:t> </w:t>
      </w:r>
      <w:r>
        <w:rPr>
          <w:color w:val="878787"/>
          <w:sz w:val="16"/>
        </w:rPr>
        <w:t>Rate</w:t>
      </w:r>
      <w:r>
        <w:rPr>
          <w:color w:val="878787"/>
          <w:spacing w:val="-3"/>
          <w:sz w:val="16"/>
        </w:rPr>
        <w:t> </w:t>
      </w:r>
      <w:r>
        <w:rPr>
          <w:color w:val="878787"/>
          <w:sz w:val="16"/>
        </w:rPr>
        <w:t>=</w:t>
      </w:r>
      <w:r>
        <w:rPr>
          <w:color w:val="878787"/>
          <w:spacing w:val="-2"/>
          <w:sz w:val="16"/>
        </w:rPr>
        <w:t> </w:t>
      </w:r>
      <w:r>
        <w:rPr>
          <w:color w:val="878787"/>
          <w:sz w:val="16"/>
        </w:rPr>
        <w:t>Contradicted</w:t>
      </w:r>
      <w:r>
        <w:rPr>
          <w:color w:val="878787"/>
          <w:spacing w:val="-2"/>
          <w:sz w:val="16"/>
        </w:rPr>
        <w:t> </w:t>
      </w:r>
      <w:r>
        <w:rPr>
          <w:color w:val="878787"/>
          <w:sz w:val="16"/>
        </w:rPr>
        <w:t>/</w:t>
      </w:r>
      <w:r>
        <w:rPr>
          <w:color w:val="878787"/>
          <w:spacing w:val="-2"/>
          <w:sz w:val="16"/>
        </w:rPr>
        <w:t> </w:t>
      </w:r>
      <w:r>
        <w:rPr>
          <w:color w:val="878787"/>
          <w:sz w:val="16"/>
        </w:rPr>
        <w:t>total claims. *** p &lt; 0.001 (Wilcoxon signed-rank, two-sided).</w:t>
      </w:r>
    </w:p>
    <w:p>
      <w:pPr>
        <w:spacing w:after="0" w:line="288" w:lineRule="auto"/>
        <w:jc w:val="left"/>
        <w:rPr>
          <w:sz w:val="16"/>
        </w:rPr>
        <w:sectPr>
          <w:type w:val="continuous"/>
          <w:pgSz w:w="12240" w:h="15840"/>
          <w:pgMar w:top="166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75" w:after="0"/>
        <w:ind w:left="386" w:right="0" w:hanging="266"/>
        <w:jc w:val="left"/>
      </w:pPr>
      <w:r>
        <w:rPr>
          <w:color w:val="572B82"/>
        </w:rPr>
        <w:t>Key </w:t>
      </w:r>
      <w:r>
        <w:rPr>
          <w:color w:val="572B82"/>
          <w:spacing w:val="-2"/>
        </w:rPr>
        <w:t>Finding</w:t>
      </w:r>
    </w:p>
    <w:p>
      <w:pPr>
        <w:pStyle w:val="BodyText"/>
        <w:spacing w:before="1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990600</wp:posOffset>
                </wp:positionH>
                <wp:positionV relativeFrom="paragraph">
                  <wp:posOffset>81929</wp:posOffset>
                </wp:positionV>
                <wp:extent cx="57912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72B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6.451172pt;width:456pt;height:.1pt;mso-position-horizontal-relative:page;mso-position-vertical-relative:paragraph;z-index:-15726592;mso-wrap-distance-left:0;mso-wrap-distance-right:0" id="docshape5" coordorigin="1560,129" coordsize="9120,0" path="m1560,129l10680,129e" filled="false" stroked="true" strokeweight="1pt" strokecolor="#572b8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88" w:lineRule="auto"/>
        <w:ind w:left="120" w:right="117"/>
        <w:jc w:val="both"/>
      </w:pPr>
      <w:r>
        <w:rPr>
          <w:rFonts w:ascii="Arial" w:hAnsi="Arial"/>
          <w:b/>
          <w:color w:val="444444"/>
        </w:rPr>
        <w:t>RAG significantly reduces contradictions but not generic unsupported facts. </w:t>
      </w:r>
      <w:r>
        <w:rPr>
          <w:color w:val="444444"/>
        </w:rPr>
        <w:t>The Contradiction Rate fell from 0.2262 (E0) to 0.1536 (E1) — a 32% relative reduction (Wilcoxon p = 0.0001, highly significant). By contrast, the Unsupported Fact Rate showed no significant improvement (</w:t>
      </w:r>
      <w:r>
        <w:rPr>
          <w:rFonts w:ascii="Symbol" w:hAnsi="Symbol"/>
          <w:color w:val="444444"/>
        </w:rPr>
        <w:t></w:t>
      </w:r>
      <w:r>
        <w:rPr>
          <w:rFonts w:ascii="Times New Roman" w:hAnsi="Times New Roman"/>
          <w:color w:val="444444"/>
        </w:rPr>
        <w:t> </w:t>
      </w:r>
      <w:r>
        <w:rPr>
          <w:color w:val="444444"/>
        </w:rPr>
        <w:t>= </w:t>
      </w:r>
      <w:r>
        <w:rPr>
          <w:color w:val="444444"/>
        </w:rPr>
        <w:t>+0.0103, p = 0.576), suggesting that RAG constrains outright contradictions but does not eliminate claims that simply lack grounding in the source.</w:t>
      </w:r>
    </w:p>
    <w:p>
      <w:pPr>
        <w:pStyle w:val="BodyText"/>
        <w:spacing w:line="292" w:lineRule="auto" w:before="162"/>
        <w:ind w:left="120" w:right="117"/>
        <w:jc w:val="both"/>
      </w:pPr>
      <w:r>
        <w:rPr>
          <w:rFonts w:ascii="Arial" w:hAnsi="Arial"/>
          <w:b/>
          <w:color w:val="444444"/>
        </w:rPr>
        <w:t>E2 validates pipeline correctness. </w:t>
      </w:r>
      <w:r>
        <w:rPr>
          <w:color w:val="444444"/>
        </w:rPr>
        <w:t>The extractive baseline — which selects verbatim sentences </w:t>
      </w:r>
      <w:r>
        <w:rPr>
          <w:color w:val="444444"/>
        </w:rPr>
        <w:t>from the source — achieved UFR = 0.1220 and CR = 0.0963, confirming that near-zero hallucination rates are achievable and that the NLI pipeline correctly labels source-faithful content as Supported. The 100% improvement rate in UFR for E2 provides a methodological sanity check.</w:t>
      </w:r>
    </w:p>
    <w:p>
      <w:pPr>
        <w:pStyle w:val="BodyText"/>
        <w:spacing w:before="90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>
          <w:color w:val="572B82"/>
        </w:rPr>
        <w:t>Work In </w:t>
      </w:r>
      <w:r>
        <w:rPr>
          <w:color w:val="572B82"/>
          <w:spacing w:val="-2"/>
        </w:rPr>
        <w:t>Progress</w:t>
      </w:r>
    </w:p>
    <w:p>
      <w:pPr>
        <w:pStyle w:val="BodyText"/>
        <w:spacing w:before="2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990600</wp:posOffset>
                </wp:positionH>
                <wp:positionV relativeFrom="paragraph">
                  <wp:posOffset>82428</wp:posOffset>
                </wp:positionV>
                <wp:extent cx="57912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72B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6.49043pt;width:456pt;height:.1pt;mso-position-horizontal-relative:page;mso-position-vertical-relative:paragraph;z-index:-15726080;mso-wrap-distance-left:0;mso-wrap-distance-right:0" id="docshape6" coordorigin="1560,130" coordsize="9120,0" path="m1560,130l10680,130e" filled="false" stroked="true" strokeweight="1pt" strokecolor="#572b8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62" w:val="left" w:leader="none"/>
        </w:tabs>
        <w:spacing w:line="271" w:lineRule="auto" w:before="122" w:after="0"/>
        <w:ind w:left="440" w:right="117" w:firstLine="0"/>
        <w:jc w:val="left"/>
        <w:rPr>
          <w:sz w:val="20"/>
        </w:rPr>
      </w:pPr>
      <w:r>
        <w:rPr>
          <w:color w:val="444444"/>
          <w:sz w:val="20"/>
        </w:rPr>
        <w:t>PhysioNet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credentialing: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application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submitted;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awaiting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institutional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approval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to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access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MIMIC-III</w:t>
      </w:r>
      <w:r>
        <w:rPr>
          <w:color w:val="444444"/>
          <w:spacing w:val="-7"/>
          <w:sz w:val="20"/>
        </w:rPr>
        <w:t> </w:t>
      </w:r>
      <w:r>
        <w:rPr>
          <w:color w:val="444444"/>
          <w:sz w:val="20"/>
        </w:rPr>
        <w:t>/ MIMIC-IV clinical notes.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71" w:lineRule="auto" w:before="20" w:after="0"/>
        <w:ind w:left="440" w:right="877" w:firstLine="0"/>
        <w:jc w:val="left"/>
        <w:rPr>
          <w:sz w:val="20"/>
        </w:rPr>
      </w:pPr>
      <w:r>
        <w:rPr>
          <w:color w:val="444444"/>
          <w:sz w:val="20"/>
        </w:rPr>
        <w:t>CITI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training: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Human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Subjects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Research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modules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completed;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additional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modules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(Clinical Research) in progress.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71" w:lineRule="auto" w:before="21" w:after="0"/>
        <w:ind w:left="440" w:right="977" w:firstLine="0"/>
        <w:jc w:val="left"/>
        <w:rPr>
          <w:sz w:val="20"/>
        </w:rPr>
      </w:pPr>
      <w:r>
        <w:rPr>
          <w:color w:val="444444"/>
          <w:sz w:val="20"/>
        </w:rPr>
        <w:t>Literature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review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draft: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sections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on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LLM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hallucination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taxonomy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and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retrieval-</w:t>
      </w:r>
      <w:r>
        <w:rPr>
          <w:color w:val="444444"/>
          <w:sz w:val="20"/>
        </w:rPr>
        <w:t>augmented generation being finalized.</w:t>
      </w: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202" w:after="0"/>
        <w:ind w:left="386" w:right="0" w:hanging="266"/>
        <w:jc w:val="left"/>
      </w:pPr>
      <w:r>
        <w:rPr>
          <w:color w:val="572B82"/>
        </w:rPr>
        <w:t>Remaining </w:t>
      </w:r>
      <w:r>
        <w:rPr>
          <w:color w:val="572B82"/>
          <w:spacing w:val="-4"/>
        </w:rPr>
        <w:t>Work</w:t>
      </w:r>
    </w:p>
    <w:p>
      <w:pPr>
        <w:pStyle w:val="BodyText"/>
        <w:spacing w:before="2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990600</wp:posOffset>
                </wp:positionH>
                <wp:positionV relativeFrom="paragraph">
                  <wp:posOffset>82394</wp:posOffset>
                </wp:positionV>
                <wp:extent cx="57912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72B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6.487793pt;width:456pt;height:.1pt;mso-position-horizontal-relative:page;mso-position-vertical-relative:paragraph;z-index:-15725568;mso-wrap-distance-left:0;mso-wrap-distance-right:0" id="docshape7" coordorigin="1560,130" coordsize="9120,0" path="m1560,130l10680,130e" filled="false" stroked="true" strokeweight="1pt" strokecolor="#572b8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71" w:lineRule="auto" w:before="122" w:after="0"/>
        <w:ind w:left="440" w:right="487" w:firstLine="0"/>
        <w:jc w:val="left"/>
        <w:rPr>
          <w:sz w:val="20"/>
        </w:rPr>
      </w:pPr>
      <w:r>
        <w:rPr>
          <w:color w:val="444444"/>
          <w:sz w:val="20"/>
        </w:rPr>
        <w:t>ann-pt-summ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dataset: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obtain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and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benchmark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against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annotated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patient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summary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corpus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once access is confirmed.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71" w:lineRule="auto" w:before="20" w:after="0"/>
        <w:ind w:left="440" w:right="222" w:firstLine="0"/>
        <w:jc w:val="left"/>
        <w:rPr>
          <w:sz w:val="20"/>
        </w:rPr>
      </w:pPr>
      <w:r>
        <w:rPr>
          <w:color w:val="444444"/>
          <w:sz w:val="20"/>
        </w:rPr>
        <w:t>E3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—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Verification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stage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(Chain-of-Verification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/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CoVe):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implement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post-hoc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verification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prompting to reduce residual Not-Supported claims.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71" w:lineRule="auto" w:before="21" w:after="0"/>
        <w:ind w:left="440" w:right="499" w:firstLine="0"/>
        <w:jc w:val="left"/>
        <w:rPr>
          <w:sz w:val="20"/>
        </w:rPr>
      </w:pPr>
      <w:r>
        <w:rPr>
          <w:color w:val="444444"/>
          <w:sz w:val="20"/>
        </w:rPr>
        <w:t>Error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taxonomy: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qualitative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categorization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of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hallucination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types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(fabricated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dosages,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incorrect dates, invented diagnoses, etc.).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20" w:after="0"/>
        <w:ind w:left="565" w:right="0" w:hanging="125"/>
        <w:jc w:val="left"/>
        <w:rPr>
          <w:sz w:val="20"/>
        </w:rPr>
      </w:pPr>
      <w:r>
        <w:rPr>
          <w:color w:val="444444"/>
          <w:sz w:val="20"/>
        </w:rPr>
        <w:t>PhysioNet migration: re-run full pipeline on MIMIC notes once credentialing is </w:t>
      </w:r>
      <w:r>
        <w:rPr>
          <w:color w:val="444444"/>
          <w:spacing w:val="-2"/>
          <w:sz w:val="20"/>
        </w:rPr>
        <w:t>approved.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71" w:lineRule="auto" w:before="50" w:after="0"/>
        <w:ind w:left="440" w:right="411" w:firstLine="0"/>
        <w:jc w:val="left"/>
        <w:rPr>
          <w:sz w:val="20"/>
        </w:rPr>
      </w:pPr>
      <w:r>
        <w:rPr>
          <w:color w:val="444444"/>
          <w:sz w:val="20"/>
        </w:rPr>
        <w:t>Full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thesis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writeup: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Chapters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2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(Literature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Review),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3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(Methodology),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4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(Results),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5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(Discussion and Future Work).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20" w:after="0"/>
        <w:ind w:left="565" w:right="0" w:hanging="125"/>
        <w:jc w:val="left"/>
        <w:rPr>
          <w:sz w:val="20"/>
        </w:rPr>
      </w:pPr>
      <w:r>
        <w:rPr>
          <w:color w:val="444444"/>
          <w:sz w:val="20"/>
        </w:rPr>
        <w:t>Defense preparation and committee </w:t>
      </w:r>
      <w:r>
        <w:rPr>
          <w:color w:val="444444"/>
          <w:spacing w:val="-2"/>
          <w:sz w:val="20"/>
        </w:rPr>
        <w:t>review.</w:t>
      </w: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1" w:after="0"/>
        <w:ind w:left="386" w:right="0" w:hanging="266"/>
        <w:jc w:val="left"/>
      </w:pPr>
      <w:r>
        <w:rPr>
          <w:color w:val="572B82"/>
        </w:rPr>
        <w:t>Problems / </w:t>
      </w:r>
      <w:r>
        <w:rPr>
          <w:color w:val="572B82"/>
          <w:spacing w:val="-2"/>
        </w:rPr>
        <w:t>Changes</w:t>
      </w:r>
    </w:p>
    <w:p>
      <w:pPr>
        <w:pStyle w:val="BodyText"/>
        <w:spacing w:before="1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990600</wp:posOffset>
                </wp:positionH>
                <wp:positionV relativeFrom="paragraph">
                  <wp:posOffset>81952</wp:posOffset>
                </wp:positionV>
                <wp:extent cx="57912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72B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6.452929pt;width:456pt;height:.1pt;mso-position-horizontal-relative:page;mso-position-vertical-relative:paragraph;z-index:-15725056;mso-wrap-distance-left:0;mso-wrap-distance-right:0" id="docshape8" coordorigin="1560,129" coordsize="9120,0" path="m1560,129l10680,129e" filled="false" stroked="true" strokeweight="1pt" strokecolor="#572b8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92" w:lineRule="auto"/>
        <w:ind w:left="120" w:right="116"/>
        <w:jc w:val="both"/>
      </w:pPr>
      <w:r>
        <w:rPr>
          <w:rFonts w:ascii="Arial"/>
          <w:b/>
          <w:color w:val="444444"/>
        </w:rPr>
        <w:t>Dataset substitution (Risk 1 mitigation). </w:t>
      </w:r>
      <w:r>
        <w:rPr>
          <w:color w:val="444444"/>
        </w:rPr>
        <w:t>PhysioNet credentialing has not yet been approved, </w:t>
      </w:r>
      <w:r>
        <w:rPr>
          <w:color w:val="444444"/>
        </w:rPr>
        <w:t>which blocked access to MIMIC clinical notes. Per the Risk 1 mitigation plan documented in the thesis proposal,</w:t>
      </w:r>
      <w:r>
        <w:rPr>
          <w:color w:val="444444"/>
          <w:spacing w:val="-6"/>
        </w:rPr>
        <w:t> </w:t>
      </w:r>
      <w:r>
        <w:rPr>
          <w:color w:val="444444"/>
        </w:rPr>
        <w:t>the</w:t>
      </w:r>
      <w:r>
        <w:rPr>
          <w:color w:val="444444"/>
          <w:spacing w:val="-6"/>
        </w:rPr>
        <w:t> </w:t>
      </w:r>
      <w:r>
        <w:rPr>
          <w:color w:val="444444"/>
        </w:rPr>
        <w:t>MTSamples</w:t>
      </w:r>
      <w:r>
        <w:rPr>
          <w:color w:val="444444"/>
          <w:spacing w:val="-6"/>
        </w:rPr>
        <w:t> </w:t>
      </w:r>
      <w:r>
        <w:rPr>
          <w:color w:val="444444"/>
        </w:rPr>
        <w:t>public</w:t>
      </w:r>
      <w:r>
        <w:rPr>
          <w:color w:val="444444"/>
          <w:spacing w:val="-6"/>
        </w:rPr>
        <w:t> </w:t>
      </w:r>
      <w:r>
        <w:rPr>
          <w:color w:val="444444"/>
        </w:rPr>
        <w:t>corpus</w:t>
      </w:r>
      <w:r>
        <w:rPr>
          <w:color w:val="444444"/>
          <w:spacing w:val="-6"/>
        </w:rPr>
        <w:t> </w:t>
      </w:r>
      <w:r>
        <w:rPr>
          <w:color w:val="444444"/>
        </w:rPr>
        <w:t>was</w:t>
      </w:r>
      <w:r>
        <w:rPr>
          <w:color w:val="444444"/>
          <w:spacing w:val="-6"/>
        </w:rPr>
        <w:t> </w:t>
      </w:r>
      <w:r>
        <w:rPr>
          <w:color w:val="444444"/>
        </w:rPr>
        <w:t>used</w:t>
      </w:r>
      <w:r>
        <w:rPr>
          <w:color w:val="444444"/>
          <w:spacing w:val="-6"/>
        </w:rPr>
        <w:t> </w:t>
      </w:r>
      <w:r>
        <w:rPr>
          <w:color w:val="444444"/>
        </w:rPr>
        <w:t>as</w:t>
      </w:r>
      <w:r>
        <w:rPr>
          <w:color w:val="444444"/>
          <w:spacing w:val="-6"/>
        </w:rPr>
        <w:t> </w:t>
      </w:r>
      <w:r>
        <w:rPr>
          <w:color w:val="444444"/>
        </w:rPr>
        <w:t>a</w:t>
      </w:r>
      <w:r>
        <w:rPr>
          <w:color w:val="444444"/>
          <w:spacing w:val="-6"/>
        </w:rPr>
        <w:t> </w:t>
      </w:r>
      <w:r>
        <w:rPr>
          <w:color w:val="444444"/>
        </w:rPr>
        <w:t>substitute.</w:t>
      </w:r>
      <w:r>
        <w:rPr>
          <w:color w:val="444444"/>
          <w:spacing w:val="-6"/>
        </w:rPr>
        <w:t> </w:t>
      </w:r>
      <w:r>
        <w:rPr>
          <w:color w:val="444444"/>
        </w:rPr>
        <w:t>The</w:t>
      </w:r>
      <w:r>
        <w:rPr>
          <w:color w:val="444444"/>
          <w:spacing w:val="-6"/>
        </w:rPr>
        <w:t> </w:t>
      </w:r>
      <w:r>
        <w:rPr>
          <w:color w:val="444444"/>
        </w:rPr>
        <w:t>pipeline</w:t>
      </w:r>
      <w:r>
        <w:rPr>
          <w:color w:val="444444"/>
          <w:spacing w:val="-6"/>
        </w:rPr>
        <w:t> </w:t>
      </w:r>
      <w:r>
        <w:rPr>
          <w:color w:val="444444"/>
        </w:rPr>
        <w:t>is</w:t>
      </w:r>
      <w:r>
        <w:rPr>
          <w:color w:val="444444"/>
          <w:spacing w:val="-6"/>
        </w:rPr>
        <w:t> </w:t>
      </w:r>
      <w:r>
        <w:rPr>
          <w:color w:val="444444"/>
        </w:rPr>
        <w:t>fully</w:t>
      </w:r>
      <w:r>
        <w:rPr>
          <w:color w:val="444444"/>
          <w:spacing w:val="-6"/>
        </w:rPr>
        <w:t> </w:t>
      </w:r>
      <w:r>
        <w:rPr>
          <w:color w:val="444444"/>
        </w:rPr>
        <w:t>implemented</w:t>
      </w:r>
      <w:r>
        <w:rPr>
          <w:color w:val="444444"/>
          <w:spacing w:val="-6"/>
        </w:rPr>
        <w:t> </w:t>
      </w:r>
      <w:r>
        <w:rPr>
          <w:color w:val="444444"/>
        </w:rPr>
        <w:t>and validated on MTSamples and is architecturally identical to the design targeting MIMIC; migration requires</w:t>
      </w:r>
      <w:r>
        <w:rPr>
          <w:color w:val="444444"/>
          <w:spacing w:val="-5"/>
        </w:rPr>
        <w:t> </w:t>
      </w:r>
      <w:r>
        <w:rPr>
          <w:color w:val="444444"/>
        </w:rPr>
        <w:t>only</w:t>
      </w:r>
      <w:r>
        <w:rPr>
          <w:color w:val="444444"/>
          <w:spacing w:val="-5"/>
        </w:rPr>
        <w:t> </w:t>
      </w:r>
      <w:r>
        <w:rPr>
          <w:color w:val="444444"/>
        </w:rPr>
        <w:t>changing</w:t>
      </w:r>
      <w:r>
        <w:rPr>
          <w:color w:val="444444"/>
          <w:spacing w:val="-5"/>
        </w:rPr>
        <w:t> </w:t>
      </w:r>
      <w:r>
        <w:rPr>
          <w:color w:val="444444"/>
        </w:rPr>
        <w:t>the</w:t>
      </w:r>
      <w:r>
        <w:rPr>
          <w:color w:val="444444"/>
          <w:spacing w:val="-5"/>
        </w:rPr>
        <w:t> </w:t>
      </w:r>
      <w:r>
        <w:rPr>
          <w:color w:val="444444"/>
        </w:rPr>
        <w:t>data-loading</w:t>
      </w:r>
      <w:r>
        <w:rPr>
          <w:color w:val="444444"/>
          <w:spacing w:val="-5"/>
        </w:rPr>
        <w:t> </w:t>
      </w:r>
      <w:r>
        <w:rPr>
          <w:color w:val="444444"/>
        </w:rPr>
        <w:t>step.</w:t>
      </w:r>
      <w:r>
        <w:rPr>
          <w:color w:val="444444"/>
          <w:spacing w:val="-5"/>
        </w:rPr>
        <w:t> </w:t>
      </w:r>
      <w:r>
        <w:rPr>
          <w:color w:val="444444"/>
        </w:rPr>
        <w:t>No</w:t>
      </w:r>
      <w:r>
        <w:rPr>
          <w:color w:val="444444"/>
          <w:spacing w:val="-5"/>
        </w:rPr>
        <w:t> </w:t>
      </w:r>
      <w:r>
        <w:rPr>
          <w:color w:val="444444"/>
        </w:rPr>
        <w:t>other</w:t>
      </w:r>
      <w:r>
        <w:rPr>
          <w:color w:val="444444"/>
          <w:spacing w:val="-5"/>
        </w:rPr>
        <w:t> </w:t>
      </w:r>
      <w:r>
        <w:rPr>
          <w:color w:val="444444"/>
        </w:rPr>
        <w:t>deviations</w:t>
      </w:r>
      <w:r>
        <w:rPr>
          <w:color w:val="444444"/>
          <w:spacing w:val="-5"/>
        </w:rPr>
        <w:t> </w:t>
      </w:r>
      <w:r>
        <w:rPr>
          <w:color w:val="444444"/>
        </w:rPr>
        <w:t>from</w:t>
      </w:r>
      <w:r>
        <w:rPr>
          <w:color w:val="444444"/>
          <w:spacing w:val="-5"/>
        </w:rPr>
        <w:t> </w:t>
      </w:r>
      <w:r>
        <w:rPr>
          <w:color w:val="444444"/>
        </w:rPr>
        <w:t>the</w:t>
      </w:r>
      <w:r>
        <w:rPr>
          <w:color w:val="444444"/>
          <w:spacing w:val="-5"/>
        </w:rPr>
        <w:t> </w:t>
      </w:r>
      <w:r>
        <w:rPr>
          <w:color w:val="444444"/>
        </w:rPr>
        <w:t>proposed</w:t>
      </w:r>
      <w:r>
        <w:rPr>
          <w:color w:val="444444"/>
          <w:spacing w:val="-5"/>
        </w:rPr>
        <w:t> </w:t>
      </w:r>
      <w:r>
        <w:rPr>
          <w:color w:val="444444"/>
        </w:rPr>
        <w:t>methodology</w:t>
      </w:r>
      <w:r>
        <w:rPr>
          <w:color w:val="444444"/>
          <w:spacing w:val="-5"/>
        </w:rPr>
        <w:t> </w:t>
      </w:r>
      <w:r>
        <w:rPr>
          <w:color w:val="444444"/>
        </w:rPr>
        <w:t>have </w:t>
      </w:r>
      <w:r>
        <w:rPr>
          <w:color w:val="444444"/>
          <w:spacing w:val="-2"/>
        </w:rPr>
        <w:t>occurred.</w:t>
      </w:r>
    </w:p>
    <w:p>
      <w:pPr>
        <w:pStyle w:val="BodyText"/>
        <w:spacing w:after="0" w:line="292" w:lineRule="auto"/>
        <w:jc w:val="both"/>
        <w:sectPr>
          <w:pgSz w:w="12240" w:h="15840"/>
          <w:pgMar w:top="150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75" w:after="0"/>
        <w:ind w:left="386" w:right="0" w:hanging="266"/>
        <w:jc w:val="left"/>
      </w:pPr>
      <w:r>
        <w:rPr>
          <w:color w:val="572B82"/>
        </w:rPr>
        <w:t>Overall </w:t>
      </w:r>
      <w:r>
        <w:rPr>
          <w:color w:val="572B82"/>
          <w:spacing w:val="-2"/>
        </w:rPr>
        <w:t>Assessment</w:t>
      </w:r>
    </w:p>
    <w:p>
      <w:pPr>
        <w:pStyle w:val="BodyText"/>
        <w:spacing w:before="1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990600</wp:posOffset>
                </wp:positionH>
                <wp:positionV relativeFrom="paragraph">
                  <wp:posOffset>81929</wp:posOffset>
                </wp:positionV>
                <wp:extent cx="57912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72B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6.451172pt;width:456pt;height:.1pt;mso-position-horizontal-relative:page;mso-position-vertical-relative:paragraph;z-index:-15724544;mso-wrap-distance-left:0;mso-wrap-distance-right:0" id="docshape9" coordorigin="1560,129" coordsize="9120,0" path="m1560,129l10680,129e" filled="false" stroked="true" strokeweight="1pt" strokecolor="#572b8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92" w:lineRule="auto"/>
        <w:ind w:left="120" w:right="117"/>
        <w:jc w:val="both"/>
      </w:pPr>
      <w:r>
        <w:rPr>
          <w:rFonts w:ascii="Arial"/>
          <w:b/>
          <w:color w:val="444444"/>
        </w:rPr>
        <w:t>Ahead of schedule. </w:t>
      </w:r>
      <w:r>
        <w:rPr>
          <w:color w:val="444444"/>
        </w:rPr>
        <w:t>All three experimental conditions (E0, E1, E2) are complete, the NLI evaluation framework is validated end-to-end, and statistically significant results have been obtained for the primary hypothesis (H2: RAG reduces CR). The pipeline is ready to migrate to PhysioNet data as </w:t>
      </w:r>
      <w:r>
        <w:rPr>
          <w:color w:val="444444"/>
        </w:rPr>
        <w:t>soon as credentials are approved. Remaining work focuses on the verification stage (E3), qualitative analysis, and thesis writing.</w:t>
      </w:r>
    </w:p>
    <w:sectPr>
      <w:pgSz w:w="12240" w:h="15840"/>
      <w:pgMar w:top="15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86" w:hanging="267"/>
        <w:jc w:val="left"/>
      </w:pPr>
      <w:rPr>
        <w:rFonts w:hint="default" w:ascii="Arial" w:hAnsi="Arial" w:eastAsia="Arial" w:cs="Arial"/>
        <w:b/>
        <w:bCs/>
        <w:i w:val="0"/>
        <w:iCs w:val="0"/>
        <w:color w:val="572B82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0" w:hanging="124"/>
      </w:pPr>
      <w:rPr>
        <w:rFonts w:hint="default" w:ascii="Arial MT" w:hAnsi="Arial MT" w:eastAsia="Arial MT" w:cs="Arial MT"/>
        <w:b w:val="0"/>
        <w:bCs w:val="0"/>
        <w:i w:val="0"/>
        <w:iCs w:val="0"/>
        <w:color w:val="444444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1" w:hanging="1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2" w:hanging="1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3" w:hanging="1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4" w:hanging="1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5" w:hanging="1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6" w:hanging="1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12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2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86" w:hanging="266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jc w:val="center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44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0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Laya</dc:creator>
  <dc:subject>(unspecified)</dc:subject>
  <dc:title>Thesis Progress Report — Hallucination Evaluation</dc:title>
  <dcterms:created xsi:type="dcterms:W3CDTF">2026-04-10T21:17:56Z</dcterms:created>
  <dcterms:modified xsi:type="dcterms:W3CDTF">2026-04-10T21:17:56Z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2026-04-10T00:00:00Z</vt:filetime>
  </property>
  <property fmtid="{D5CDD505-2E9C-101B-9397-08002B2CF9AE}" pid="5" name="Producer">
    <vt:lpwstr>ReportLab PDF Library - (opensource)</vt:lpwstr>
  </property>
</Properties>
</file>