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Resumen ejecutivo</w:t>
      </w:r>
    </w:p>
    <w:p>
      <w:pPr>
        <w:jc w:val="center"/>
      </w:pPr>
      <w:r>
        <w:rPr>
          <w:color w:val="505050"/>
          <w:sz w:val="26"/>
        </w:rPr>
        <w:t>Proyecto final: detección de fraude transaccional con aprendizaje automático</w:t>
      </w:r>
    </w:p>
    <w:p/>
    <w:p>
      <w:pPr>
        <w:jc w:val="center"/>
      </w:pPr>
      <w:r>
        <w:rPr>
          <w:b/>
        </w:rPr>
        <w:t>Título del proyecto:</w:t>
      </w:r>
      <w:r>
        <w:t xml:space="preserve"> Proyecto final: detección de fraude transaccional con aprendizaje automático</w:t>
      </w:r>
    </w:p>
    <w:p>
      <w:pPr>
        <w:jc w:val="center"/>
      </w:pPr>
      <w:r>
        <w:rPr>
          <w:b/>
        </w:rPr>
        <w:t>Autor:</w:t>
      </w:r>
      <w:r>
        <w:t xml:space="preserve"> Fernando Corrales Quirós</w:t>
      </w:r>
    </w:p>
    <w:p>
      <w:pPr>
        <w:jc w:val="center"/>
      </w:pPr>
      <w:r>
        <w:rPr>
          <w:b/>
        </w:rPr>
        <w:t>Curso:</w:t>
      </w:r>
      <w:r>
        <w:t xml:space="preserve"> Fundamentos de Analítica de Datos</w:t>
      </w:r>
    </w:p>
    <w:p>
      <w:pPr>
        <w:jc w:val="center"/>
      </w:pPr>
      <w:r>
        <w:rPr>
          <w:b/>
        </w:rPr>
        <w:t>Institución:</w:t>
      </w:r>
      <w:r>
        <w:t xml:space="preserve"> Universidad CENFOTEC</w:t>
      </w:r>
    </w:p>
    <w:p>
      <w:pPr>
        <w:jc w:val="center"/>
      </w:pPr>
      <w:r>
        <w:rPr>
          <w:b/>
        </w:rPr>
        <w:t>Periodo:</w:t>
      </w:r>
      <w:r>
        <w:t xml:space="preserve"> Primer cuatrimestre, 2026</w:t>
      </w:r>
    </w:p>
    <w:p>
      <w:pPr>
        <w:jc w:val="center"/>
      </w:pPr>
      <w:r>
        <w:rPr>
          <w:b/>
        </w:rPr>
        <w:t>Dataset:</w:t>
      </w:r>
      <w:r>
        <w:t xml:space="preserve"> IEEE-CIS Fraud Detection</w:t>
      </w:r>
    </w:p>
    <w:p>
      <w:r>
        <w:br w:type="page"/>
      </w:r>
    </w:p>
    <w:p>
      <w:pPr>
        <w:pStyle w:val="Heading1"/>
      </w:pPr>
      <w:r>
        <w:t>Propósito del proyecto</w:t>
      </w:r>
    </w:p>
    <w:p>
      <w:pPr>
        <w:spacing w:after="120"/>
        <w:jc w:val="both"/>
      </w:pPr>
      <w:r>
        <w:t>Este proyecto desarrolla un flujo reproducible de ciencia de datos para abordar la detección de fraude transaccional con aprendizaje automático. El trabajo se basa en el dataset IEEE-CIS Fraud Detection y combina auditoría de datos, análisis exploratorio, preprocesamiento, modelado supervisado, explicabilidad, calibración, incertidumbre y análisis de errores.</w:t>
      </w:r>
    </w:p>
    <w:p>
      <w:pPr>
        <w:spacing w:after="120"/>
        <w:jc w:val="both"/>
      </w:pPr>
      <w:r>
        <w:t>El objetivo no fue solamente obtener un modelo con buen desempeño, sino construir una lectura metodológica sólida del problema: entender la estructura del dataset, controlar riesgos de fuga de información, comparar modelos de forma justa y reconocer límites reales del sistema predictivo.</w:t>
      </w:r>
    </w:p>
    <w:p>
      <w:pPr>
        <w:pStyle w:val="Heading1"/>
      </w:pPr>
      <w:r>
        <w:t>Dataset y problema abordado</w:t>
      </w:r>
    </w:p>
    <w:p>
      <w:pPr>
        <w:spacing w:after="120"/>
        <w:jc w:val="both"/>
      </w:pPr>
      <w:r>
        <w:t xml:space="preserve">El dataset contiene información transaccional y variables complementarias de identidad. Las tablas se integran mediante </w:t>
      </w:r>
      <w:r>
        <w:rPr>
          <w:rFonts w:ascii="Consolas" w:hAnsi="Consolas"/>
          <w:sz w:val="19"/>
        </w:rPr>
        <w:t>TransactionID</w:t>
      </w:r>
      <w:r>
        <w:t xml:space="preserve">, conservando la tabla de transacciones como base. La variable objetivo es </w:t>
      </w:r>
      <w:r>
        <w:rPr>
          <w:rFonts w:ascii="Consolas" w:hAnsi="Consolas"/>
          <w:sz w:val="19"/>
        </w:rPr>
        <w:t>isFraud</w:t>
      </w:r>
      <w:r>
        <w:t>, que identifica si una transacción fue clasificada como fraudulenta.</w:t>
      </w:r>
    </w:p>
    <w:p>
      <w:pPr>
        <w:spacing w:after="120"/>
        <w:jc w:val="both"/>
      </w:pPr>
      <w:r>
        <w:t>El problema presenta cuatro retos principales:</w:t>
      </w:r>
    </w:p>
    <w:p>
      <w:pPr>
        <w:pStyle w:val="ListBullet"/>
      </w:pPr>
      <w:r>
        <w:t>fuerte desbalance entre fraude y no fraude;</w:t>
      </w:r>
    </w:p>
    <w:p>
      <w:pPr>
        <w:pStyle w:val="ListBullet"/>
      </w:pPr>
      <w:r>
        <w:t>alta dimensionalidad;</w:t>
      </w:r>
    </w:p>
    <w:p>
      <w:pPr>
        <w:pStyle w:val="ListBullet"/>
      </w:pPr>
      <w:r>
        <w:t>presencia considerable de valores faltantes;</w:t>
      </w:r>
    </w:p>
    <w:p>
      <w:pPr>
        <w:pStyle w:val="ListBullet"/>
      </w:pPr>
      <w:r>
        <w:t xml:space="preserve">comportamiento temporal relativo capturado por </w:t>
      </w:r>
      <w:r>
        <w:rPr>
          <w:rFonts w:ascii="Consolas" w:hAnsi="Consolas"/>
          <w:sz w:val="19"/>
        </w:rPr>
        <w:t>TransactionDT</w:t>
      </w:r>
      <w:r>
        <w:t>.</w:t>
      </w:r>
    </w:p>
    <w:p>
      <w:pPr>
        <w:spacing w:after="120"/>
        <w:jc w:val="both"/>
      </w:pPr>
      <w:r>
        <w:t>Estos factores hacen que la exactitud no sea una métrica suficiente y que sea necesario evaluar el modelo con métricas sensibles al desempeño sobre la clase fraude.</w:t>
      </w:r>
    </w:p>
    <w:p>
      <w:pPr>
        <w:pStyle w:val="Heading1"/>
      </w:pPr>
      <w:r>
        <w:t>Metodología resumida</w:t>
      </w:r>
    </w:p>
    <w:p>
      <w:pPr>
        <w:spacing w:after="120"/>
        <w:jc w:val="both"/>
      </w:pPr>
      <w:r>
        <w:t>El flujo metodológico utilizó una partición temporal en entrenamiento, validación y prueba, evitando un split aleatorio puro. Esta decisión busca una evaluación más realista, ya que los patrones de fraude pueden variar con el tiempo.</w:t>
      </w:r>
    </w:p>
    <w:p>
      <w:pPr>
        <w:spacing w:after="120"/>
        <w:jc w:val="both"/>
      </w:pPr>
      <w:r>
        <w:t>El preprocesamiento se implementó con un pipeline reproducible que incluye depuración inicial de variables, imputación numérica y categórica, indicadores de ausencia y codificación one-hot robusta. Todo el pipeline se ajustó únicamente sobre entrenamiento para reducir riesgos de fuga de información.</w:t>
      </w:r>
    </w:p>
    <w:p>
      <w:pPr>
        <w:pStyle w:val="Heading1"/>
      </w:pPr>
      <w:r>
        <w:t>Comparación de modelos</w:t>
      </w:r>
    </w:p>
    <w:p>
      <w:pPr>
        <w:spacing w:after="120"/>
        <w:jc w:val="both"/>
      </w:pPr>
      <w:r>
        <w:t>Se evaluaron tres referencias:</w:t>
      </w:r>
    </w:p>
    <w:p>
      <w:pPr>
        <w:pStyle w:val="ListBullet"/>
      </w:pPr>
      <w:r>
        <w:rPr>
          <w:rFonts w:ascii="Consolas" w:hAnsi="Consolas"/>
          <w:sz w:val="19"/>
        </w:rPr>
        <w:t>DummyClassifier</w:t>
      </w:r>
      <w:r>
        <w:t>, como línea mínima basada en prevalencia;</w:t>
      </w:r>
    </w:p>
    <w:p>
      <w:pPr>
        <w:pStyle w:val="ListBullet"/>
      </w:pPr>
      <w:r>
        <w:t>regresión logística regularizada, como baseline interpretable;</w:t>
      </w:r>
    </w:p>
    <w:p>
      <w:pPr>
        <w:pStyle w:val="ListBullet"/>
      </w:pPr>
      <w:r>
        <w:t>LightGBM, como modelo principal avanzado para datos tabulares.</w:t>
      </w:r>
    </w:p>
    <w:p>
      <w:pPr>
        <w:spacing w:after="120"/>
        <w:jc w:val="both"/>
      </w:pPr>
      <w:r>
        <w:t xml:space="preserve">LightGBM superó claramente a la regresión logística. En validación, la PR-AUC aumentó de </w:t>
      </w:r>
      <w:r>
        <w:rPr>
          <w:rFonts w:ascii="Consolas" w:hAnsi="Consolas"/>
          <w:sz w:val="19"/>
        </w:rPr>
        <w:t>0.3758</w:t>
      </w:r>
      <w:r>
        <w:t xml:space="preserve"> a </w:t>
      </w:r>
      <w:r>
        <w:rPr>
          <w:rFonts w:ascii="Consolas" w:hAnsi="Consolas"/>
          <w:sz w:val="19"/>
        </w:rPr>
        <w:t>0.5960</w:t>
      </w:r>
      <w:r>
        <w:t xml:space="preserve">; en prueba, aumentó de </w:t>
      </w:r>
      <w:r>
        <w:rPr>
          <w:rFonts w:ascii="Consolas" w:hAnsi="Consolas"/>
          <w:sz w:val="19"/>
        </w:rPr>
        <w:t>0.2181</w:t>
      </w:r>
      <w:r>
        <w:t xml:space="preserve"> a </w:t>
      </w:r>
      <w:r>
        <w:rPr>
          <w:rFonts w:ascii="Consolas" w:hAnsi="Consolas"/>
          <w:sz w:val="19"/>
        </w:rPr>
        <w:t>0.5440</w:t>
      </w:r>
      <w:r>
        <w:t xml:space="preserve">. La ROC-AUC también mejoró, de </w:t>
      </w:r>
      <w:r>
        <w:rPr>
          <w:rFonts w:ascii="Consolas" w:hAnsi="Consolas"/>
          <w:sz w:val="19"/>
        </w:rPr>
        <w:t>0.8326</w:t>
      </w:r>
      <w:r>
        <w:t xml:space="preserve"> a </w:t>
      </w:r>
      <w:r>
        <w:rPr>
          <w:rFonts w:ascii="Consolas" w:hAnsi="Consolas"/>
          <w:sz w:val="19"/>
        </w:rPr>
        <w:t>0.9235</w:t>
      </w:r>
      <w:r>
        <w:t xml:space="preserve"> en validación y de </w:t>
      </w:r>
      <w:r>
        <w:rPr>
          <w:rFonts w:ascii="Consolas" w:hAnsi="Consolas"/>
          <w:sz w:val="19"/>
        </w:rPr>
        <w:t>0.8249</w:t>
      </w:r>
      <w:r>
        <w:t xml:space="preserve"> a </w:t>
      </w:r>
      <w:r>
        <w:rPr>
          <w:rFonts w:ascii="Consolas" w:hAnsi="Consolas"/>
          <w:sz w:val="19"/>
        </w:rPr>
        <w:t>0.9049</w:t>
      </w:r>
      <w:r>
        <w:t xml:space="preserve"> en prueba.</w:t>
      </w:r>
    </w:p>
    <w:p>
      <w:pPr>
        <w:spacing w:after="120"/>
        <w:jc w:val="both"/>
      </w:pPr>
      <w:r>
        <w:t>Este resultado indica que LightGBM captura relaciones no lineales e interacciones que el baseline lineal no representa con la misma flexibilidad.</w:t>
      </w:r>
    </w:p>
    <w:p>
      <w:pPr>
        <w:pStyle w:val="Heading1"/>
      </w:pPr>
      <w:r>
        <w:t>Explicabilidad, calibración e incertidumbre</w:t>
      </w:r>
    </w:p>
    <w:p>
      <w:pPr>
        <w:spacing w:after="120"/>
        <w:jc w:val="both"/>
      </w:pPr>
      <w:r>
        <w:t>SHAP permitió identificar variables transaccionales, temporales y agregados de comportamiento como señales relevantes para LightGBM. La interpretación se mantuvo como una lectura predictiva, no causal.</w:t>
      </w:r>
    </w:p>
    <w:p>
      <w:pPr>
        <w:spacing w:after="120"/>
        <w:jc w:val="both"/>
      </w:pPr>
      <w:r>
        <w:t>La calibración isotónica se usó para evaluar confiabilidad probabilística. Las probabilidades originales del modelo ya mostraban una alineación razonable en prueba, y la calibración no produjo una mejora clara en los indicadores resumidos.</w:t>
      </w:r>
    </w:p>
    <w:p>
      <w:pPr>
        <w:spacing w:after="120"/>
        <w:jc w:val="both"/>
      </w:pPr>
      <w:r>
        <w:t xml:space="preserve">La predicción conformal añadió una capa moderna de incertidumbre. La cobertura global quedó cerca de los niveles nominales de </w:t>
      </w:r>
      <w:r>
        <w:rPr>
          <w:rFonts w:ascii="Consolas" w:hAnsi="Consolas"/>
          <w:sz w:val="19"/>
        </w:rPr>
        <w:t>90%</w:t>
      </w:r>
      <w:r>
        <w:t xml:space="preserve"> y </w:t>
      </w:r>
      <w:r>
        <w:rPr>
          <w:rFonts w:ascii="Consolas" w:hAnsi="Consolas"/>
          <w:sz w:val="19"/>
        </w:rPr>
        <w:t>95%</w:t>
      </w:r>
      <w:r>
        <w:t xml:space="preserve">, aunque la cobertura de la clase fraude fue menor que la de no fraude. Bajo la configuración usada, la incertidumbre apareció principalmente como abstención </w:t>
      </w:r>
      <w:r>
        <w:rPr>
          <w:rFonts w:ascii="Consolas" w:hAnsi="Consolas"/>
          <w:sz w:val="19"/>
        </w:rPr>
        <w:t>{}</w:t>
      </w:r>
      <w:r>
        <w:t>.</w:t>
      </w:r>
    </w:p>
    <w:p>
      <w:pPr>
        <w:pStyle w:val="Heading1"/>
      </w:pPr>
      <w:r>
        <w:t>Análisis de errores y robustez</w:t>
      </w:r>
    </w:p>
    <w:p>
      <w:pPr>
        <w:spacing w:after="120"/>
        <w:jc w:val="both"/>
      </w:pPr>
      <w:r>
        <w:t>El análisis de errores mostró que la principal debilidad del modelo está en los falsos negativos. En prueba, LightGBM obtuvo 1,108 verdaderos positivos, 84,748 verdaderos negativos, 267 falsos positivos y 1,957 falsos negativos.</w:t>
      </w:r>
    </w:p>
    <w:p>
      <w:pPr>
        <w:spacing w:after="120"/>
        <w:jc w:val="both"/>
      </w:pPr>
      <w:r>
        <w:t xml:space="preserve">La revisión por segmentos evidenció que el desempeño no es uniforme entre rangos de monto, bloques temporales, </w:t>
      </w:r>
      <w:r>
        <w:rPr>
          <w:rFonts w:ascii="Consolas" w:hAnsi="Consolas"/>
          <w:sz w:val="19"/>
        </w:rPr>
        <w:t>ProductCD</w:t>
      </w:r>
      <w:r>
        <w:t xml:space="preserve"> y </w:t>
      </w:r>
      <w:r>
        <w:rPr>
          <w:rFonts w:ascii="Consolas" w:hAnsi="Consolas"/>
          <w:sz w:val="19"/>
        </w:rPr>
        <w:t>DeviceType</w:t>
      </w:r>
      <w:r>
        <w:t>. Esta heterogeneidad es relevante porque un buen desempeño global no garantiza estabilidad en todos los perfiles operativos.</w:t>
      </w:r>
    </w:p>
    <w:p>
      <w:pPr>
        <w:pStyle w:val="Heading1"/>
      </w:pPr>
      <w:r>
        <w:t>Conclusión ejecutiva</w:t>
      </w:r>
    </w:p>
    <w:p>
      <w:pPr>
        <w:spacing w:after="120"/>
        <w:jc w:val="both"/>
      </w:pPr>
      <w:r>
        <w:t>LightGBM es el modelo más sólido dentro del alcance del proyecto y mejora sustancialmente al baseline interpretable. Sin embargo, la detección de fraude sigue siendo un problema difícil por el desbalance, la incompletitud, los cambios temporales y la persistencia de falsos negativos.</w:t>
      </w:r>
    </w:p>
    <w:p>
      <w:pPr>
        <w:spacing w:after="120"/>
        <w:jc w:val="both"/>
      </w:pPr>
      <w:r>
        <w:t>El principal aporte del proyecto es integrar desempeño predictivo con una evaluación crítica: explicabilidad, calibración, incertidumbre y análisis de errores. Esta combinación produce una solución técnicamente defendible y evita una interpretación excesivamente optimista del modelo.</w:t>
      </w:r>
    </w:p>
    <w:p>
      <w:pPr>
        <w:pStyle w:val="Heading1"/>
      </w:pPr>
      <w:r>
        <w:t>Nota de mantenimiento</w:t>
      </w:r>
    </w:p>
    <w:p>
      <w:pPr>
        <w:spacing w:after="120"/>
        <w:jc w:val="both"/>
      </w:pPr>
      <w:r>
        <w:t xml:space="preserve">Si el notebook principal cambia, también deben revisarse este resumen, la documentación detallada, el </w:t>
      </w:r>
      <w:r>
        <w:rPr>
          <w:rFonts w:ascii="Consolas" w:hAnsi="Consolas"/>
          <w:sz w:val="19"/>
        </w:rPr>
        <w:t>README.md</w:t>
      </w:r>
      <w:r>
        <w:t xml:space="preserve">, las versiones </w:t>
      </w:r>
      <w:r>
        <w:rPr>
          <w:rFonts w:ascii="Consolas" w:hAnsi="Consolas"/>
          <w:sz w:val="19"/>
        </w:rPr>
        <w:t>.docx</w:t>
      </w:r>
      <w:r>
        <w:t xml:space="preserve"> públicas, las figuras asociadas y los materiales locales de presentación cuando corresponda.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D575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5050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