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70F28" w14:textId="77777777" w:rsidR="009415B8" w:rsidRPr="009D3964" w:rsidRDefault="009D3964">
      <w:pPr>
        <w:jc w:val="center"/>
        <w:rPr>
          <w:lang w:val="es-CR"/>
        </w:rPr>
      </w:pPr>
      <w:r w:rsidRPr="009D3964">
        <w:rPr>
          <w:b/>
          <w:color w:val="1F4E79"/>
          <w:sz w:val="44"/>
          <w:lang w:val="es-CR"/>
        </w:rPr>
        <w:t>Proyecto final: detección de fraude transaccional con aprendizaje automático</w:t>
      </w:r>
    </w:p>
    <w:p w14:paraId="112D6320" w14:textId="77777777" w:rsidR="009415B8" w:rsidRPr="009D3964" w:rsidRDefault="009D3964">
      <w:pPr>
        <w:jc w:val="center"/>
        <w:rPr>
          <w:lang w:val="es-CR"/>
        </w:rPr>
      </w:pPr>
      <w:r w:rsidRPr="009D3964">
        <w:rPr>
          <w:color w:val="505050"/>
          <w:sz w:val="26"/>
          <w:lang w:val="es-CR"/>
        </w:rPr>
        <w:t>Documentación detallada</w:t>
      </w:r>
    </w:p>
    <w:p w14:paraId="15408431" w14:textId="77777777" w:rsidR="009415B8" w:rsidRPr="009D3964" w:rsidRDefault="009415B8">
      <w:pPr>
        <w:rPr>
          <w:lang w:val="es-CR"/>
        </w:rPr>
      </w:pPr>
    </w:p>
    <w:p w14:paraId="671BFCCD" w14:textId="77777777" w:rsidR="009415B8" w:rsidRPr="009D3964" w:rsidRDefault="009D3964">
      <w:pPr>
        <w:jc w:val="center"/>
        <w:rPr>
          <w:lang w:val="es-CR"/>
        </w:rPr>
      </w:pPr>
      <w:r w:rsidRPr="009D3964">
        <w:rPr>
          <w:b/>
          <w:lang w:val="es-CR"/>
        </w:rPr>
        <w:t>Autor:</w:t>
      </w:r>
      <w:r w:rsidRPr="009D3964">
        <w:rPr>
          <w:lang w:val="es-CR"/>
        </w:rPr>
        <w:t xml:space="preserve"> Fernando Corrales Quirós</w:t>
      </w:r>
    </w:p>
    <w:p w14:paraId="37BE3CBC" w14:textId="77777777" w:rsidR="009415B8" w:rsidRPr="009D3964" w:rsidRDefault="009D3964">
      <w:pPr>
        <w:jc w:val="center"/>
        <w:rPr>
          <w:lang w:val="es-CR"/>
        </w:rPr>
      </w:pPr>
      <w:r w:rsidRPr="009D3964">
        <w:rPr>
          <w:b/>
          <w:lang w:val="es-CR"/>
        </w:rPr>
        <w:t>Curso:</w:t>
      </w:r>
      <w:r w:rsidRPr="009D3964">
        <w:rPr>
          <w:lang w:val="es-CR"/>
        </w:rPr>
        <w:t xml:space="preserve"> Fundamentos de Analítica de Datos</w:t>
      </w:r>
    </w:p>
    <w:p w14:paraId="182CC03B" w14:textId="77777777" w:rsidR="009415B8" w:rsidRPr="009D3964" w:rsidRDefault="009D3964">
      <w:pPr>
        <w:jc w:val="center"/>
        <w:rPr>
          <w:lang w:val="es-CR"/>
        </w:rPr>
      </w:pPr>
      <w:r w:rsidRPr="009D3964">
        <w:rPr>
          <w:b/>
          <w:lang w:val="es-CR"/>
        </w:rPr>
        <w:t>Institución:</w:t>
      </w:r>
      <w:r w:rsidRPr="009D3964">
        <w:rPr>
          <w:lang w:val="es-CR"/>
        </w:rPr>
        <w:t xml:space="preserve"> Universidad CENFOTEC</w:t>
      </w:r>
    </w:p>
    <w:p w14:paraId="07D7594D" w14:textId="77777777" w:rsidR="009415B8" w:rsidRPr="009D3964" w:rsidRDefault="009D3964">
      <w:pPr>
        <w:jc w:val="center"/>
        <w:rPr>
          <w:lang w:val="es-CR"/>
        </w:rPr>
      </w:pPr>
      <w:r w:rsidRPr="009D3964">
        <w:rPr>
          <w:b/>
          <w:lang w:val="es-CR"/>
        </w:rPr>
        <w:t>Periodo:</w:t>
      </w:r>
      <w:r w:rsidRPr="009D3964">
        <w:rPr>
          <w:lang w:val="es-CR"/>
        </w:rPr>
        <w:t xml:space="preserve"> Primer cuatrimestre, 2026</w:t>
      </w:r>
    </w:p>
    <w:p w14:paraId="6B89857C" w14:textId="77777777" w:rsidR="009415B8" w:rsidRPr="009D3964" w:rsidRDefault="009D3964">
      <w:pPr>
        <w:jc w:val="center"/>
        <w:rPr>
          <w:lang w:val="es-CR"/>
        </w:rPr>
      </w:pPr>
      <w:r w:rsidRPr="009D3964">
        <w:rPr>
          <w:b/>
          <w:lang w:val="es-CR"/>
        </w:rPr>
        <w:t>Dataset:</w:t>
      </w:r>
      <w:r w:rsidRPr="009D3964">
        <w:rPr>
          <w:lang w:val="es-CR"/>
        </w:rPr>
        <w:t xml:space="preserve"> IEEE-CIS Fraud Detection</w:t>
      </w:r>
    </w:p>
    <w:p w14:paraId="15D2CDD3" w14:textId="77777777" w:rsidR="009415B8" w:rsidRPr="009D3964" w:rsidRDefault="009D3964">
      <w:pPr>
        <w:rPr>
          <w:lang w:val="es-CR"/>
        </w:rPr>
      </w:pPr>
      <w:r w:rsidRPr="009D3964">
        <w:rPr>
          <w:lang w:val="es-CR"/>
        </w:rPr>
        <w:br w:type="page"/>
      </w:r>
    </w:p>
    <w:p w14:paraId="532EE128" w14:textId="77777777" w:rsidR="009415B8" w:rsidRPr="009D3964" w:rsidRDefault="009D3964">
      <w:pPr>
        <w:pStyle w:val="Ttulo1"/>
        <w:rPr>
          <w:lang w:val="es-CR"/>
        </w:rPr>
      </w:pPr>
      <w:r w:rsidRPr="009D3964">
        <w:rPr>
          <w:lang w:val="es-CR"/>
        </w:rPr>
        <w:lastRenderedPageBreak/>
        <w:t>1. Propósito del documento</w:t>
      </w:r>
    </w:p>
    <w:p w14:paraId="48809CA3" w14:textId="77777777" w:rsidR="009415B8" w:rsidRPr="009D3964" w:rsidRDefault="009D3964">
      <w:pPr>
        <w:spacing w:after="120"/>
        <w:jc w:val="both"/>
        <w:rPr>
          <w:lang w:val="es-CR"/>
        </w:rPr>
      </w:pPr>
      <w:r w:rsidRPr="009D3964">
        <w:rPr>
          <w:lang w:val="es-CR"/>
        </w:rPr>
        <w:t>Este documento presenta la documentación técnica y metodológica del proyecto de detección de fraude transaccional desarrollado a partir del dataset IEEE-CIS Fraud Det</w:t>
      </w:r>
      <w:r w:rsidRPr="009D3964">
        <w:rPr>
          <w:lang w:val="es-CR"/>
        </w:rPr>
        <w:t>ection. Su finalidad es acompañar el notebook principal con una explicación ordenada de las decisiones analíticas, los resultados obtenidos y las principales conclusiones del trabajo.</w:t>
      </w:r>
    </w:p>
    <w:p w14:paraId="090602A5" w14:textId="77777777" w:rsidR="009415B8" w:rsidRPr="009D3964" w:rsidRDefault="009D3964">
      <w:pPr>
        <w:spacing w:after="120"/>
        <w:jc w:val="both"/>
        <w:rPr>
          <w:lang w:val="es-CR"/>
        </w:rPr>
      </w:pPr>
      <w:r w:rsidRPr="009D3964">
        <w:rPr>
          <w:lang w:val="es-CR"/>
        </w:rPr>
        <w:t xml:space="preserve">La documentación está alineada con el notebook </w:t>
      </w:r>
      <w:r w:rsidRPr="009D3964">
        <w:rPr>
          <w:rFonts w:ascii="Consolas" w:hAnsi="Consolas"/>
          <w:sz w:val="19"/>
          <w:lang w:val="es-CR"/>
        </w:rPr>
        <w:t>notebooks/ieee_cis_fraud_</w:t>
      </w:r>
      <w:r w:rsidRPr="009D3964">
        <w:rPr>
          <w:rFonts w:ascii="Consolas" w:hAnsi="Consolas"/>
          <w:sz w:val="19"/>
          <w:lang w:val="es-CR"/>
        </w:rPr>
        <w:t>detection_master.ipynb</w:t>
      </w:r>
      <w:r w:rsidRPr="009D3964">
        <w:rPr>
          <w:lang w:val="es-CR"/>
        </w:rPr>
        <w:t xml:space="preserve"> y debe mantenerse sincronizada con él. Si el notebook cambia, también deben revisarse este documento, el resumen ejecutivo, el </w:t>
      </w:r>
      <w:r w:rsidRPr="009D3964">
        <w:rPr>
          <w:rFonts w:ascii="Consolas" w:hAnsi="Consolas"/>
          <w:sz w:val="19"/>
          <w:lang w:val="es-CR"/>
        </w:rPr>
        <w:t>README.md</w:t>
      </w:r>
      <w:r w:rsidRPr="009D3964">
        <w:rPr>
          <w:lang w:val="es-CR"/>
        </w:rPr>
        <w:t>, las figuras exportadas y los materiales locales de presentación cuando corresponda.</w:t>
      </w:r>
    </w:p>
    <w:p w14:paraId="46A016DC" w14:textId="77777777" w:rsidR="009415B8" w:rsidRPr="009D3964" w:rsidRDefault="009D3964">
      <w:pPr>
        <w:pStyle w:val="Ttulo1"/>
        <w:rPr>
          <w:lang w:val="es-CR"/>
        </w:rPr>
      </w:pPr>
      <w:r w:rsidRPr="009D3964">
        <w:rPr>
          <w:lang w:val="es-CR"/>
        </w:rPr>
        <w:t>2. Contexto</w:t>
      </w:r>
      <w:r w:rsidRPr="009D3964">
        <w:rPr>
          <w:lang w:val="es-CR"/>
        </w:rPr>
        <w:t xml:space="preserve"> y objetivo del proyecto</w:t>
      </w:r>
    </w:p>
    <w:p w14:paraId="0699C221" w14:textId="77777777" w:rsidR="009415B8" w:rsidRPr="009D3964" w:rsidRDefault="009D3964">
      <w:pPr>
        <w:spacing w:after="120"/>
        <w:jc w:val="both"/>
        <w:rPr>
          <w:lang w:val="es-CR"/>
        </w:rPr>
      </w:pPr>
      <w:r w:rsidRPr="009D3964">
        <w:rPr>
          <w:lang w:val="es-CR"/>
        </w:rPr>
        <w:t>La detección de fraude en transacciones digitales consiste en identificar operaciones con alta probabilidad de ser ilegítimas dentro de un flujo masivo de actividad comercial. Es un problema relevante porque el fraude genera pérdid</w:t>
      </w:r>
      <w:r w:rsidRPr="009D3964">
        <w:rPr>
          <w:lang w:val="es-CR"/>
        </w:rPr>
        <w:t>as económicas, incrementa costos operativos, afecta la confianza de los usuarios y obliga a equilibrar dos riesgos: permitir una transacción fraudulenta o bloquear una transacción legítima.</w:t>
      </w:r>
    </w:p>
    <w:p w14:paraId="53B9150C" w14:textId="77777777" w:rsidR="009415B8" w:rsidRPr="009D3964" w:rsidRDefault="009D3964">
      <w:pPr>
        <w:spacing w:after="120"/>
        <w:jc w:val="both"/>
        <w:rPr>
          <w:lang w:val="es-CR"/>
        </w:rPr>
      </w:pPr>
      <w:r w:rsidRPr="009D3964">
        <w:rPr>
          <w:lang w:val="es-CR"/>
        </w:rPr>
        <w:t>El objetivo general del proyecto fue construir un flujo de ciencia</w:t>
      </w:r>
      <w:r w:rsidRPr="009D3964">
        <w:rPr>
          <w:lang w:val="es-CR"/>
        </w:rPr>
        <w:t xml:space="preserve"> de datos reproducible para analizar, preparar, modelar e interpretar el problema IEEE-CIS Fraud Detection. La solución no se limitó a entrenar un clasificador, sino que integró auditoría de datos, análisis exploratorio, partición temporal, preprocesamient</w:t>
      </w:r>
      <w:r w:rsidRPr="009D3964">
        <w:rPr>
          <w:lang w:val="es-CR"/>
        </w:rPr>
        <w:t>o, comparación de modelos, explicabilidad, calibración, análisis de umbral, predicción conformal y análisis de errores.</w:t>
      </w:r>
    </w:p>
    <w:p w14:paraId="7E695BE0" w14:textId="77777777" w:rsidR="009415B8" w:rsidRPr="009D3964" w:rsidRDefault="009D3964">
      <w:pPr>
        <w:pStyle w:val="Ttulo1"/>
        <w:rPr>
          <w:lang w:val="es-CR"/>
        </w:rPr>
      </w:pPr>
      <w:r w:rsidRPr="009D3964">
        <w:rPr>
          <w:lang w:val="es-CR"/>
        </w:rPr>
        <w:t>3. Descripción del dataset</w:t>
      </w:r>
    </w:p>
    <w:p w14:paraId="2AF69D82" w14:textId="77777777" w:rsidR="009415B8" w:rsidRPr="009D3964" w:rsidRDefault="009D3964">
      <w:pPr>
        <w:spacing w:after="120"/>
        <w:jc w:val="both"/>
        <w:rPr>
          <w:lang w:val="es-CR"/>
        </w:rPr>
      </w:pPr>
      <w:r w:rsidRPr="009D3964">
        <w:rPr>
          <w:lang w:val="es-CR"/>
        </w:rPr>
        <w:t>El dataset está formado por dos archivos principales:</w:t>
      </w:r>
    </w:p>
    <w:p w14:paraId="520544E4" w14:textId="77777777" w:rsidR="009415B8" w:rsidRPr="009D3964" w:rsidRDefault="009D3964">
      <w:pPr>
        <w:pStyle w:val="Listaconvietas"/>
        <w:rPr>
          <w:lang w:val="es-CR"/>
        </w:rPr>
      </w:pPr>
      <w:r w:rsidRPr="009D3964">
        <w:rPr>
          <w:rFonts w:ascii="Consolas" w:hAnsi="Consolas"/>
          <w:sz w:val="19"/>
          <w:lang w:val="es-CR"/>
        </w:rPr>
        <w:t>train_transaction.csv</w:t>
      </w:r>
      <w:r w:rsidRPr="009D3964">
        <w:rPr>
          <w:lang w:val="es-CR"/>
        </w:rPr>
        <w:t>: contiene la información transacc</w:t>
      </w:r>
      <w:r w:rsidRPr="009D3964">
        <w:rPr>
          <w:lang w:val="es-CR"/>
        </w:rPr>
        <w:t xml:space="preserve">ional central, incluyendo </w:t>
      </w:r>
      <w:r w:rsidRPr="009D3964">
        <w:rPr>
          <w:rFonts w:ascii="Consolas" w:hAnsi="Consolas"/>
          <w:sz w:val="19"/>
          <w:lang w:val="es-CR"/>
        </w:rPr>
        <w:t>TransactionID</w:t>
      </w:r>
      <w:r w:rsidRPr="009D3964">
        <w:rPr>
          <w:lang w:val="es-CR"/>
        </w:rPr>
        <w:t xml:space="preserve">, </w:t>
      </w:r>
      <w:r w:rsidRPr="009D3964">
        <w:rPr>
          <w:rFonts w:ascii="Consolas" w:hAnsi="Consolas"/>
          <w:sz w:val="19"/>
          <w:lang w:val="es-CR"/>
        </w:rPr>
        <w:t>TransactionDT</w:t>
      </w:r>
      <w:r w:rsidRPr="009D3964">
        <w:rPr>
          <w:lang w:val="es-CR"/>
        </w:rPr>
        <w:t xml:space="preserve">, </w:t>
      </w:r>
      <w:r w:rsidRPr="009D3964">
        <w:rPr>
          <w:rFonts w:ascii="Consolas" w:hAnsi="Consolas"/>
          <w:sz w:val="19"/>
          <w:lang w:val="es-CR"/>
        </w:rPr>
        <w:t>TransactionAmt</w:t>
      </w:r>
      <w:r w:rsidRPr="009D3964">
        <w:rPr>
          <w:lang w:val="es-CR"/>
        </w:rPr>
        <w:t xml:space="preserve">, </w:t>
      </w:r>
      <w:r w:rsidRPr="009D3964">
        <w:rPr>
          <w:rFonts w:ascii="Consolas" w:hAnsi="Consolas"/>
          <w:sz w:val="19"/>
          <w:lang w:val="es-CR"/>
        </w:rPr>
        <w:t>ProductCD</w:t>
      </w:r>
      <w:r w:rsidRPr="009D3964">
        <w:rPr>
          <w:lang w:val="es-CR"/>
        </w:rPr>
        <w:t xml:space="preserve">, variables de tarjeta, variables derivadas y la variable objetivo </w:t>
      </w:r>
      <w:r w:rsidRPr="009D3964">
        <w:rPr>
          <w:rFonts w:ascii="Consolas" w:hAnsi="Consolas"/>
          <w:sz w:val="19"/>
          <w:lang w:val="es-CR"/>
        </w:rPr>
        <w:t>isFraud</w:t>
      </w:r>
      <w:r w:rsidRPr="009D3964">
        <w:rPr>
          <w:lang w:val="es-CR"/>
        </w:rPr>
        <w:t>.</w:t>
      </w:r>
    </w:p>
    <w:p w14:paraId="2F30AF4D" w14:textId="77777777" w:rsidR="009415B8" w:rsidRPr="009D3964" w:rsidRDefault="009D3964">
      <w:pPr>
        <w:pStyle w:val="Listaconvietas"/>
        <w:rPr>
          <w:lang w:val="es-CR"/>
        </w:rPr>
      </w:pPr>
      <w:r w:rsidRPr="009D3964">
        <w:rPr>
          <w:rFonts w:ascii="Consolas" w:hAnsi="Consolas"/>
          <w:sz w:val="19"/>
          <w:lang w:val="es-CR"/>
        </w:rPr>
        <w:t>train_identity.csv</w:t>
      </w:r>
      <w:r w:rsidRPr="009D3964">
        <w:rPr>
          <w:lang w:val="es-CR"/>
        </w:rPr>
        <w:t>: contiene información complementaria relacionada con identidad, dispositivo y at</w:t>
      </w:r>
      <w:r w:rsidRPr="009D3964">
        <w:rPr>
          <w:lang w:val="es-CR"/>
        </w:rPr>
        <w:t>ributos asociados a un subconjunto de transacciones.</w:t>
      </w:r>
    </w:p>
    <w:p w14:paraId="79C1F9F5" w14:textId="77777777" w:rsidR="009415B8" w:rsidRPr="009D3964" w:rsidRDefault="009D3964">
      <w:pPr>
        <w:spacing w:after="120"/>
        <w:jc w:val="both"/>
        <w:rPr>
          <w:lang w:val="es-CR"/>
        </w:rPr>
      </w:pPr>
      <w:r w:rsidRPr="009D3964">
        <w:rPr>
          <w:lang w:val="es-CR"/>
        </w:rPr>
        <w:t xml:space="preserve">La relación entre ambos archivos se realiza mediante </w:t>
      </w:r>
      <w:r w:rsidRPr="009D3964">
        <w:rPr>
          <w:rFonts w:ascii="Consolas" w:hAnsi="Consolas"/>
          <w:sz w:val="19"/>
          <w:lang w:val="es-CR"/>
        </w:rPr>
        <w:t>TransactionID</w:t>
      </w:r>
      <w:r w:rsidRPr="009D3964">
        <w:rPr>
          <w:lang w:val="es-CR"/>
        </w:rPr>
        <w:t xml:space="preserve">. En el notebook se utiliza </w:t>
      </w:r>
      <w:r w:rsidRPr="009D3964">
        <w:rPr>
          <w:rFonts w:ascii="Consolas" w:hAnsi="Consolas"/>
          <w:sz w:val="19"/>
          <w:lang w:val="es-CR"/>
        </w:rPr>
        <w:t>train_transaction</w:t>
      </w:r>
      <w:r w:rsidRPr="009D3964">
        <w:rPr>
          <w:lang w:val="es-CR"/>
        </w:rPr>
        <w:t xml:space="preserve"> como tabla base y se incorpora </w:t>
      </w:r>
      <w:r w:rsidRPr="009D3964">
        <w:rPr>
          <w:rFonts w:ascii="Consolas" w:hAnsi="Consolas"/>
          <w:sz w:val="19"/>
          <w:lang w:val="es-CR"/>
        </w:rPr>
        <w:t>train_identity</w:t>
      </w:r>
      <w:r w:rsidRPr="009D3964">
        <w:rPr>
          <w:lang w:val="es-CR"/>
        </w:rPr>
        <w:t xml:space="preserve"> mediante un </w:t>
      </w:r>
      <w:r w:rsidRPr="009D3964">
        <w:rPr>
          <w:rFonts w:ascii="Consolas" w:hAnsi="Consolas"/>
          <w:sz w:val="19"/>
          <w:lang w:val="es-CR"/>
        </w:rPr>
        <w:t>left join</w:t>
      </w:r>
      <w:r w:rsidRPr="009D3964">
        <w:rPr>
          <w:lang w:val="es-CR"/>
        </w:rPr>
        <w:t>, ya que no todas las tr</w:t>
      </w:r>
      <w:r w:rsidRPr="009D3964">
        <w:rPr>
          <w:lang w:val="es-CR"/>
        </w:rPr>
        <w:t>ansacciones tienen información de identidad. Esta decisión conserva el universo completo de transacciones supervisadas y agrega variables complementarias cuando están disponibles.</w:t>
      </w:r>
    </w:p>
    <w:p w14:paraId="219F15CE" w14:textId="77777777" w:rsidR="009415B8" w:rsidRPr="009D3964" w:rsidRDefault="009D3964">
      <w:pPr>
        <w:spacing w:after="120"/>
        <w:jc w:val="both"/>
        <w:rPr>
          <w:lang w:val="es-CR"/>
        </w:rPr>
      </w:pPr>
      <w:r w:rsidRPr="009D3964">
        <w:rPr>
          <w:lang w:val="es-CR"/>
        </w:rPr>
        <w:t xml:space="preserve">La variable objetivo es </w:t>
      </w:r>
      <w:r w:rsidRPr="009D3964">
        <w:rPr>
          <w:rFonts w:ascii="Consolas" w:hAnsi="Consolas"/>
          <w:sz w:val="19"/>
          <w:lang w:val="es-CR"/>
        </w:rPr>
        <w:t>isFraud</w:t>
      </w:r>
      <w:r w:rsidRPr="009D3964">
        <w:rPr>
          <w:lang w:val="es-CR"/>
        </w:rPr>
        <w:t xml:space="preserve">, donde </w:t>
      </w:r>
      <w:r w:rsidRPr="009D3964">
        <w:rPr>
          <w:rFonts w:ascii="Consolas" w:hAnsi="Consolas"/>
          <w:sz w:val="19"/>
          <w:lang w:val="es-CR"/>
        </w:rPr>
        <w:t>1</w:t>
      </w:r>
      <w:r w:rsidRPr="009D3964">
        <w:rPr>
          <w:lang w:val="es-CR"/>
        </w:rPr>
        <w:t xml:space="preserve"> representa fraude y </w:t>
      </w:r>
      <w:r w:rsidRPr="009D3964">
        <w:rPr>
          <w:rFonts w:ascii="Consolas" w:hAnsi="Consolas"/>
          <w:sz w:val="19"/>
          <w:lang w:val="es-CR"/>
        </w:rPr>
        <w:t>0</w:t>
      </w:r>
      <w:r w:rsidRPr="009D3964">
        <w:rPr>
          <w:lang w:val="es-CR"/>
        </w:rPr>
        <w:t xml:space="preserve"> no fraude. La</w:t>
      </w:r>
      <w:r w:rsidRPr="009D3964">
        <w:rPr>
          <w:lang w:val="es-CR"/>
        </w:rPr>
        <w:t xml:space="preserve"> variable </w:t>
      </w:r>
      <w:r w:rsidRPr="009D3964">
        <w:rPr>
          <w:rFonts w:ascii="Consolas" w:hAnsi="Consolas"/>
          <w:sz w:val="19"/>
          <w:lang w:val="es-CR"/>
        </w:rPr>
        <w:t>TransactionDT</w:t>
      </w:r>
      <w:r w:rsidRPr="009D3964">
        <w:rPr>
          <w:lang w:val="es-CR"/>
        </w:rPr>
        <w:t xml:space="preserve"> se interpreta como un desplazamiento temporal relativo, no como una fecha calendario real.</w:t>
      </w:r>
    </w:p>
    <w:p w14:paraId="6F144597" w14:textId="77777777" w:rsidR="009415B8" w:rsidRPr="009D3964" w:rsidRDefault="009D3964">
      <w:pPr>
        <w:pStyle w:val="Ttulo1"/>
        <w:rPr>
          <w:lang w:val="es-CR"/>
        </w:rPr>
      </w:pPr>
      <w:r w:rsidRPr="009D3964">
        <w:rPr>
          <w:lang w:val="es-CR"/>
        </w:rPr>
        <w:t>4. Auditoría inicial del dataset unido</w:t>
      </w:r>
    </w:p>
    <w:p w14:paraId="77BEB62D" w14:textId="77777777" w:rsidR="009415B8" w:rsidRPr="009D3964" w:rsidRDefault="009D3964">
      <w:pPr>
        <w:spacing w:after="120"/>
        <w:jc w:val="both"/>
        <w:rPr>
          <w:lang w:val="es-CR"/>
        </w:rPr>
      </w:pPr>
      <w:r w:rsidRPr="009D3964">
        <w:rPr>
          <w:lang w:val="es-CR"/>
        </w:rPr>
        <w:t>La auditoría inicial tuvo como propósito verificar la estructura del dataset antes de realizar análisi</w:t>
      </w:r>
      <w:r w:rsidRPr="009D3964">
        <w:rPr>
          <w:lang w:val="es-CR"/>
        </w:rPr>
        <w:t>s más complejos. Se revisaron dimensiones, tipos de datos, faltantes, distribución de la variable objetivo y consistencia de la unión entre tablas.</w:t>
      </w:r>
    </w:p>
    <w:p w14:paraId="6A5FD428" w14:textId="77777777" w:rsidR="009415B8" w:rsidRPr="009D3964" w:rsidRDefault="009D3964">
      <w:pPr>
        <w:spacing w:after="120"/>
        <w:jc w:val="both"/>
        <w:rPr>
          <w:lang w:val="es-CR"/>
        </w:rPr>
      </w:pPr>
      <w:r w:rsidRPr="009D3964">
        <w:rPr>
          <w:lang w:val="es-CR"/>
        </w:rPr>
        <w:t xml:space="preserve">El dataset unido contiene 590,540 transacciones y 434 columnas. La proporción de fraude es reducida, lo que </w:t>
      </w:r>
      <w:r w:rsidRPr="009D3964">
        <w:rPr>
          <w:lang w:val="es-CR"/>
        </w:rPr>
        <w:t xml:space="preserve">confirma un problema de clasificación desbalanceado. Este resultado condiciona toda la estrategia de evaluación: </w:t>
      </w:r>
      <w:r w:rsidRPr="009D3964">
        <w:rPr>
          <w:lang w:val="es-CR"/>
        </w:rPr>
        <w:lastRenderedPageBreak/>
        <w:t>métricas como la exactitud pueden ser engañosas, por lo que se priorizan PR-AUC, ROC-AUC, precisión, recall, F1 y exactitud balanceada.</w:t>
      </w:r>
    </w:p>
    <w:p w14:paraId="795AED73" w14:textId="77777777" w:rsidR="009415B8" w:rsidRDefault="009D3964">
      <w:pPr>
        <w:jc w:val="center"/>
      </w:pPr>
      <w:r>
        <w:rPr>
          <w:noProof/>
        </w:rPr>
        <w:drawing>
          <wp:inline distT="0" distB="0" distL="0" distR="0" wp14:anchorId="331965B5" wp14:editId="705F983C">
            <wp:extent cx="5669280" cy="3713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isfraud.png"/>
                    <pic:cNvPicPr/>
                  </pic:nvPicPr>
                  <pic:blipFill>
                    <a:blip r:embed="rId6"/>
                    <a:stretch>
                      <a:fillRect/>
                    </a:stretch>
                  </pic:blipFill>
                  <pic:spPr>
                    <a:xfrm>
                      <a:off x="0" y="0"/>
                      <a:ext cx="5669280" cy="3713010"/>
                    </a:xfrm>
                    <a:prstGeom prst="rect">
                      <a:avLst/>
                    </a:prstGeom>
                  </pic:spPr>
                </pic:pic>
              </a:graphicData>
            </a:graphic>
          </wp:inline>
        </w:drawing>
      </w:r>
    </w:p>
    <w:p w14:paraId="30545CB3" w14:textId="77777777" w:rsidR="009415B8" w:rsidRPr="009D3964" w:rsidRDefault="009D3964">
      <w:pPr>
        <w:jc w:val="center"/>
        <w:rPr>
          <w:lang w:val="es-CR"/>
        </w:rPr>
      </w:pPr>
      <w:r w:rsidRPr="009D3964">
        <w:rPr>
          <w:i/>
          <w:color w:val="5A5A5A"/>
          <w:sz w:val="18"/>
          <w:lang w:val="es-CR"/>
        </w:rPr>
        <w:t>Distribución de isFraud</w:t>
      </w:r>
    </w:p>
    <w:p w14:paraId="2F7505B0" w14:textId="77777777" w:rsidR="009415B8" w:rsidRPr="009D3964" w:rsidRDefault="009D3964">
      <w:pPr>
        <w:spacing w:after="120"/>
        <w:jc w:val="both"/>
        <w:rPr>
          <w:lang w:val="es-CR"/>
        </w:rPr>
      </w:pPr>
      <w:r w:rsidRPr="009D3964">
        <w:rPr>
          <w:lang w:val="es-CR"/>
        </w:rPr>
        <w:t>La auditoría también evidenció una presencia importante de valores faltantes, en especial en variables de identidad y en atributos derivados. Este hallazgo justificó una depuración inicial documentada y el uso de un pipeline de prep</w:t>
      </w:r>
      <w:r w:rsidRPr="009D3964">
        <w:rPr>
          <w:lang w:val="es-CR"/>
        </w:rPr>
        <w:t>rocesamiento capaz de tratar ausencias de forma reproducible.</w:t>
      </w:r>
    </w:p>
    <w:p w14:paraId="3767EF6E" w14:textId="77777777" w:rsidR="009415B8" w:rsidRDefault="009D3964">
      <w:pPr>
        <w:jc w:val="center"/>
      </w:pPr>
      <w:r>
        <w:rPr>
          <w:noProof/>
        </w:rPr>
        <w:lastRenderedPageBreak/>
        <w:drawing>
          <wp:inline distT="0" distB="0" distL="0" distR="0" wp14:anchorId="1E601A94" wp14:editId="67E85F14">
            <wp:extent cx="5669280" cy="4128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ltantes_top20.png"/>
                    <pic:cNvPicPr/>
                  </pic:nvPicPr>
                  <pic:blipFill>
                    <a:blip r:embed="rId7"/>
                    <a:stretch>
                      <a:fillRect/>
                    </a:stretch>
                  </pic:blipFill>
                  <pic:spPr>
                    <a:xfrm>
                      <a:off x="0" y="0"/>
                      <a:ext cx="5669280" cy="4128754"/>
                    </a:xfrm>
                    <a:prstGeom prst="rect">
                      <a:avLst/>
                    </a:prstGeom>
                  </pic:spPr>
                </pic:pic>
              </a:graphicData>
            </a:graphic>
          </wp:inline>
        </w:drawing>
      </w:r>
    </w:p>
    <w:p w14:paraId="2959152C" w14:textId="77777777" w:rsidR="009415B8" w:rsidRPr="009D3964" w:rsidRDefault="009D3964">
      <w:pPr>
        <w:jc w:val="center"/>
        <w:rPr>
          <w:lang w:val="es-CR"/>
        </w:rPr>
      </w:pPr>
      <w:r w:rsidRPr="009D3964">
        <w:rPr>
          <w:i/>
          <w:color w:val="5A5A5A"/>
          <w:sz w:val="18"/>
          <w:lang w:val="es-CR"/>
        </w:rPr>
        <w:t>Top de columnas con faltantes</w:t>
      </w:r>
    </w:p>
    <w:p w14:paraId="598DF407" w14:textId="77777777" w:rsidR="009415B8" w:rsidRPr="009D3964" w:rsidRDefault="009D3964">
      <w:pPr>
        <w:pStyle w:val="Ttulo1"/>
        <w:rPr>
          <w:lang w:val="es-CR"/>
        </w:rPr>
      </w:pPr>
      <w:r w:rsidRPr="009D3964">
        <w:rPr>
          <w:lang w:val="es-CR"/>
        </w:rPr>
        <w:t>5. Análisis exploratorio profundo</w:t>
      </w:r>
    </w:p>
    <w:p w14:paraId="35D78F7A" w14:textId="77777777" w:rsidR="009415B8" w:rsidRPr="009D3964" w:rsidRDefault="009D3964">
      <w:pPr>
        <w:spacing w:after="120"/>
        <w:jc w:val="both"/>
        <w:rPr>
          <w:lang w:val="es-CR"/>
        </w:rPr>
      </w:pPr>
      <w:r w:rsidRPr="009D3964">
        <w:rPr>
          <w:lang w:val="es-CR"/>
        </w:rPr>
        <w:t xml:space="preserve">El análisis exploratorio profundizó en patrones comparativos entre fraude y no fraude. Se revisaron variables </w:t>
      </w:r>
      <w:r w:rsidRPr="009D3964">
        <w:rPr>
          <w:lang w:val="es-CR"/>
        </w:rPr>
        <w:t>numéricas, variables categóricas interpretables y comportamiento temporal del fenómeno.</w:t>
      </w:r>
    </w:p>
    <w:p w14:paraId="29A81A7B" w14:textId="77777777" w:rsidR="009415B8" w:rsidRPr="009D3964" w:rsidRDefault="009D3964">
      <w:pPr>
        <w:spacing w:after="120"/>
        <w:jc w:val="both"/>
        <w:rPr>
          <w:lang w:val="es-CR"/>
        </w:rPr>
      </w:pPr>
      <w:r w:rsidRPr="009D3964">
        <w:rPr>
          <w:rFonts w:ascii="Consolas" w:hAnsi="Consolas"/>
          <w:sz w:val="19"/>
          <w:lang w:val="es-CR"/>
        </w:rPr>
        <w:t>TransactionAmt</w:t>
      </w:r>
      <w:r w:rsidRPr="009D3964">
        <w:rPr>
          <w:lang w:val="es-CR"/>
        </w:rPr>
        <w:t xml:space="preserve"> mostró una distribución altamente asimétrica, con una cola larga. Para mejorar la lectura visual, el notebook utilizó una vista recortada hasta un percen</w:t>
      </w:r>
      <w:r w:rsidRPr="009D3964">
        <w:rPr>
          <w:lang w:val="es-CR"/>
        </w:rPr>
        <w:t xml:space="preserve">til alto y una transformación </w:t>
      </w:r>
      <w:r w:rsidRPr="009D3964">
        <w:rPr>
          <w:rFonts w:ascii="Consolas" w:hAnsi="Consolas"/>
          <w:sz w:val="19"/>
          <w:lang w:val="es-CR"/>
        </w:rPr>
        <w:t>log1p(TransactionAmt)</w:t>
      </w:r>
      <w:r w:rsidRPr="009D3964">
        <w:rPr>
          <w:lang w:val="es-CR"/>
        </w:rPr>
        <w:t>. Esta doble visualización permite observar tanto el comportamiento típico de los montos como la dispersión extrema que se perdería en una escala lineal simple.</w:t>
      </w:r>
    </w:p>
    <w:p w14:paraId="310CAE63" w14:textId="77777777" w:rsidR="009415B8" w:rsidRDefault="009D3964">
      <w:pPr>
        <w:jc w:val="center"/>
      </w:pPr>
      <w:r>
        <w:rPr>
          <w:noProof/>
        </w:rPr>
        <w:drawing>
          <wp:inline distT="0" distB="0" distL="0" distR="0" wp14:anchorId="58946EC3" wp14:editId="516A0947">
            <wp:extent cx="5669280" cy="1917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nsactionamt_distribucion.png"/>
                    <pic:cNvPicPr/>
                  </pic:nvPicPr>
                  <pic:blipFill>
                    <a:blip r:embed="rId8"/>
                    <a:stretch>
                      <a:fillRect/>
                    </a:stretch>
                  </pic:blipFill>
                  <pic:spPr>
                    <a:xfrm>
                      <a:off x="0" y="0"/>
                      <a:ext cx="5669280" cy="1917551"/>
                    </a:xfrm>
                    <a:prstGeom prst="rect">
                      <a:avLst/>
                    </a:prstGeom>
                  </pic:spPr>
                </pic:pic>
              </a:graphicData>
            </a:graphic>
          </wp:inline>
        </w:drawing>
      </w:r>
    </w:p>
    <w:p w14:paraId="4E8ACD4D" w14:textId="77777777" w:rsidR="009415B8" w:rsidRPr="009D3964" w:rsidRDefault="009D3964">
      <w:pPr>
        <w:jc w:val="center"/>
        <w:rPr>
          <w:lang w:val="es-CR"/>
        </w:rPr>
      </w:pPr>
      <w:r w:rsidRPr="009D3964">
        <w:rPr>
          <w:i/>
          <w:color w:val="5A5A5A"/>
          <w:sz w:val="18"/>
          <w:lang w:val="es-CR"/>
        </w:rPr>
        <w:t>Distribución de TransactionAmt</w:t>
      </w:r>
    </w:p>
    <w:p w14:paraId="3DF2EBCC" w14:textId="77777777" w:rsidR="009415B8" w:rsidRPr="009D3964" w:rsidRDefault="009D3964">
      <w:pPr>
        <w:spacing w:after="120"/>
        <w:jc w:val="both"/>
        <w:rPr>
          <w:lang w:val="es-CR"/>
        </w:rPr>
      </w:pPr>
      <w:r w:rsidRPr="009D3964">
        <w:rPr>
          <w:lang w:val="es-CR"/>
        </w:rPr>
        <w:lastRenderedPageBreak/>
        <w:t>El análisis</w:t>
      </w:r>
      <w:r w:rsidRPr="009D3964">
        <w:rPr>
          <w:lang w:val="es-CR"/>
        </w:rPr>
        <w:t xml:space="preserve"> temporal mostró que la tasa de fraude cambia a lo largo de bloques relativos de </w:t>
      </w:r>
      <w:r w:rsidRPr="009D3964">
        <w:rPr>
          <w:rFonts w:ascii="Consolas" w:hAnsi="Consolas"/>
          <w:sz w:val="19"/>
          <w:lang w:val="es-CR"/>
        </w:rPr>
        <w:t>TransactionDT</w:t>
      </w:r>
      <w:r w:rsidRPr="009D3964">
        <w:rPr>
          <w:lang w:val="es-CR"/>
        </w:rPr>
        <w:t>. Esta variación respaldó la decisión de evitar una partición aleatoria pura y usar una partición basada en el orden temporal relativo.</w:t>
      </w:r>
    </w:p>
    <w:p w14:paraId="2B4CCF5F" w14:textId="77777777" w:rsidR="009415B8" w:rsidRDefault="009D3964">
      <w:pPr>
        <w:jc w:val="center"/>
      </w:pPr>
      <w:r>
        <w:rPr>
          <w:noProof/>
        </w:rPr>
        <w:drawing>
          <wp:inline distT="0" distB="0" distL="0" distR="0" wp14:anchorId="6BF2CBD9" wp14:editId="5C83229D">
            <wp:extent cx="5669280" cy="25752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sa_fraude_temporal.png"/>
                    <pic:cNvPicPr/>
                  </pic:nvPicPr>
                  <pic:blipFill>
                    <a:blip r:embed="rId9"/>
                    <a:stretch>
                      <a:fillRect/>
                    </a:stretch>
                  </pic:blipFill>
                  <pic:spPr>
                    <a:xfrm>
                      <a:off x="0" y="0"/>
                      <a:ext cx="5669280" cy="2575217"/>
                    </a:xfrm>
                    <a:prstGeom prst="rect">
                      <a:avLst/>
                    </a:prstGeom>
                  </pic:spPr>
                </pic:pic>
              </a:graphicData>
            </a:graphic>
          </wp:inline>
        </w:drawing>
      </w:r>
    </w:p>
    <w:p w14:paraId="3CBC3652" w14:textId="77777777" w:rsidR="009415B8" w:rsidRPr="009D3964" w:rsidRDefault="009D3964">
      <w:pPr>
        <w:jc w:val="center"/>
        <w:rPr>
          <w:lang w:val="es-CR"/>
        </w:rPr>
      </w:pPr>
      <w:r w:rsidRPr="009D3964">
        <w:rPr>
          <w:i/>
          <w:color w:val="5A5A5A"/>
          <w:sz w:val="18"/>
          <w:lang w:val="es-CR"/>
        </w:rPr>
        <w:t>Tasa de fraude temporal</w:t>
      </w:r>
    </w:p>
    <w:p w14:paraId="1B7CB438" w14:textId="77777777" w:rsidR="009415B8" w:rsidRPr="009D3964" w:rsidRDefault="009D3964">
      <w:pPr>
        <w:spacing w:after="120"/>
        <w:jc w:val="both"/>
        <w:rPr>
          <w:lang w:val="es-CR"/>
        </w:rPr>
      </w:pPr>
      <w:r w:rsidRPr="009D3964">
        <w:rPr>
          <w:lang w:val="es-CR"/>
        </w:rPr>
        <w:t xml:space="preserve">También se estudiaron variables categóricas como </w:t>
      </w:r>
      <w:r w:rsidRPr="009D3964">
        <w:rPr>
          <w:rFonts w:ascii="Consolas" w:hAnsi="Consolas"/>
          <w:sz w:val="19"/>
          <w:lang w:val="es-CR"/>
        </w:rPr>
        <w:t>ProductCD</w:t>
      </w:r>
      <w:r w:rsidRPr="009D3964">
        <w:rPr>
          <w:lang w:val="es-CR"/>
        </w:rPr>
        <w:t xml:space="preserve">, </w:t>
      </w:r>
      <w:r w:rsidRPr="009D3964">
        <w:rPr>
          <w:rFonts w:ascii="Consolas" w:hAnsi="Consolas"/>
          <w:sz w:val="19"/>
          <w:lang w:val="es-CR"/>
        </w:rPr>
        <w:t>card4</w:t>
      </w:r>
      <w:r w:rsidRPr="009D3964">
        <w:rPr>
          <w:lang w:val="es-CR"/>
        </w:rPr>
        <w:t xml:space="preserve">, </w:t>
      </w:r>
      <w:r w:rsidRPr="009D3964">
        <w:rPr>
          <w:rFonts w:ascii="Consolas" w:hAnsi="Consolas"/>
          <w:sz w:val="19"/>
          <w:lang w:val="es-CR"/>
        </w:rPr>
        <w:t>card6</w:t>
      </w:r>
      <w:r w:rsidRPr="009D3964">
        <w:rPr>
          <w:lang w:val="es-CR"/>
        </w:rPr>
        <w:t xml:space="preserve">, dominios de correo y </w:t>
      </w:r>
      <w:r w:rsidRPr="009D3964">
        <w:rPr>
          <w:rFonts w:ascii="Consolas" w:hAnsi="Consolas"/>
          <w:sz w:val="19"/>
          <w:lang w:val="es-CR"/>
        </w:rPr>
        <w:t>DeviceType</w:t>
      </w:r>
      <w:r w:rsidRPr="009D3964">
        <w:rPr>
          <w:lang w:val="es-CR"/>
        </w:rPr>
        <w:t>. Un hallazgo importante fue que frecuencia y riesgo no son equivalentes: algunas categorías frecuentes pueden tener tasas de fraude moderadas, mientra</w:t>
      </w:r>
      <w:r w:rsidRPr="009D3964">
        <w:rPr>
          <w:lang w:val="es-CR"/>
        </w:rPr>
        <w:t>s que categorías menos frecuentes pueden mostrar señales proporcionalmente más fuertes.</w:t>
      </w:r>
    </w:p>
    <w:p w14:paraId="1A1A8650" w14:textId="77777777" w:rsidR="009415B8" w:rsidRPr="009D3964" w:rsidRDefault="009D3964">
      <w:pPr>
        <w:pStyle w:val="Ttulo1"/>
        <w:rPr>
          <w:lang w:val="es-CR"/>
        </w:rPr>
      </w:pPr>
      <w:r w:rsidRPr="009D3964">
        <w:rPr>
          <w:lang w:val="es-CR"/>
        </w:rPr>
        <w:t>6. Diseño metodológico y preprocesamiento</w:t>
      </w:r>
    </w:p>
    <w:p w14:paraId="069F66DC" w14:textId="77777777" w:rsidR="009415B8" w:rsidRPr="009D3964" w:rsidRDefault="009D3964">
      <w:pPr>
        <w:spacing w:after="120"/>
        <w:jc w:val="both"/>
        <w:rPr>
          <w:lang w:val="es-CR"/>
        </w:rPr>
      </w:pPr>
      <w:r w:rsidRPr="009D3964">
        <w:rPr>
          <w:lang w:val="es-CR"/>
        </w:rPr>
        <w:t xml:space="preserve">La partición de datos se construyó respetando el orden temporal relativo de </w:t>
      </w:r>
      <w:r w:rsidRPr="009D3964">
        <w:rPr>
          <w:rFonts w:ascii="Consolas" w:hAnsi="Consolas"/>
          <w:sz w:val="19"/>
          <w:lang w:val="es-CR"/>
        </w:rPr>
        <w:t>TransactionDT</w:t>
      </w:r>
      <w:r w:rsidRPr="009D3964">
        <w:rPr>
          <w:lang w:val="es-CR"/>
        </w:rPr>
        <w:t>. El dataset se dividió en entrenamie</w:t>
      </w:r>
      <w:r w:rsidRPr="009D3964">
        <w:rPr>
          <w:lang w:val="es-CR"/>
        </w:rPr>
        <w:t>nto, validación y prueba mediante cortes cronológicos. Esta estrategia reduce el riesgo de mezclar observaciones tempranas y recientes, lo cual podría sobreestimar el desempeño si existen cambios en los patrones transaccionales.</w:t>
      </w:r>
    </w:p>
    <w:p w14:paraId="2C39B773" w14:textId="77777777" w:rsidR="009415B8" w:rsidRDefault="009D3964">
      <w:pPr>
        <w:jc w:val="center"/>
      </w:pPr>
      <w:r>
        <w:rPr>
          <w:noProof/>
        </w:rPr>
        <w:drawing>
          <wp:inline distT="0" distB="0" distL="0" distR="0" wp14:anchorId="2DD3D8B2" wp14:editId="332D0194">
            <wp:extent cx="5669280" cy="2465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rticion_temporal.png"/>
                    <pic:cNvPicPr/>
                  </pic:nvPicPr>
                  <pic:blipFill>
                    <a:blip r:embed="rId10"/>
                    <a:stretch>
                      <a:fillRect/>
                    </a:stretch>
                  </pic:blipFill>
                  <pic:spPr>
                    <a:xfrm>
                      <a:off x="0" y="0"/>
                      <a:ext cx="5669280" cy="2465995"/>
                    </a:xfrm>
                    <a:prstGeom prst="rect">
                      <a:avLst/>
                    </a:prstGeom>
                  </pic:spPr>
                </pic:pic>
              </a:graphicData>
            </a:graphic>
          </wp:inline>
        </w:drawing>
      </w:r>
    </w:p>
    <w:p w14:paraId="3D3F9317" w14:textId="77777777" w:rsidR="009415B8" w:rsidRPr="009D3964" w:rsidRDefault="009D3964">
      <w:pPr>
        <w:jc w:val="center"/>
        <w:rPr>
          <w:lang w:val="es-CR"/>
        </w:rPr>
      </w:pPr>
      <w:r w:rsidRPr="009D3964">
        <w:rPr>
          <w:i/>
          <w:color w:val="5A5A5A"/>
          <w:sz w:val="18"/>
          <w:lang w:val="es-CR"/>
        </w:rPr>
        <w:t>Partición temporal</w:t>
      </w:r>
    </w:p>
    <w:p w14:paraId="4AFAAACD" w14:textId="77777777" w:rsidR="009415B8" w:rsidRPr="009D3964" w:rsidRDefault="009D3964">
      <w:pPr>
        <w:spacing w:after="120"/>
        <w:jc w:val="both"/>
        <w:rPr>
          <w:lang w:val="es-CR"/>
        </w:rPr>
      </w:pPr>
      <w:r w:rsidRPr="009D3964">
        <w:rPr>
          <w:lang w:val="es-CR"/>
        </w:rPr>
        <w:lastRenderedPageBreak/>
        <w:t>El pre</w:t>
      </w:r>
      <w:r w:rsidRPr="009D3964">
        <w:rPr>
          <w:lang w:val="es-CR"/>
        </w:rPr>
        <w:t>procesamiento incluyó:</w:t>
      </w:r>
    </w:p>
    <w:p w14:paraId="0D776553" w14:textId="77777777" w:rsidR="009415B8" w:rsidRPr="009D3964" w:rsidRDefault="009D3964">
      <w:pPr>
        <w:pStyle w:val="Listaconvietas"/>
        <w:rPr>
          <w:lang w:val="es-CR"/>
        </w:rPr>
      </w:pPr>
      <w:r w:rsidRPr="009D3964">
        <w:rPr>
          <w:lang w:val="es-CR"/>
        </w:rPr>
        <w:t xml:space="preserve">Separación de la variable objetivo </w:t>
      </w:r>
      <w:r w:rsidRPr="009D3964">
        <w:rPr>
          <w:rFonts w:ascii="Consolas" w:hAnsi="Consolas"/>
          <w:sz w:val="19"/>
          <w:lang w:val="es-CR"/>
        </w:rPr>
        <w:t>isFraud</w:t>
      </w:r>
      <w:r w:rsidRPr="009D3964">
        <w:rPr>
          <w:lang w:val="es-CR"/>
        </w:rPr>
        <w:t>.</w:t>
      </w:r>
    </w:p>
    <w:p w14:paraId="3876D561" w14:textId="77777777" w:rsidR="009415B8" w:rsidRPr="009D3964" w:rsidRDefault="009D3964">
      <w:pPr>
        <w:pStyle w:val="Listaconvietas"/>
        <w:rPr>
          <w:lang w:val="es-CR"/>
        </w:rPr>
      </w:pPr>
      <w:r w:rsidRPr="009D3964">
        <w:rPr>
          <w:lang w:val="es-CR"/>
        </w:rPr>
        <w:t>Eliminación de columnas extremadamente incompletas, identificadores técnicos y variables sin variación.</w:t>
      </w:r>
    </w:p>
    <w:p w14:paraId="41E4B4DE" w14:textId="77777777" w:rsidR="009415B8" w:rsidRPr="009D3964" w:rsidRDefault="009D3964">
      <w:pPr>
        <w:pStyle w:val="Listaconvietas"/>
        <w:rPr>
          <w:lang w:val="es-CR"/>
        </w:rPr>
      </w:pPr>
      <w:r w:rsidRPr="009D3964">
        <w:rPr>
          <w:lang w:val="es-CR"/>
        </w:rPr>
        <w:t>Identificación de variables numéricas y categóricas.</w:t>
      </w:r>
    </w:p>
    <w:p w14:paraId="7DFB7F30" w14:textId="77777777" w:rsidR="009415B8" w:rsidRDefault="009D3964">
      <w:pPr>
        <w:pStyle w:val="Listaconvietas"/>
      </w:pPr>
      <w:r>
        <w:t>Imputación numérica por mediana.</w:t>
      </w:r>
    </w:p>
    <w:p w14:paraId="344B4CC6" w14:textId="77777777" w:rsidR="009415B8" w:rsidRPr="009D3964" w:rsidRDefault="009D3964">
      <w:pPr>
        <w:pStyle w:val="Listaconvietas"/>
        <w:rPr>
          <w:lang w:val="es-CR"/>
        </w:rPr>
      </w:pPr>
      <w:r w:rsidRPr="009D3964">
        <w:rPr>
          <w:lang w:val="es-CR"/>
        </w:rPr>
        <w:t>Indicadores de ausencia en variables numéricas.</w:t>
      </w:r>
    </w:p>
    <w:p w14:paraId="47CD16FB" w14:textId="77777777" w:rsidR="009415B8" w:rsidRPr="009D3964" w:rsidRDefault="009D3964">
      <w:pPr>
        <w:pStyle w:val="Listaconvietas"/>
        <w:rPr>
          <w:lang w:val="es-CR"/>
        </w:rPr>
      </w:pPr>
      <w:r w:rsidRPr="009D3964">
        <w:rPr>
          <w:lang w:val="es-CR"/>
        </w:rPr>
        <w:t>Imputación categórica con una etiqueta explícita para faltantes.</w:t>
      </w:r>
    </w:p>
    <w:p w14:paraId="21F766DD" w14:textId="77777777" w:rsidR="009415B8" w:rsidRPr="009D3964" w:rsidRDefault="009D3964">
      <w:pPr>
        <w:pStyle w:val="Listaconvietas"/>
        <w:rPr>
          <w:lang w:val="es-CR"/>
        </w:rPr>
      </w:pPr>
      <w:r w:rsidRPr="009D3964">
        <w:rPr>
          <w:lang w:val="es-CR"/>
        </w:rPr>
        <w:t>Codificación one-hot robusta ante categorías no vistas.</w:t>
      </w:r>
    </w:p>
    <w:p w14:paraId="2B31F14C" w14:textId="77777777" w:rsidR="009415B8" w:rsidRPr="009D3964" w:rsidRDefault="009D3964">
      <w:pPr>
        <w:spacing w:after="120"/>
        <w:jc w:val="both"/>
        <w:rPr>
          <w:lang w:val="es-CR"/>
        </w:rPr>
      </w:pPr>
      <w:r w:rsidRPr="009D3964">
        <w:rPr>
          <w:lang w:val="es-CR"/>
        </w:rPr>
        <w:t xml:space="preserve">Todo el preprocesamiento se ajustó sobre entrenamiento y luego se aplicó a validación </w:t>
      </w:r>
      <w:r w:rsidRPr="009D3964">
        <w:rPr>
          <w:lang w:val="es-CR"/>
        </w:rPr>
        <w:t>y prueba. Esta decisión es central para evitar fuga de información y mantener comparabilidad entre modelos.</w:t>
      </w:r>
    </w:p>
    <w:p w14:paraId="3602AF40" w14:textId="77777777" w:rsidR="009415B8" w:rsidRPr="009D3964" w:rsidRDefault="009D3964">
      <w:pPr>
        <w:pStyle w:val="Ttulo1"/>
        <w:rPr>
          <w:lang w:val="es-CR"/>
        </w:rPr>
      </w:pPr>
      <w:r w:rsidRPr="009D3964">
        <w:rPr>
          <w:lang w:val="es-CR"/>
        </w:rPr>
        <w:t>7. Baseline interpretable</w:t>
      </w:r>
    </w:p>
    <w:p w14:paraId="2009FE66" w14:textId="77777777" w:rsidR="009415B8" w:rsidRPr="009D3964" w:rsidRDefault="009D3964">
      <w:pPr>
        <w:spacing w:after="120"/>
        <w:jc w:val="both"/>
        <w:rPr>
          <w:lang w:val="es-CR"/>
        </w:rPr>
      </w:pPr>
      <w:r w:rsidRPr="009D3964">
        <w:rPr>
          <w:lang w:val="es-CR"/>
        </w:rPr>
        <w:t>El baseline se construyó con dos referencias:</w:t>
      </w:r>
    </w:p>
    <w:p w14:paraId="3A7141DB" w14:textId="77777777" w:rsidR="009415B8" w:rsidRPr="009D3964" w:rsidRDefault="009D3964">
      <w:pPr>
        <w:pStyle w:val="Listaconvietas"/>
        <w:rPr>
          <w:lang w:val="es-CR"/>
        </w:rPr>
      </w:pPr>
      <w:r w:rsidRPr="009D3964">
        <w:rPr>
          <w:rFonts w:ascii="Consolas" w:hAnsi="Consolas"/>
          <w:sz w:val="19"/>
          <w:lang w:val="es-CR"/>
        </w:rPr>
        <w:t>DummyClassifier</w:t>
      </w:r>
      <w:r w:rsidRPr="009D3964">
        <w:rPr>
          <w:lang w:val="es-CR"/>
        </w:rPr>
        <w:t>: modelo mínimo que reproduce la prevalencia de la clase obje</w:t>
      </w:r>
      <w:r w:rsidRPr="009D3964">
        <w:rPr>
          <w:lang w:val="es-CR"/>
        </w:rPr>
        <w:t>tivo sin aprender patrones.</w:t>
      </w:r>
    </w:p>
    <w:p w14:paraId="25F84E3E" w14:textId="77777777" w:rsidR="009415B8" w:rsidRPr="009D3964" w:rsidRDefault="009D3964">
      <w:pPr>
        <w:pStyle w:val="Listaconvietas"/>
        <w:rPr>
          <w:lang w:val="es-CR"/>
        </w:rPr>
      </w:pPr>
      <w:r w:rsidRPr="009D3964">
        <w:rPr>
          <w:lang w:val="es-CR"/>
        </w:rPr>
        <w:t>Regresión logística regularizada: modelo lineal interpretable que permite evaluar si el espacio transformado contiene señal predictiva.</w:t>
      </w:r>
    </w:p>
    <w:p w14:paraId="41DE78A4" w14:textId="77777777" w:rsidR="009415B8" w:rsidRPr="009D3964" w:rsidRDefault="009D3964">
      <w:pPr>
        <w:spacing w:after="120"/>
        <w:jc w:val="both"/>
        <w:rPr>
          <w:lang w:val="es-CR"/>
        </w:rPr>
      </w:pPr>
      <w:r w:rsidRPr="009D3964">
        <w:rPr>
          <w:lang w:val="es-CR"/>
        </w:rPr>
        <w:t xml:space="preserve">La regresión logística superó claramente al </w:t>
      </w:r>
      <w:r w:rsidRPr="009D3964">
        <w:rPr>
          <w:rFonts w:ascii="Consolas" w:hAnsi="Consolas"/>
          <w:sz w:val="19"/>
          <w:lang w:val="es-CR"/>
        </w:rPr>
        <w:t>DummyClassifier</w:t>
      </w:r>
      <w:r w:rsidRPr="009D3964">
        <w:rPr>
          <w:lang w:val="es-CR"/>
        </w:rPr>
        <w:t xml:space="preserve">, lo que confirmó que las </w:t>
      </w:r>
      <w:r w:rsidRPr="009D3964">
        <w:rPr>
          <w:lang w:val="es-CR"/>
        </w:rPr>
        <w:t>variables transformadas sí contienen información útil. Sin embargo, sus métricas centradas en fraude fueron limitadas. En particular, PR-AUC y recall mostraron que la recuperación de la clase positiva seguía siendo difícil, especialmente en prueba.</w:t>
      </w:r>
    </w:p>
    <w:p w14:paraId="0EC6F66F" w14:textId="77777777" w:rsidR="009415B8" w:rsidRPr="009D3964" w:rsidRDefault="009D3964">
      <w:pPr>
        <w:spacing w:after="120"/>
        <w:jc w:val="both"/>
        <w:rPr>
          <w:lang w:val="es-CR"/>
        </w:rPr>
      </w:pPr>
      <w:r w:rsidRPr="009D3964">
        <w:rPr>
          <w:lang w:val="es-CR"/>
        </w:rPr>
        <w:t>Este ba</w:t>
      </w:r>
      <w:r w:rsidRPr="009D3964">
        <w:rPr>
          <w:lang w:val="es-CR"/>
        </w:rPr>
        <w:t>seline fue importante porque estableció una referencia metodológica sobria. Cualquier modelo más complejo debía demostrar mejoras claras frente a esta línea base.</w:t>
      </w:r>
    </w:p>
    <w:p w14:paraId="01E8C56A" w14:textId="77777777" w:rsidR="009415B8" w:rsidRPr="009D3964" w:rsidRDefault="009D3964">
      <w:pPr>
        <w:pStyle w:val="Ttulo1"/>
        <w:rPr>
          <w:lang w:val="es-CR"/>
        </w:rPr>
      </w:pPr>
      <w:r w:rsidRPr="009D3964">
        <w:rPr>
          <w:lang w:val="es-CR"/>
        </w:rPr>
        <w:t>8. Modelo principal avanzado: LightGBM</w:t>
      </w:r>
    </w:p>
    <w:p w14:paraId="59EA12C0" w14:textId="77777777" w:rsidR="009415B8" w:rsidRPr="009D3964" w:rsidRDefault="009D3964">
      <w:pPr>
        <w:spacing w:after="120"/>
        <w:jc w:val="both"/>
        <w:rPr>
          <w:lang w:val="es-CR"/>
        </w:rPr>
      </w:pPr>
      <w:r w:rsidRPr="009D3964">
        <w:rPr>
          <w:lang w:val="es-CR"/>
        </w:rPr>
        <w:t>LightGBM se seleccionó como modelo principal porque lo</w:t>
      </w:r>
      <w:r w:rsidRPr="009D3964">
        <w:rPr>
          <w:lang w:val="es-CR"/>
        </w:rPr>
        <w:t>s problemas tabulares de fraude suelen contener relaciones no lineales, interacciones entre variables y patrones locales que un modelo lineal no captura con suficiente flexibilidad.</w:t>
      </w:r>
    </w:p>
    <w:p w14:paraId="03DE4625" w14:textId="77777777" w:rsidR="009415B8" w:rsidRPr="009D3964" w:rsidRDefault="009D3964">
      <w:pPr>
        <w:spacing w:after="120"/>
        <w:jc w:val="both"/>
        <w:rPr>
          <w:lang w:val="es-CR"/>
        </w:rPr>
      </w:pPr>
      <w:r w:rsidRPr="009D3964">
        <w:rPr>
          <w:lang w:val="es-CR"/>
        </w:rPr>
        <w:t>El modelo se entrenó con la misma partición temporal y el mismo preprocesa</w:t>
      </w:r>
      <w:r w:rsidRPr="009D3964">
        <w:rPr>
          <w:lang w:val="es-CR"/>
        </w:rPr>
        <w:t>miento que el baseline, manteniendo comparabilidad metodológica. Los resultados mostraron una mejora clara frente a la regresión logística:</w:t>
      </w:r>
    </w:p>
    <w:p w14:paraId="01359D43" w14:textId="77777777" w:rsidR="009415B8" w:rsidRPr="009D3964" w:rsidRDefault="009D3964">
      <w:pPr>
        <w:pStyle w:val="Listaconvietas"/>
        <w:rPr>
          <w:lang w:val="es-CR"/>
        </w:rPr>
      </w:pPr>
      <w:r w:rsidRPr="009D3964">
        <w:rPr>
          <w:lang w:val="es-CR"/>
        </w:rPr>
        <w:t xml:space="preserve">PR-AUC en validación: de </w:t>
      </w:r>
      <w:r w:rsidRPr="009D3964">
        <w:rPr>
          <w:rFonts w:ascii="Consolas" w:hAnsi="Consolas"/>
          <w:sz w:val="19"/>
          <w:lang w:val="es-CR"/>
        </w:rPr>
        <w:t>0.3758</w:t>
      </w:r>
      <w:r w:rsidRPr="009D3964">
        <w:rPr>
          <w:lang w:val="es-CR"/>
        </w:rPr>
        <w:t xml:space="preserve"> a </w:t>
      </w:r>
      <w:r w:rsidRPr="009D3964">
        <w:rPr>
          <w:rFonts w:ascii="Consolas" w:hAnsi="Consolas"/>
          <w:sz w:val="19"/>
          <w:lang w:val="es-CR"/>
        </w:rPr>
        <w:t>0.5960</w:t>
      </w:r>
      <w:r w:rsidRPr="009D3964">
        <w:rPr>
          <w:lang w:val="es-CR"/>
        </w:rPr>
        <w:t>.</w:t>
      </w:r>
    </w:p>
    <w:p w14:paraId="00DEC014" w14:textId="77777777" w:rsidR="009415B8" w:rsidRPr="009D3964" w:rsidRDefault="009D3964">
      <w:pPr>
        <w:pStyle w:val="Listaconvietas"/>
        <w:rPr>
          <w:lang w:val="es-CR"/>
        </w:rPr>
      </w:pPr>
      <w:r w:rsidRPr="009D3964">
        <w:rPr>
          <w:lang w:val="es-CR"/>
        </w:rPr>
        <w:t xml:space="preserve">PR-AUC en prueba: de </w:t>
      </w:r>
      <w:r w:rsidRPr="009D3964">
        <w:rPr>
          <w:rFonts w:ascii="Consolas" w:hAnsi="Consolas"/>
          <w:sz w:val="19"/>
          <w:lang w:val="es-CR"/>
        </w:rPr>
        <w:t>0.2181</w:t>
      </w:r>
      <w:r w:rsidRPr="009D3964">
        <w:rPr>
          <w:lang w:val="es-CR"/>
        </w:rPr>
        <w:t xml:space="preserve"> a </w:t>
      </w:r>
      <w:r w:rsidRPr="009D3964">
        <w:rPr>
          <w:rFonts w:ascii="Consolas" w:hAnsi="Consolas"/>
          <w:sz w:val="19"/>
          <w:lang w:val="es-CR"/>
        </w:rPr>
        <w:t>0.5440</w:t>
      </w:r>
      <w:r w:rsidRPr="009D3964">
        <w:rPr>
          <w:lang w:val="es-CR"/>
        </w:rPr>
        <w:t>.</w:t>
      </w:r>
    </w:p>
    <w:p w14:paraId="7C7B5D3C" w14:textId="77777777" w:rsidR="009415B8" w:rsidRPr="009D3964" w:rsidRDefault="009D3964">
      <w:pPr>
        <w:pStyle w:val="Listaconvietas"/>
        <w:rPr>
          <w:lang w:val="es-CR"/>
        </w:rPr>
      </w:pPr>
      <w:r w:rsidRPr="009D3964">
        <w:rPr>
          <w:lang w:val="es-CR"/>
        </w:rPr>
        <w:t xml:space="preserve">ROC-AUC en validación: de </w:t>
      </w:r>
      <w:r w:rsidRPr="009D3964">
        <w:rPr>
          <w:rFonts w:ascii="Consolas" w:hAnsi="Consolas"/>
          <w:sz w:val="19"/>
          <w:lang w:val="es-CR"/>
        </w:rPr>
        <w:t>0.8326</w:t>
      </w:r>
      <w:r w:rsidRPr="009D3964">
        <w:rPr>
          <w:lang w:val="es-CR"/>
        </w:rPr>
        <w:t xml:space="preserve"> a </w:t>
      </w:r>
      <w:r w:rsidRPr="009D3964">
        <w:rPr>
          <w:rFonts w:ascii="Consolas" w:hAnsi="Consolas"/>
          <w:sz w:val="19"/>
          <w:lang w:val="es-CR"/>
        </w:rPr>
        <w:t>0.9235</w:t>
      </w:r>
      <w:r w:rsidRPr="009D3964">
        <w:rPr>
          <w:lang w:val="es-CR"/>
        </w:rPr>
        <w:t>.</w:t>
      </w:r>
    </w:p>
    <w:p w14:paraId="23B4C550" w14:textId="77777777" w:rsidR="009415B8" w:rsidRPr="009D3964" w:rsidRDefault="009D3964">
      <w:pPr>
        <w:pStyle w:val="Listaconvietas"/>
        <w:rPr>
          <w:lang w:val="es-CR"/>
        </w:rPr>
      </w:pPr>
      <w:r w:rsidRPr="009D3964">
        <w:rPr>
          <w:lang w:val="es-CR"/>
        </w:rPr>
        <w:t xml:space="preserve">ROC-AUC en prueba: de </w:t>
      </w:r>
      <w:r w:rsidRPr="009D3964">
        <w:rPr>
          <w:rFonts w:ascii="Consolas" w:hAnsi="Consolas"/>
          <w:sz w:val="19"/>
          <w:lang w:val="es-CR"/>
        </w:rPr>
        <w:t>0.8249</w:t>
      </w:r>
      <w:r w:rsidRPr="009D3964">
        <w:rPr>
          <w:lang w:val="es-CR"/>
        </w:rPr>
        <w:t xml:space="preserve"> a </w:t>
      </w:r>
      <w:r w:rsidRPr="009D3964">
        <w:rPr>
          <w:rFonts w:ascii="Consolas" w:hAnsi="Consolas"/>
          <w:sz w:val="19"/>
          <w:lang w:val="es-CR"/>
        </w:rPr>
        <w:t>0.9049</w:t>
      </w:r>
      <w:r w:rsidRPr="009D3964">
        <w:rPr>
          <w:lang w:val="es-CR"/>
        </w:rPr>
        <w:t>.</w:t>
      </w:r>
    </w:p>
    <w:p w14:paraId="6902589D" w14:textId="77777777" w:rsidR="009415B8" w:rsidRDefault="009D3964">
      <w:pPr>
        <w:jc w:val="center"/>
      </w:pPr>
      <w:r>
        <w:rPr>
          <w:noProof/>
        </w:rPr>
        <w:lastRenderedPageBreak/>
        <w:drawing>
          <wp:inline distT="0" distB="0" distL="0" distR="0" wp14:anchorId="60A2473B" wp14:editId="4C9392AD">
            <wp:extent cx="5669280" cy="205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acion_modelos_auc.png"/>
                    <pic:cNvPicPr/>
                  </pic:nvPicPr>
                  <pic:blipFill>
                    <a:blip r:embed="rId11"/>
                    <a:stretch>
                      <a:fillRect/>
                    </a:stretch>
                  </pic:blipFill>
                  <pic:spPr>
                    <a:xfrm>
                      <a:off x="0" y="0"/>
                      <a:ext cx="5669280" cy="2053440"/>
                    </a:xfrm>
                    <a:prstGeom prst="rect">
                      <a:avLst/>
                    </a:prstGeom>
                  </pic:spPr>
                </pic:pic>
              </a:graphicData>
            </a:graphic>
          </wp:inline>
        </w:drawing>
      </w:r>
    </w:p>
    <w:p w14:paraId="1A0E74FA" w14:textId="77777777" w:rsidR="009415B8" w:rsidRPr="009D3964" w:rsidRDefault="009D3964">
      <w:pPr>
        <w:jc w:val="center"/>
        <w:rPr>
          <w:lang w:val="es-CR"/>
        </w:rPr>
      </w:pPr>
      <w:r w:rsidRPr="009D3964">
        <w:rPr>
          <w:i/>
          <w:color w:val="5A5A5A"/>
          <w:sz w:val="18"/>
          <w:lang w:val="es-CR"/>
        </w:rPr>
        <w:t>Comparación de modelos</w:t>
      </w:r>
    </w:p>
    <w:p w14:paraId="37AA4A8D" w14:textId="77777777" w:rsidR="009415B8" w:rsidRPr="009D3964" w:rsidRDefault="009D3964">
      <w:pPr>
        <w:spacing w:after="120"/>
        <w:jc w:val="both"/>
        <w:rPr>
          <w:lang w:val="es-CR"/>
        </w:rPr>
      </w:pPr>
      <w:r w:rsidRPr="009D3964">
        <w:rPr>
          <w:lang w:val="es-CR"/>
        </w:rPr>
        <w:t>La matriz de confusión en prueba mostró que LightGBM recupera una parte importante del fraude, pero todavía deja una cantidad relevante de falsos neg</w:t>
      </w:r>
      <w:r w:rsidRPr="009D3964">
        <w:rPr>
          <w:lang w:val="es-CR"/>
        </w:rPr>
        <w:t>ativos. Esto confirma que el modelo mejora el ranking y la detección, pero el problema sigue siendo complejo.</w:t>
      </w:r>
    </w:p>
    <w:p w14:paraId="1AFAD1C0" w14:textId="77777777" w:rsidR="009415B8" w:rsidRDefault="009D3964">
      <w:pPr>
        <w:jc w:val="center"/>
      </w:pPr>
      <w:r>
        <w:rPr>
          <w:noProof/>
        </w:rPr>
        <w:drawing>
          <wp:inline distT="0" distB="0" distL="0" distR="0" wp14:anchorId="546ED46F" wp14:editId="3AD87B25">
            <wp:extent cx="5669280" cy="5106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triz_confusion_lightgbm.png"/>
                    <pic:cNvPicPr/>
                  </pic:nvPicPr>
                  <pic:blipFill>
                    <a:blip r:embed="rId12"/>
                    <a:stretch>
                      <a:fillRect/>
                    </a:stretch>
                  </pic:blipFill>
                  <pic:spPr>
                    <a:xfrm>
                      <a:off x="0" y="0"/>
                      <a:ext cx="5669280" cy="5106216"/>
                    </a:xfrm>
                    <a:prstGeom prst="rect">
                      <a:avLst/>
                    </a:prstGeom>
                  </pic:spPr>
                </pic:pic>
              </a:graphicData>
            </a:graphic>
          </wp:inline>
        </w:drawing>
      </w:r>
    </w:p>
    <w:p w14:paraId="234D7404" w14:textId="77777777" w:rsidR="009415B8" w:rsidRPr="009D3964" w:rsidRDefault="009D3964">
      <w:pPr>
        <w:jc w:val="center"/>
        <w:rPr>
          <w:lang w:val="es-CR"/>
        </w:rPr>
      </w:pPr>
      <w:r w:rsidRPr="009D3964">
        <w:rPr>
          <w:i/>
          <w:color w:val="5A5A5A"/>
          <w:sz w:val="18"/>
          <w:lang w:val="es-CR"/>
        </w:rPr>
        <w:t>Matriz de confusión de LightGBM</w:t>
      </w:r>
    </w:p>
    <w:p w14:paraId="6D6878F2" w14:textId="77777777" w:rsidR="009415B8" w:rsidRPr="009D3964" w:rsidRDefault="009D3964">
      <w:pPr>
        <w:pStyle w:val="Ttulo1"/>
        <w:rPr>
          <w:lang w:val="es-CR"/>
        </w:rPr>
      </w:pPr>
      <w:r w:rsidRPr="009D3964">
        <w:rPr>
          <w:lang w:val="es-CR"/>
        </w:rPr>
        <w:lastRenderedPageBreak/>
        <w:t>9. Explicabilidad, calibración y análisis de umbral</w:t>
      </w:r>
    </w:p>
    <w:p w14:paraId="5BF4BE4B" w14:textId="77777777" w:rsidR="009415B8" w:rsidRDefault="009D3964">
      <w:pPr>
        <w:spacing w:after="120"/>
        <w:jc w:val="both"/>
      </w:pPr>
      <w:r w:rsidRPr="009D3964">
        <w:rPr>
          <w:lang w:val="es-CR"/>
        </w:rPr>
        <w:t>La evaluación del modelo principal no se limitó a métricas a</w:t>
      </w:r>
      <w:r w:rsidRPr="009D3964">
        <w:rPr>
          <w:lang w:val="es-CR"/>
        </w:rPr>
        <w:t xml:space="preserve">gregadas. </w:t>
      </w:r>
      <w:r>
        <w:t>Se incorporaron tres componentes para comprender mejor su comportamiento:</w:t>
      </w:r>
    </w:p>
    <w:p w14:paraId="5735301E" w14:textId="77777777" w:rsidR="009415B8" w:rsidRPr="009D3964" w:rsidRDefault="009D3964">
      <w:pPr>
        <w:pStyle w:val="Listaconvietas"/>
        <w:rPr>
          <w:lang w:val="es-CR"/>
        </w:rPr>
      </w:pPr>
      <w:r w:rsidRPr="009D3964">
        <w:rPr>
          <w:lang w:val="es-CR"/>
        </w:rPr>
        <w:t>SHAP, para explicar qué variables aportan más a las predicciones.</w:t>
      </w:r>
    </w:p>
    <w:p w14:paraId="2E83C5D1" w14:textId="77777777" w:rsidR="009415B8" w:rsidRPr="009D3964" w:rsidRDefault="009D3964">
      <w:pPr>
        <w:pStyle w:val="Listaconvietas"/>
        <w:rPr>
          <w:lang w:val="es-CR"/>
        </w:rPr>
      </w:pPr>
      <w:r w:rsidRPr="009D3964">
        <w:rPr>
          <w:lang w:val="es-CR"/>
        </w:rPr>
        <w:t>Calibración isotónica, para evaluar la confiabilidad de las probabilidades.</w:t>
      </w:r>
    </w:p>
    <w:p w14:paraId="1048B161" w14:textId="77777777" w:rsidR="009415B8" w:rsidRPr="009D3964" w:rsidRDefault="009D3964">
      <w:pPr>
        <w:pStyle w:val="Listaconvietas"/>
        <w:rPr>
          <w:lang w:val="es-CR"/>
        </w:rPr>
      </w:pPr>
      <w:r w:rsidRPr="009D3964">
        <w:rPr>
          <w:lang w:val="es-CR"/>
        </w:rPr>
        <w:t>Análisis de umbral, para estud</w:t>
      </w:r>
      <w:r w:rsidRPr="009D3964">
        <w:rPr>
          <w:lang w:val="es-CR"/>
        </w:rPr>
        <w:t>iar el intercambio entre precision, recall y F1.</w:t>
      </w:r>
    </w:p>
    <w:p w14:paraId="4FC99088" w14:textId="77777777" w:rsidR="009415B8" w:rsidRPr="009D3964" w:rsidRDefault="009D3964">
      <w:pPr>
        <w:spacing w:after="120"/>
        <w:jc w:val="both"/>
        <w:rPr>
          <w:lang w:val="es-CR"/>
        </w:rPr>
      </w:pPr>
      <w:r w:rsidRPr="009D3964">
        <w:rPr>
          <w:lang w:val="es-CR"/>
        </w:rPr>
        <w:t>SHAP mostró que variables transaccionales, temporales y agregados de comportamiento concentran una parte importante de la señal predictiva. Esta lectura mejora la trazabilidad del modelo, aunque no debe inte</w:t>
      </w:r>
      <w:r w:rsidRPr="009D3964">
        <w:rPr>
          <w:lang w:val="es-CR"/>
        </w:rPr>
        <w:t>rpretarse como causalidad.</w:t>
      </w:r>
    </w:p>
    <w:p w14:paraId="02BA9763" w14:textId="77777777" w:rsidR="009415B8" w:rsidRPr="009D3964" w:rsidRDefault="009D3964">
      <w:pPr>
        <w:spacing w:after="120"/>
        <w:jc w:val="both"/>
        <w:rPr>
          <w:lang w:val="es-CR"/>
        </w:rPr>
      </w:pPr>
      <w:r w:rsidRPr="009D3964">
        <w:rPr>
          <w:lang w:val="es-CR"/>
        </w:rPr>
        <w:t>La calibración isotónica funcionó como diagnóstico de confiabilidad. Las probabilidades originales de LightGBM ya mostraban una alineación razonable en prueba, y la versión calibrada no mejoró de forma clara los indicadores resum</w:t>
      </w:r>
      <w:r w:rsidRPr="009D3964">
        <w:rPr>
          <w:lang w:val="es-CR"/>
        </w:rPr>
        <w:t>idos.</w:t>
      </w:r>
    </w:p>
    <w:p w14:paraId="4B4E6C9B" w14:textId="77777777" w:rsidR="009415B8" w:rsidRPr="009D3964" w:rsidRDefault="009D3964">
      <w:pPr>
        <w:spacing w:after="120"/>
        <w:jc w:val="both"/>
        <w:rPr>
          <w:lang w:val="es-CR"/>
        </w:rPr>
      </w:pPr>
      <w:r w:rsidRPr="009D3964">
        <w:rPr>
          <w:lang w:val="es-CR"/>
        </w:rPr>
        <w:t xml:space="preserve">El análisis de umbral mostró que el punto de corte </w:t>
      </w:r>
      <w:r w:rsidRPr="009D3964">
        <w:rPr>
          <w:rFonts w:ascii="Consolas" w:hAnsi="Consolas"/>
          <w:sz w:val="19"/>
          <w:lang w:val="es-CR"/>
        </w:rPr>
        <w:t>0.5</w:t>
      </w:r>
      <w:r w:rsidRPr="009D3964">
        <w:rPr>
          <w:lang w:val="es-CR"/>
        </w:rPr>
        <w:t xml:space="preserve"> no debe asumirse automáticamente como óptimo. En el notebook, el umbral </w:t>
      </w:r>
      <w:r w:rsidRPr="009D3964">
        <w:rPr>
          <w:rFonts w:ascii="Consolas" w:hAnsi="Consolas"/>
          <w:sz w:val="19"/>
          <w:lang w:val="es-CR"/>
        </w:rPr>
        <w:t>0.25</w:t>
      </w:r>
      <w:r w:rsidRPr="009D3964">
        <w:rPr>
          <w:lang w:val="es-CR"/>
        </w:rPr>
        <w:t xml:space="preserve"> aparece como un punto razonable bajo el criterio de maximizar F1 en validación, aunque la decisión final depende del c</w:t>
      </w:r>
      <w:r w:rsidRPr="009D3964">
        <w:rPr>
          <w:lang w:val="es-CR"/>
        </w:rPr>
        <w:t>osto relativo entre falsos positivos y falsos negativos.</w:t>
      </w:r>
    </w:p>
    <w:p w14:paraId="1AA966A2" w14:textId="77777777" w:rsidR="009415B8" w:rsidRPr="009D3964" w:rsidRDefault="009D3964">
      <w:pPr>
        <w:pStyle w:val="Ttulo1"/>
        <w:rPr>
          <w:lang w:val="es-CR"/>
        </w:rPr>
      </w:pPr>
      <w:r w:rsidRPr="009D3964">
        <w:rPr>
          <w:lang w:val="es-CR"/>
        </w:rPr>
        <w:t>10. Componente de incertidumbre: predicción conformal</w:t>
      </w:r>
    </w:p>
    <w:p w14:paraId="6FD303AE" w14:textId="77777777" w:rsidR="009415B8" w:rsidRPr="009D3964" w:rsidRDefault="009D3964">
      <w:pPr>
        <w:spacing w:after="120"/>
        <w:jc w:val="both"/>
        <w:rPr>
          <w:lang w:val="es-CR"/>
        </w:rPr>
      </w:pPr>
      <w:r w:rsidRPr="009D3964">
        <w:rPr>
          <w:lang w:val="es-CR"/>
        </w:rPr>
        <w:t>La predicción conformal se incorporó para complementar las probabilidades del modelo con una medida de incertidumbre. En lugar de emitir únicamen</w:t>
      </w:r>
      <w:r w:rsidRPr="009D3964">
        <w:rPr>
          <w:lang w:val="es-CR"/>
        </w:rPr>
        <w:t>te una etiqueta o un score, el método produce conjuntos de predicción con cobertura empírica controlada.</w:t>
      </w:r>
    </w:p>
    <w:p w14:paraId="0D411836" w14:textId="77777777" w:rsidR="009415B8" w:rsidRPr="009D3964" w:rsidRDefault="009D3964">
      <w:pPr>
        <w:spacing w:after="120"/>
        <w:jc w:val="both"/>
        <w:rPr>
          <w:lang w:val="es-CR"/>
        </w:rPr>
      </w:pPr>
      <w:r w:rsidRPr="009D3964">
        <w:rPr>
          <w:lang w:val="es-CR"/>
        </w:rPr>
        <w:t xml:space="preserve">Se evaluaron niveles nominales de </w:t>
      </w:r>
      <w:r w:rsidRPr="009D3964">
        <w:rPr>
          <w:rFonts w:ascii="Consolas" w:hAnsi="Consolas"/>
          <w:sz w:val="19"/>
          <w:lang w:val="es-CR"/>
        </w:rPr>
        <w:t>90%</w:t>
      </w:r>
      <w:r w:rsidRPr="009D3964">
        <w:rPr>
          <w:lang w:val="es-CR"/>
        </w:rPr>
        <w:t xml:space="preserve"> y </w:t>
      </w:r>
      <w:r w:rsidRPr="009D3964">
        <w:rPr>
          <w:rFonts w:ascii="Consolas" w:hAnsi="Consolas"/>
          <w:sz w:val="19"/>
          <w:lang w:val="es-CR"/>
        </w:rPr>
        <w:t>95%</w:t>
      </w:r>
      <w:r w:rsidRPr="009D3964">
        <w:rPr>
          <w:lang w:val="es-CR"/>
        </w:rPr>
        <w:t xml:space="preserve"> usando MAPIE. La cobertura global quedó cerca de los niveles nominales, pero la cobertura por clase fue des</w:t>
      </w:r>
      <w:r w:rsidRPr="009D3964">
        <w:rPr>
          <w:lang w:val="es-CR"/>
        </w:rPr>
        <w:t xml:space="preserve">igual: no fraude quedó mucho mejor cubierto que fraude. Además, bajo la configuración aplicada, la incertidumbre apareció principalmente como abstención </w:t>
      </w:r>
      <w:r w:rsidRPr="009D3964">
        <w:rPr>
          <w:rFonts w:ascii="Consolas" w:hAnsi="Consolas"/>
          <w:sz w:val="19"/>
          <w:lang w:val="es-CR"/>
        </w:rPr>
        <w:t>{}</w:t>
      </w:r>
      <w:r w:rsidRPr="009D3964">
        <w:rPr>
          <w:lang w:val="es-CR"/>
        </w:rPr>
        <w:t xml:space="preserve"> y no como ambigüedad </w:t>
      </w:r>
      <w:r w:rsidRPr="009D3964">
        <w:rPr>
          <w:rFonts w:ascii="Consolas" w:hAnsi="Consolas"/>
          <w:sz w:val="19"/>
          <w:lang w:val="es-CR"/>
        </w:rPr>
        <w:t>{0,1}</w:t>
      </w:r>
      <w:r w:rsidRPr="009D3964">
        <w:rPr>
          <w:lang w:val="es-CR"/>
        </w:rPr>
        <w:t>.</w:t>
      </w:r>
    </w:p>
    <w:p w14:paraId="154A759C" w14:textId="77777777" w:rsidR="009415B8" w:rsidRDefault="009D3964">
      <w:pPr>
        <w:jc w:val="center"/>
      </w:pPr>
      <w:r>
        <w:rPr>
          <w:noProof/>
        </w:rPr>
        <w:drawing>
          <wp:inline distT="0" distB="0" distL="0" distR="0" wp14:anchorId="1DF90599" wp14:editId="7558792C">
            <wp:extent cx="5669280" cy="205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certidumbre_conformal.png"/>
                    <pic:cNvPicPr/>
                  </pic:nvPicPr>
                  <pic:blipFill>
                    <a:blip r:embed="rId13"/>
                    <a:stretch>
                      <a:fillRect/>
                    </a:stretch>
                  </pic:blipFill>
                  <pic:spPr>
                    <a:xfrm>
                      <a:off x="0" y="0"/>
                      <a:ext cx="5669280" cy="2053440"/>
                    </a:xfrm>
                    <a:prstGeom prst="rect">
                      <a:avLst/>
                    </a:prstGeom>
                  </pic:spPr>
                </pic:pic>
              </a:graphicData>
            </a:graphic>
          </wp:inline>
        </w:drawing>
      </w:r>
    </w:p>
    <w:p w14:paraId="648E98AB" w14:textId="77777777" w:rsidR="009415B8" w:rsidRPr="009D3964" w:rsidRDefault="009D3964">
      <w:pPr>
        <w:jc w:val="center"/>
        <w:rPr>
          <w:lang w:val="es-CR"/>
        </w:rPr>
      </w:pPr>
      <w:r w:rsidRPr="009D3964">
        <w:rPr>
          <w:i/>
          <w:color w:val="5A5A5A"/>
          <w:sz w:val="18"/>
          <w:lang w:val="es-CR"/>
        </w:rPr>
        <w:t>Incertidumbre conformal</w:t>
      </w:r>
    </w:p>
    <w:p w14:paraId="4D83BE66" w14:textId="77777777" w:rsidR="009415B8" w:rsidRPr="009D3964" w:rsidRDefault="009D3964">
      <w:pPr>
        <w:spacing w:after="120"/>
        <w:jc w:val="both"/>
        <w:rPr>
          <w:lang w:val="es-CR"/>
        </w:rPr>
      </w:pPr>
      <w:r w:rsidRPr="009D3964">
        <w:rPr>
          <w:lang w:val="es-CR"/>
        </w:rPr>
        <w:t xml:space="preserve">Este resultado es útil porque permite </w:t>
      </w:r>
      <w:r w:rsidRPr="009D3964">
        <w:rPr>
          <w:lang w:val="es-CR"/>
        </w:rPr>
        <w:t>distinguir entre decisiones puntuales y casos donde el modelo no sostiene una etiqueta suficientemente confiable. En un contexto de fraude, esta señal puede orientar revisión manual o reglas operativas de cautela.</w:t>
      </w:r>
    </w:p>
    <w:p w14:paraId="522C2692" w14:textId="77777777" w:rsidR="009415B8" w:rsidRPr="009D3964" w:rsidRDefault="009D3964">
      <w:pPr>
        <w:pStyle w:val="Ttulo1"/>
        <w:rPr>
          <w:lang w:val="es-CR"/>
        </w:rPr>
      </w:pPr>
      <w:r w:rsidRPr="009D3964">
        <w:rPr>
          <w:lang w:val="es-CR"/>
        </w:rPr>
        <w:lastRenderedPageBreak/>
        <w:t>11. Análisis de errores y robustez</w:t>
      </w:r>
    </w:p>
    <w:p w14:paraId="02D08EE0" w14:textId="77777777" w:rsidR="009415B8" w:rsidRDefault="009D3964">
      <w:pPr>
        <w:spacing w:after="120"/>
        <w:jc w:val="both"/>
      </w:pPr>
      <w:r w:rsidRPr="009D3964">
        <w:rPr>
          <w:lang w:val="es-CR"/>
        </w:rPr>
        <w:t>El anál</w:t>
      </w:r>
      <w:r w:rsidRPr="009D3964">
        <w:rPr>
          <w:lang w:val="es-CR"/>
        </w:rPr>
        <w:t xml:space="preserve">isis de errores permitió pasar de métricas globales a una lectura segmentada del comportamiento del modelo. </w:t>
      </w:r>
      <w:r>
        <w:t>En prueba, LightGBM obtuvo:</w:t>
      </w:r>
    </w:p>
    <w:p w14:paraId="1605E711" w14:textId="77777777" w:rsidR="009415B8" w:rsidRDefault="009D3964">
      <w:pPr>
        <w:pStyle w:val="Listaconvietas"/>
      </w:pPr>
      <w:r>
        <w:t>1,108 verdaderos positivos.</w:t>
      </w:r>
    </w:p>
    <w:p w14:paraId="7B7E39C9" w14:textId="77777777" w:rsidR="009415B8" w:rsidRDefault="009D3964">
      <w:pPr>
        <w:pStyle w:val="Listaconvietas"/>
      </w:pPr>
      <w:r>
        <w:t>84,748 verdaderos negativos.</w:t>
      </w:r>
    </w:p>
    <w:p w14:paraId="347BD738" w14:textId="77777777" w:rsidR="009415B8" w:rsidRDefault="009D3964">
      <w:pPr>
        <w:pStyle w:val="Listaconvietas"/>
      </w:pPr>
      <w:r>
        <w:t>267 falsos positivos.</w:t>
      </w:r>
    </w:p>
    <w:p w14:paraId="0DFC5B49" w14:textId="77777777" w:rsidR="009415B8" w:rsidRDefault="009D3964">
      <w:pPr>
        <w:pStyle w:val="Listaconvietas"/>
      </w:pPr>
      <w:r>
        <w:t>1,957 falsos negativos.</w:t>
      </w:r>
    </w:p>
    <w:p w14:paraId="2546AE20" w14:textId="77777777" w:rsidR="009415B8" w:rsidRPr="009D3964" w:rsidRDefault="009D3964">
      <w:pPr>
        <w:spacing w:after="120"/>
        <w:jc w:val="both"/>
        <w:rPr>
          <w:lang w:val="es-CR"/>
        </w:rPr>
      </w:pPr>
      <w:r w:rsidRPr="009D3964">
        <w:rPr>
          <w:lang w:val="es-CR"/>
        </w:rPr>
        <w:t>El costo principa</w:t>
      </w:r>
      <w:r w:rsidRPr="009D3964">
        <w:rPr>
          <w:lang w:val="es-CR"/>
        </w:rPr>
        <w:t>l del modelo está en los falsos negativos, es decir, transacciones fraudulentas que no fueron detectadas bajo el umbral estándar.</w:t>
      </w:r>
    </w:p>
    <w:p w14:paraId="2392DAB8" w14:textId="77777777" w:rsidR="009415B8" w:rsidRDefault="009D3964">
      <w:pPr>
        <w:jc w:val="center"/>
      </w:pPr>
      <w:r>
        <w:rPr>
          <w:noProof/>
        </w:rPr>
        <w:drawing>
          <wp:inline distT="0" distB="0" distL="0" distR="0" wp14:anchorId="5E2D8ED5" wp14:editId="14CD7958">
            <wp:extent cx="5669280" cy="21051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rores_segmentos_lightgbm.png"/>
                    <pic:cNvPicPr/>
                  </pic:nvPicPr>
                  <pic:blipFill>
                    <a:blip r:embed="rId14"/>
                    <a:stretch>
                      <a:fillRect/>
                    </a:stretch>
                  </pic:blipFill>
                  <pic:spPr>
                    <a:xfrm>
                      <a:off x="0" y="0"/>
                      <a:ext cx="5669280" cy="2105137"/>
                    </a:xfrm>
                    <a:prstGeom prst="rect">
                      <a:avLst/>
                    </a:prstGeom>
                  </pic:spPr>
                </pic:pic>
              </a:graphicData>
            </a:graphic>
          </wp:inline>
        </w:drawing>
      </w:r>
    </w:p>
    <w:p w14:paraId="53DD7732" w14:textId="77777777" w:rsidR="009415B8" w:rsidRPr="009D3964" w:rsidRDefault="009D3964">
      <w:pPr>
        <w:jc w:val="center"/>
        <w:rPr>
          <w:lang w:val="es-CR"/>
        </w:rPr>
      </w:pPr>
      <w:r w:rsidRPr="009D3964">
        <w:rPr>
          <w:i/>
          <w:color w:val="5A5A5A"/>
          <w:sz w:val="18"/>
          <w:lang w:val="es-CR"/>
        </w:rPr>
        <w:t>Errores por segmentos</w:t>
      </w:r>
    </w:p>
    <w:p w14:paraId="72329566" w14:textId="77777777" w:rsidR="009415B8" w:rsidRPr="009D3964" w:rsidRDefault="009D3964">
      <w:pPr>
        <w:spacing w:after="120"/>
        <w:jc w:val="both"/>
        <w:rPr>
          <w:lang w:val="es-CR"/>
        </w:rPr>
      </w:pPr>
      <w:r w:rsidRPr="009D3964">
        <w:rPr>
          <w:lang w:val="es-CR"/>
        </w:rPr>
        <w:t xml:space="preserve">El análisis por rangos de </w:t>
      </w:r>
      <w:r w:rsidRPr="009D3964">
        <w:rPr>
          <w:rFonts w:ascii="Consolas" w:hAnsi="Consolas"/>
          <w:sz w:val="19"/>
          <w:lang w:val="es-CR"/>
        </w:rPr>
        <w:t>TransactionAmt</w:t>
      </w:r>
      <w:r w:rsidRPr="009D3964">
        <w:rPr>
          <w:lang w:val="es-CR"/>
        </w:rPr>
        <w:t xml:space="preserve">, bloques temporales, </w:t>
      </w:r>
      <w:r w:rsidRPr="009D3964">
        <w:rPr>
          <w:rFonts w:ascii="Consolas" w:hAnsi="Consolas"/>
          <w:sz w:val="19"/>
          <w:lang w:val="es-CR"/>
        </w:rPr>
        <w:t>ProductCD</w:t>
      </w:r>
      <w:r w:rsidRPr="009D3964">
        <w:rPr>
          <w:lang w:val="es-CR"/>
        </w:rPr>
        <w:t xml:space="preserve"> y </w:t>
      </w:r>
      <w:r w:rsidRPr="009D3964">
        <w:rPr>
          <w:rFonts w:ascii="Consolas" w:hAnsi="Consolas"/>
          <w:sz w:val="19"/>
          <w:lang w:val="es-CR"/>
        </w:rPr>
        <w:t>DeviceType</w:t>
      </w:r>
      <w:r w:rsidRPr="009D3964">
        <w:rPr>
          <w:lang w:val="es-CR"/>
        </w:rPr>
        <w:t xml:space="preserve"> mostró que el desempeño no es uniforme. Algunos segmentos presentan bajo error total, pero recall de fraude débil; otros muestran mayor error, pero mejor recuperación de fraude. Esta diferencia confirma que frecuencia, riesgo y calidad de detección deben </w:t>
      </w:r>
      <w:r w:rsidRPr="009D3964">
        <w:rPr>
          <w:lang w:val="es-CR"/>
        </w:rPr>
        <w:t>analizarse de manera separada.</w:t>
      </w:r>
    </w:p>
    <w:p w14:paraId="199A5AE6" w14:textId="77777777" w:rsidR="009415B8" w:rsidRPr="009D3964" w:rsidRDefault="009D3964">
      <w:pPr>
        <w:pStyle w:val="Ttulo1"/>
        <w:rPr>
          <w:lang w:val="es-CR"/>
        </w:rPr>
      </w:pPr>
      <w:r w:rsidRPr="009D3964">
        <w:rPr>
          <w:lang w:val="es-CR"/>
        </w:rPr>
        <w:t>12. Conclusiones generales</w:t>
      </w:r>
    </w:p>
    <w:p w14:paraId="519DF24F" w14:textId="77777777" w:rsidR="009415B8" w:rsidRPr="009D3964" w:rsidRDefault="009D3964">
      <w:pPr>
        <w:spacing w:after="120"/>
        <w:jc w:val="both"/>
        <w:rPr>
          <w:lang w:val="es-CR"/>
        </w:rPr>
      </w:pPr>
      <w:r w:rsidRPr="009D3964">
        <w:rPr>
          <w:lang w:val="es-CR"/>
        </w:rPr>
        <w:t>El proyecto construyó un flujo completo y reproducible para detección de fraude transaccional. El EDA permitió identificar desbalance, faltantes, asimetría de montos y heterogeneidad temporal. El pr</w:t>
      </w:r>
      <w:r w:rsidRPr="009D3964">
        <w:rPr>
          <w:lang w:val="es-CR"/>
        </w:rPr>
        <w:t>eprocesamiento y la partición temporal aportaron una base metodológica sólida para comparar modelos sin fuga de información.</w:t>
      </w:r>
    </w:p>
    <w:p w14:paraId="3365A8DA" w14:textId="77777777" w:rsidR="009415B8" w:rsidRPr="009D3964" w:rsidRDefault="009D3964">
      <w:pPr>
        <w:spacing w:after="120"/>
        <w:jc w:val="both"/>
        <w:rPr>
          <w:lang w:val="es-CR"/>
        </w:rPr>
      </w:pPr>
      <w:r w:rsidRPr="009D3964">
        <w:rPr>
          <w:lang w:val="es-CR"/>
        </w:rPr>
        <w:t>LightGBM fue el modelo con mejor desempeño entre los evaluados y superó claramente a la regresión logística. Sin embargo, el anális</w:t>
      </w:r>
      <w:r w:rsidRPr="009D3964">
        <w:rPr>
          <w:lang w:val="es-CR"/>
        </w:rPr>
        <w:t>is de errores mostró que el modelo conserva limitaciones importantes, especialmente en falsos negativos y variabilidad por segmentos.</w:t>
      </w:r>
    </w:p>
    <w:p w14:paraId="5E0B791A" w14:textId="1A34B127" w:rsidR="009415B8" w:rsidRPr="009D3964" w:rsidRDefault="009D3964">
      <w:pPr>
        <w:spacing w:after="120"/>
        <w:jc w:val="both"/>
        <w:rPr>
          <w:lang w:val="es-CR"/>
        </w:rPr>
      </w:pPr>
      <w:r w:rsidRPr="009D3964">
        <w:rPr>
          <w:lang w:val="es-CR"/>
        </w:rPr>
        <w:t>SHAP aportó interpretabilidad, la calibración permitió evaluar confiabilidad probabilística, el análisis de umbral conectó</w:t>
      </w:r>
      <w:r w:rsidRPr="009D3964">
        <w:rPr>
          <w:lang w:val="es-CR"/>
        </w:rPr>
        <w:t xml:space="preserve"> el modelo con decisiones operativas y la predicción conformal añadió una lectura m</w:t>
      </w:r>
      <w:r>
        <w:rPr>
          <w:lang w:val="es-CR"/>
        </w:rPr>
        <w:t>ás clara</w:t>
      </w:r>
      <w:r w:rsidRPr="009D3964">
        <w:rPr>
          <w:lang w:val="es-CR"/>
        </w:rPr>
        <w:t xml:space="preserve"> de incertidumbre. En conjunto, el proyecto ofrece una evaluación amplia y prudente del problema, sin sobredimensionar el alcance del modelo.</w:t>
      </w:r>
    </w:p>
    <w:p w14:paraId="7931C657" w14:textId="77777777" w:rsidR="009415B8" w:rsidRPr="009D3964" w:rsidRDefault="009D3964">
      <w:pPr>
        <w:pStyle w:val="Ttulo1"/>
        <w:rPr>
          <w:lang w:val="es-CR"/>
        </w:rPr>
      </w:pPr>
      <w:r w:rsidRPr="009D3964">
        <w:rPr>
          <w:lang w:val="es-CR"/>
        </w:rPr>
        <w:lastRenderedPageBreak/>
        <w:t>13. Regla de mantenimient</w:t>
      </w:r>
      <w:r w:rsidRPr="009D3964">
        <w:rPr>
          <w:lang w:val="es-CR"/>
        </w:rPr>
        <w:t>o documental</w:t>
      </w:r>
    </w:p>
    <w:p w14:paraId="0592E707" w14:textId="77777777" w:rsidR="009415B8" w:rsidRPr="009D3964" w:rsidRDefault="009D3964">
      <w:pPr>
        <w:spacing w:after="120"/>
        <w:jc w:val="both"/>
        <w:rPr>
          <w:lang w:val="es-CR"/>
        </w:rPr>
      </w:pPr>
      <w:r w:rsidRPr="009D3964">
        <w:rPr>
          <w:lang w:val="es-CR"/>
        </w:rPr>
        <w:t>Toda modificación futura del notebook principal debe revisarse contra esta documentación. Si cambian resultados, secciones, métricas, gráficos, decisiones metodológicas o conclusiones, deben actualizarse también:</w:t>
      </w:r>
    </w:p>
    <w:p w14:paraId="6FB5AEEA" w14:textId="77777777" w:rsidR="009415B8" w:rsidRDefault="009D3964">
      <w:pPr>
        <w:pStyle w:val="Listaconvietas"/>
      </w:pPr>
      <w:r>
        <w:rPr>
          <w:rFonts w:ascii="Consolas" w:hAnsi="Consolas"/>
          <w:sz w:val="19"/>
        </w:rPr>
        <w:t>documentacion/md/documentacion</w:t>
      </w:r>
      <w:r>
        <w:rPr>
          <w:rFonts w:ascii="Consolas" w:hAnsi="Consolas"/>
          <w:sz w:val="19"/>
        </w:rPr>
        <w:t>_detallada.md</w:t>
      </w:r>
    </w:p>
    <w:p w14:paraId="280429C4" w14:textId="77777777" w:rsidR="009415B8" w:rsidRDefault="009D3964">
      <w:pPr>
        <w:pStyle w:val="Listaconvietas"/>
      </w:pPr>
      <w:r>
        <w:rPr>
          <w:rFonts w:ascii="Consolas" w:hAnsi="Consolas"/>
          <w:sz w:val="19"/>
        </w:rPr>
        <w:t>documentacion/md/resumen_ejecutivo.md</w:t>
      </w:r>
    </w:p>
    <w:p w14:paraId="42C30744" w14:textId="77777777" w:rsidR="009415B8" w:rsidRPr="009D3964" w:rsidRDefault="009D3964">
      <w:pPr>
        <w:pStyle w:val="Listaconvietas"/>
        <w:rPr>
          <w:lang w:val="es-CR"/>
        </w:rPr>
      </w:pPr>
      <w:r w:rsidRPr="009D3964">
        <w:rPr>
          <w:lang w:val="es-CR"/>
        </w:rPr>
      </w:r>
    </w:p>
    <w:p w14:paraId="4EFA84FB" w14:textId="77777777" w:rsidR="009415B8" w:rsidRPr="009D3964" w:rsidRDefault="009D3964">
      <w:pPr>
        <w:pStyle w:val="Listaconvietas"/>
        <w:rPr>
          <w:lang w:val="es-CR"/>
        </w:rPr>
      </w:pPr>
      <w:r w:rsidRPr="009D3964">
        <w:rPr>
          <w:lang w:val="es-CR"/>
        </w:rPr>
        <w:t xml:space="preserve">las versiones </w:t>
      </w:r>
      <w:r w:rsidRPr="009D3964">
        <w:rPr>
          <w:rFonts w:ascii="Consolas" w:hAnsi="Consolas"/>
          <w:sz w:val="19"/>
          <w:lang w:val="es-CR"/>
        </w:rPr>
        <w:t>.docx</w:t>
      </w:r>
      <w:r w:rsidRPr="009D3964">
        <w:rPr>
          <w:lang w:val="es-CR"/>
        </w:rPr>
        <w:t xml:space="preserve"> públicas equivalentes en </w:t>
      </w:r>
      <w:r w:rsidRPr="009D3964">
        <w:rPr>
          <w:rFonts w:ascii="Consolas" w:hAnsi="Consolas"/>
          <w:sz w:val="19"/>
          <w:lang w:val="es-CR"/>
        </w:rPr>
        <w:t>documentacion/docx/</w:t>
      </w:r>
    </w:p>
    <w:p w14:paraId="7BCC83BF" w14:textId="77777777" w:rsidR="009415B8" w:rsidRDefault="009D3964">
      <w:pPr>
        <w:pStyle w:val="Listaconvietas"/>
      </w:pPr>
      <w:r>
        <w:rPr>
          <w:rFonts w:ascii="Consolas" w:hAnsi="Consolas"/>
          <w:sz w:val="19"/>
        </w:rPr>
        <w:t>README.md</w:t>
      </w:r>
    </w:p>
    <w:p w14:paraId="6FE72C2C" w14:textId="77777777" w:rsidR="009415B8" w:rsidRPr="009D3964" w:rsidRDefault="009D3964">
      <w:pPr>
        <w:pStyle w:val="Listaconvietas"/>
        <w:rPr>
          <w:lang w:val="es-CR"/>
        </w:rPr>
      </w:pPr>
      <w:r w:rsidRPr="009D3964">
        <w:rPr>
          <w:lang w:val="es-CR"/>
        </w:rPr>
        <w:t xml:space="preserve">las figuras en </w:t>
      </w:r>
      <w:r w:rsidRPr="009D3964">
        <w:rPr>
          <w:rFonts w:ascii="Consolas" w:hAnsi="Consolas"/>
          <w:sz w:val="19"/>
          <w:lang w:val="es-CR"/>
        </w:rPr>
        <w:t>reports/figures/</w:t>
      </w:r>
      <w:r w:rsidRPr="009D3964">
        <w:rPr>
          <w:lang w:val="es-CR"/>
        </w:rPr>
        <w:t xml:space="preserve"> cuando corresponda</w:t>
      </w:r>
    </w:p>
    <w:p w14:paraId="12968282" w14:textId="77777777" w:rsidR="009415B8" w:rsidRPr="009D3964" w:rsidRDefault="009D3964">
      <w:pPr>
        <w:spacing w:after="120"/>
        <w:jc w:val="both"/>
        <w:rPr>
          <w:lang w:val="es-CR"/>
        </w:rPr>
      </w:pPr>
      <w:r w:rsidRPr="009D3964">
        <w:rPr>
          <w:lang w:val="es-CR"/>
        </w:rPr>
        <w:t>Esta regla mantiene la consistencia entre el análisis reproducible, la documentación formal y los materiales asociados al proyecto.</w:t>
      </w:r>
      <w:r w:rsidRPr="009D3964">
        <w:rPr>
          <w:lang w:val="es-CR"/>
        </w:rPr>
      </w:r>
    </w:p>
    <w:sectPr w:rsidR="009415B8" w:rsidRPr="009D3964"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15B8"/>
    <w:rsid w:val="009D39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3CBE4"/>
  <w14:defaultImageDpi w14:val="300"/>
  <w15:docId w15:val="{7BBE4C4D-1062-4559-93BA-42D86300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D575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0505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10</Pages>
  <Words>1927</Words>
  <Characters>10603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Corrales Quirós</cp:lastModifiedBy>
  <cp:revision>2</cp:revision>
  <dcterms:created xsi:type="dcterms:W3CDTF">2013-12-23T23:15:00Z</dcterms:created>
  <dcterms:modified xsi:type="dcterms:W3CDTF">2026-04-21T21:16:00Z</dcterms:modified>
  <cp:category/>
</cp:coreProperties>
</file>