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526C9">
      <w:pPr>
        <w:rPr>
          <w:rFonts w:ascii="Arial" w:hAnsi="Arial" w:cs="Arial"/>
        </w:rPr>
      </w:pPr>
      <w:r>
        <w:rPr>
          <w:rFonts w:ascii="Arial" w:hAnsi="Arial" w:cs="Arial"/>
          <w:b/>
          <w:bCs/>
        </w:rPr>
        <w:t>User Test Report for Image Recognition-Based 2D Material Thickness Detection Device</w:t>
      </w:r>
      <w:r>
        <w:rPr>
          <w:rFonts w:ascii="Arial" w:hAnsi="Arial" w:cs="Arial"/>
          <w:b/>
          <w:bCs/>
        </w:rPr>
        <w:br w:type="textWrapping"/>
      </w:r>
      <w:r>
        <w:rPr>
          <w:rFonts w:ascii="Arial" w:hAnsi="Arial" w:cs="Arial"/>
          <w:b/>
          <w:bCs/>
        </w:rPr>
        <w:t>Date:</w:t>
      </w:r>
      <w:r>
        <w:rPr>
          <w:rFonts w:ascii="Arial" w:hAnsi="Arial" w:cs="Arial"/>
        </w:rPr>
        <w:t> </w:t>
      </w:r>
      <w:r>
        <w:rPr>
          <w:rFonts w:hint="eastAsia" w:ascii="Arial" w:hAnsi="Arial" w:cs="Arial"/>
          <w:lang w:val="en-US" w:eastAsia="zh-CN"/>
        </w:rPr>
        <w:t>April</w:t>
      </w:r>
      <w:r>
        <w:rPr>
          <w:rFonts w:ascii="Arial" w:hAnsi="Arial" w:cs="Arial"/>
        </w:rPr>
        <w:t xml:space="preserve"> 10, 202</w:t>
      </w:r>
      <w:r>
        <w:rPr>
          <w:rFonts w:hint="eastAsia" w:ascii="Arial" w:hAnsi="Arial" w:cs="Arial"/>
          <w:lang w:val="en-US" w:eastAsia="zh-CN"/>
        </w:rPr>
        <w:t>6</w:t>
      </w:r>
      <w:bookmarkStart w:id="0" w:name="_GoBack"/>
      <w:bookmarkEnd w:id="0"/>
      <w:r>
        <w:rPr>
          <w:rFonts w:ascii="Arial" w:hAnsi="Arial" w:cs="Arial"/>
        </w:rPr>
        <w:br w:type="textWrapping"/>
      </w:r>
      <w:r>
        <w:rPr>
          <w:rFonts w:ascii="Arial" w:hAnsi="Arial" w:cs="Arial"/>
          <w:b/>
          <w:bCs/>
        </w:rPr>
        <w:t>Test User: </w:t>
      </w:r>
      <w:r>
        <w:rPr>
          <w:rFonts w:hint="default" w:ascii="Calibri" w:hAnsi="Calibri" w:eastAsia="宋体" w:cs="Calibri"/>
          <w:sz w:val="24"/>
          <w:szCs w:val="24"/>
        </w:rPr>
        <w:t>A research student who has experience reading experimental images or lab data</w:t>
      </w:r>
      <w:r>
        <w:rPr>
          <w:rFonts w:ascii="Arial" w:hAnsi="Arial" w:cs="Arial"/>
          <w:b/>
          <w:bCs/>
        </w:rPr>
        <w:br w:type="textWrapping"/>
      </w:r>
      <w:r>
        <w:rPr>
          <w:rFonts w:ascii="Arial" w:hAnsi="Arial" w:cs="Arial"/>
          <w:b/>
          <w:bCs/>
        </w:rPr>
        <w:t>User Research Focus: </w:t>
      </w:r>
      <w:r>
        <w:rPr>
          <w:rFonts w:ascii="Arial" w:hAnsi="Arial" w:cs="Arial"/>
        </w:rPr>
        <w:t>Application of Nanomaterials in Environmental Detection</w:t>
      </w:r>
    </w:p>
    <w:p w14:paraId="2D4DD34C">
      <w:pPr>
        <w:rPr>
          <w:rFonts w:ascii="Arial" w:hAnsi="Arial" w:cs="Arial"/>
          <w:b/>
          <w:bCs/>
        </w:rPr>
      </w:pPr>
    </w:p>
    <w:p w14:paraId="1DAFE234">
      <w:pPr>
        <w:rPr>
          <w:rFonts w:ascii="Arial" w:hAnsi="Arial" w:cs="Arial"/>
        </w:rPr>
      </w:pPr>
      <w:r>
        <w:rPr>
          <w:rFonts w:ascii="Arial" w:hAnsi="Arial" w:cs="Arial"/>
          <w:b/>
          <w:bCs/>
        </w:rPr>
        <w:t>1. Executive Summary</w:t>
      </w:r>
      <w:r>
        <w:rPr>
          <w:rFonts w:ascii="Arial" w:hAnsi="Arial" w:cs="Arial"/>
          <w:b/>
          <w:bCs/>
        </w:rPr>
        <w:br w:type="textWrapping"/>
      </w:r>
      <w:r>
        <w:rPr>
          <w:rFonts w:ascii="Arial" w:hAnsi="Arial" w:cs="Arial"/>
        </w:rPr>
        <w:t>This evaluation assessed the performance of the "Quick 2D Material Detection" system in environmental detection applications. The device demonstrated excellent stability and repeatability in conventional 2D material thickness detection with efficient operation, suitable for routine environmental sample analysis. However, further enhancements are needed in special morphology recognition and environmental interference resistance to better meet practical application requirements in environmental detection.</w:t>
      </w:r>
    </w:p>
    <w:p w14:paraId="7F85A553">
      <w:pPr>
        <w:rPr>
          <w:rFonts w:ascii="Arial" w:hAnsi="Arial" w:cs="Arial"/>
        </w:rPr>
      </w:pPr>
    </w:p>
    <w:p w14:paraId="45246972">
      <w:pPr>
        <w:rPr>
          <w:rFonts w:ascii="Arial" w:hAnsi="Arial" w:cs="Arial"/>
        </w:rPr>
      </w:pPr>
      <w:r>
        <w:rPr>
          <w:rFonts w:ascii="Arial" w:hAnsi="Arial" w:cs="Arial"/>
          <w:b/>
          <w:bCs/>
        </w:rPr>
        <w:t>2. Comprehensive Test Feedback</w:t>
      </w:r>
      <w:r>
        <w:rPr>
          <w:rFonts w:ascii="Arial" w:hAnsi="Arial" w:cs="Arial"/>
          <w:b/>
          <w:bCs/>
        </w:rPr>
        <w:br w:type="textWrapping"/>
      </w:r>
      <w:r>
        <w:rPr>
          <w:rFonts w:ascii="Arial" w:hAnsi="Arial" w:cs="Arial"/>
          <w:b/>
          <w:bCs/>
        </w:rPr>
        <w:t xml:space="preserve">Test Sample: </w:t>
      </w:r>
      <w:r>
        <w:rPr>
          <w:rFonts w:ascii="Arial" w:hAnsi="Arial" w:cs="Arial"/>
        </w:rPr>
        <w:t>Graphene oxide composite film with irregular pore structures and surface functional groups.</w:t>
      </w:r>
    </w:p>
    <w:p w14:paraId="20EE23D7">
      <w:pPr>
        <w:rPr>
          <w:rFonts w:ascii="Arial" w:hAnsi="Arial" w:cs="Arial"/>
        </w:rPr>
      </w:pPr>
    </w:p>
    <w:p w14:paraId="6AE1B862">
      <w:pPr>
        <w:rPr>
          <w:rFonts w:ascii="Arial" w:hAnsi="Arial" w:cs="Arial"/>
          <w:b/>
          <w:bCs/>
        </w:rPr>
      </w:pPr>
      <w:r>
        <w:rPr>
          <w:rFonts w:ascii="Arial" w:hAnsi="Arial" w:cs="Arial"/>
          <w:b/>
          <w:bCs/>
        </w:rPr>
        <w:t>[Positive Aspects]</w:t>
      </w:r>
    </w:p>
    <w:p w14:paraId="706B7A2A">
      <w:pPr>
        <w:rPr>
          <w:rFonts w:ascii="Arial" w:hAnsi="Arial" w:cs="Arial"/>
          <w:b/>
          <w:bCs/>
        </w:rPr>
      </w:pPr>
    </w:p>
    <w:p w14:paraId="663A931E">
      <w:pPr>
        <w:rPr>
          <w:rFonts w:ascii="Arial" w:hAnsi="Arial" w:cs="Arial"/>
          <w:b/>
          <w:bCs/>
        </w:rPr>
      </w:pPr>
      <w:r>
        <w:rPr>
          <w:rFonts w:ascii="Arial" w:hAnsi="Arial" w:cs="Arial"/>
          <w:b/>
          <w:bCs/>
        </w:rPr>
        <w:t>High Detection Efficiency</w:t>
      </w:r>
    </w:p>
    <w:p w14:paraId="702ADB75">
      <w:pPr>
        <w:rPr>
          <w:rFonts w:ascii="Arial" w:hAnsi="Arial" w:cs="Arial"/>
        </w:rPr>
      </w:pPr>
      <w:r>
        <w:rPr>
          <w:rFonts w:ascii="Arial" w:hAnsi="Arial" w:cs="Arial"/>
          <w:b/>
          <w:bCs/>
        </w:rPr>
        <w:t xml:space="preserve">Feedback: </w:t>
      </w:r>
      <w:r>
        <w:rPr>
          <w:rFonts w:ascii="Arial" w:hAnsi="Arial" w:cs="Arial"/>
        </w:rPr>
        <w:t>"The complete analysis process from sample placement to thickness distribution mapping takes only about 10 seconds per sample, significantly improving the efficiency for batch environmental sample detection."</w:t>
      </w:r>
    </w:p>
    <w:p w14:paraId="3732177B">
      <w:pPr>
        <w:rPr>
          <w:rFonts w:ascii="Arial" w:hAnsi="Arial" w:cs="Arial"/>
        </w:rPr>
      </w:pPr>
    </w:p>
    <w:p w14:paraId="17BBACD1">
      <w:pPr>
        <w:rPr>
          <w:rFonts w:ascii="Arial" w:hAnsi="Arial" w:cs="Arial"/>
          <w:b/>
          <w:bCs/>
        </w:rPr>
      </w:pPr>
      <w:r>
        <w:rPr>
          <w:rFonts w:ascii="Arial" w:hAnsi="Arial" w:cs="Arial"/>
          <w:b/>
          <w:bCs/>
        </w:rPr>
        <w:t>Stable Detection Performance</w:t>
      </w:r>
    </w:p>
    <w:p w14:paraId="15E18D51">
      <w:pPr>
        <w:rPr>
          <w:rFonts w:ascii="Arial" w:hAnsi="Arial" w:cs="Arial"/>
        </w:rPr>
      </w:pPr>
      <w:r>
        <w:rPr>
          <w:rFonts w:ascii="Arial" w:hAnsi="Arial" w:cs="Arial"/>
          <w:b/>
          <w:bCs/>
        </w:rPr>
        <w:t xml:space="preserve">Feedback: </w:t>
      </w:r>
      <w:r>
        <w:rPr>
          <w:rFonts w:ascii="Arial" w:hAnsi="Arial" w:cs="Arial"/>
        </w:rPr>
        <w:t>"Continuous testing of 10 sample sets showed less than 2% RSD in thickness measurements, demonstrating excellent repeatability and stability."</w:t>
      </w:r>
    </w:p>
    <w:p w14:paraId="08F72988">
      <w:pPr>
        <w:rPr>
          <w:rFonts w:ascii="Arial" w:hAnsi="Arial" w:cs="Arial"/>
          <w:b/>
          <w:bCs/>
        </w:rPr>
      </w:pPr>
    </w:p>
    <w:p w14:paraId="0D00F65D">
      <w:pPr>
        <w:rPr>
          <w:rFonts w:ascii="Arial" w:hAnsi="Arial" w:cs="Arial"/>
          <w:b/>
          <w:bCs/>
        </w:rPr>
      </w:pPr>
      <w:r>
        <w:rPr>
          <w:rFonts w:ascii="Arial" w:hAnsi="Arial" w:cs="Arial"/>
          <w:b/>
          <w:bCs/>
        </w:rPr>
        <w:t>Clear Thickness Visualization</w:t>
      </w:r>
    </w:p>
    <w:p w14:paraId="78F80AD9">
      <w:pPr>
        <w:rPr>
          <w:rFonts w:ascii="Arial" w:hAnsi="Arial" w:cs="Arial"/>
        </w:rPr>
      </w:pPr>
      <w:r>
        <w:rPr>
          <w:rFonts w:ascii="Arial" w:hAnsi="Arial" w:cs="Arial"/>
          <w:b/>
          <w:bCs/>
        </w:rPr>
        <w:t xml:space="preserve">Feedback: </w:t>
      </w:r>
      <w:r>
        <w:rPr>
          <w:rFonts w:ascii="Arial" w:hAnsi="Arial" w:cs="Arial"/>
        </w:rPr>
        <w:t>"The thickness distribution colormap clearly displays surface thickness variations, enabling quick identification of abnormal areas."</w:t>
      </w:r>
    </w:p>
    <w:p w14:paraId="5EC52875">
      <w:pPr>
        <w:rPr>
          <w:rFonts w:ascii="Arial" w:hAnsi="Arial" w:cs="Arial"/>
        </w:rPr>
      </w:pPr>
    </w:p>
    <w:p w14:paraId="4CADF3A2">
      <w:pPr>
        <w:rPr>
          <w:rFonts w:ascii="Arial" w:hAnsi="Arial" w:cs="Arial"/>
          <w:b/>
          <w:bCs/>
        </w:rPr>
      </w:pPr>
      <w:r>
        <w:rPr>
          <w:rFonts w:ascii="Arial" w:hAnsi="Arial" w:cs="Arial"/>
          <w:b/>
          <w:bCs/>
        </w:rPr>
        <w:t>[Negative Aspects]</w:t>
      </w:r>
    </w:p>
    <w:p w14:paraId="4868739B">
      <w:pPr>
        <w:rPr>
          <w:rFonts w:ascii="Arial" w:hAnsi="Arial" w:cs="Arial"/>
          <w:b/>
          <w:bCs/>
        </w:rPr>
      </w:pPr>
    </w:p>
    <w:p w14:paraId="6A27CE68">
      <w:pPr>
        <w:rPr>
          <w:rFonts w:ascii="Arial" w:hAnsi="Arial" w:cs="Arial"/>
          <w:b/>
          <w:bCs/>
        </w:rPr>
      </w:pPr>
      <w:r>
        <w:rPr>
          <w:rFonts w:ascii="Arial" w:hAnsi="Arial" w:cs="Arial"/>
          <w:b/>
          <w:bCs/>
        </w:rPr>
        <w:t>Limited Porous Material Analysis</w:t>
      </w:r>
    </w:p>
    <w:p w14:paraId="14266877">
      <w:pPr>
        <w:rPr>
          <w:rFonts w:ascii="Arial" w:hAnsi="Arial" w:cs="Arial"/>
        </w:rPr>
      </w:pPr>
      <w:r>
        <w:rPr>
          <w:rFonts w:ascii="Arial" w:hAnsi="Arial" w:cs="Arial"/>
          <w:b/>
          <w:bCs/>
        </w:rPr>
        <w:t>Feedback:</w:t>
      </w:r>
      <w:r>
        <w:rPr>
          <w:rFonts w:ascii="Arial" w:hAnsi="Arial" w:cs="Arial"/>
        </w:rPr>
        <w:t xml:space="preserve"> "For porous structure samples, the system misinterprets pore areas as thickness mutations, leading to significant data analysis deviations."</w:t>
      </w:r>
    </w:p>
    <w:p w14:paraId="20825A4D">
      <w:pPr>
        <w:rPr>
          <w:rFonts w:ascii="Arial" w:hAnsi="Arial" w:cs="Arial"/>
        </w:rPr>
      </w:pPr>
    </w:p>
    <w:p w14:paraId="43CEF0DF">
      <w:pPr>
        <w:rPr>
          <w:rFonts w:ascii="Arial" w:hAnsi="Arial" w:cs="Arial"/>
          <w:b/>
          <w:bCs/>
        </w:rPr>
      </w:pPr>
      <w:r>
        <w:rPr>
          <w:rFonts w:ascii="Arial" w:hAnsi="Arial" w:cs="Arial"/>
          <w:b/>
          <w:bCs/>
        </w:rPr>
        <w:t>Environmental Sensitivity</w:t>
      </w:r>
    </w:p>
    <w:p w14:paraId="74FB7DFD">
      <w:pPr>
        <w:rPr>
          <w:rFonts w:ascii="Arial" w:hAnsi="Arial" w:cs="Arial"/>
        </w:rPr>
      </w:pPr>
      <w:r>
        <w:rPr>
          <w:rFonts w:ascii="Arial" w:hAnsi="Arial" w:cs="Arial"/>
          <w:b/>
          <w:bCs/>
        </w:rPr>
        <w:t xml:space="preserve">Feedback: </w:t>
      </w:r>
      <w:r>
        <w:rPr>
          <w:rFonts w:ascii="Arial" w:hAnsi="Arial" w:cs="Arial"/>
        </w:rPr>
        <w:t>"In high-humidity environments, water film adsorption on sample surfaces affects measurement accuracy, without effective compensation mechanisms."</w:t>
      </w:r>
    </w:p>
    <w:p w14:paraId="6F1D5116">
      <w:pPr>
        <w:rPr>
          <w:rFonts w:ascii="Arial" w:hAnsi="Arial" w:cs="Arial"/>
        </w:rPr>
      </w:pPr>
    </w:p>
    <w:p w14:paraId="52BCB4B3">
      <w:pPr>
        <w:rPr>
          <w:rFonts w:ascii="Arial" w:hAnsi="Arial" w:cs="Arial"/>
          <w:b/>
          <w:bCs/>
        </w:rPr>
      </w:pPr>
      <w:r>
        <w:rPr>
          <w:rFonts w:ascii="Arial" w:hAnsi="Arial" w:cs="Arial"/>
          <w:b/>
          <w:bCs/>
        </w:rPr>
        <w:t>Special Morphology Recognition Limits</w:t>
      </w:r>
    </w:p>
    <w:p w14:paraId="2C6D0CAC">
      <w:pPr>
        <w:rPr>
          <w:rFonts w:ascii="Arial" w:hAnsi="Arial" w:cs="Arial"/>
        </w:rPr>
      </w:pPr>
      <w:r>
        <w:rPr>
          <w:rFonts w:ascii="Arial" w:hAnsi="Arial" w:cs="Arial"/>
          <w:b/>
          <w:bCs/>
        </w:rPr>
        <w:t xml:space="preserve">Feedback: </w:t>
      </w:r>
      <w:r>
        <w:rPr>
          <w:rFonts w:ascii="Arial" w:hAnsi="Arial" w:cs="Arial"/>
        </w:rPr>
        <w:t>"Recognition accuracy decreases significantly for samples with complex surface functional group modifications."</w:t>
      </w:r>
    </w:p>
    <w:p w14:paraId="6E8BED8F">
      <w:pPr>
        <w:rPr>
          <w:rFonts w:ascii="Arial" w:hAnsi="Arial" w:cs="Arial"/>
        </w:rPr>
      </w:pPr>
    </w:p>
    <w:p w14:paraId="0925874E">
      <w:pPr>
        <w:rPr>
          <w:rFonts w:ascii="Arial" w:hAnsi="Arial" w:cs="Arial"/>
        </w:rPr>
      </w:pPr>
      <w:r>
        <w:rPr>
          <w:rFonts w:ascii="Arial" w:hAnsi="Arial" w:cs="Arial"/>
          <w:b/>
          <w:bCs/>
        </w:rPr>
        <w:t>3. Overall Conclusion</w:t>
      </w:r>
      <w:r>
        <w:rPr>
          <w:rFonts w:ascii="Arial" w:hAnsi="Arial" w:cs="Arial"/>
          <w:b/>
          <w:bCs/>
        </w:rPr>
        <w:br w:type="textWrapping"/>
      </w:r>
      <w:r>
        <w:rPr>
          <w:rFonts w:ascii="Arial" w:hAnsi="Arial" w:cs="Arial"/>
        </w:rPr>
        <w:t>The device demonstrates reliable performance in conventional 2D material thickness detection, featuring simple operation and high efficiency, making it suitable for routine analysis in environmental detection. However, its capabilities in handling special morphology samples and complex environmental conditions require further improvement to meet advanced application needs.</w:t>
      </w:r>
    </w:p>
    <w:p w14:paraId="7FC474A7">
      <w:pPr>
        <w:rPr>
          <w:rFonts w:ascii="Arial" w:hAnsi="Arial" w:cs="Arial"/>
        </w:rPr>
      </w:pPr>
    </w:p>
    <w:p w14:paraId="2EBC2926">
      <w:pPr>
        <w:rPr>
          <w:rFonts w:ascii="Arial" w:hAnsi="Arial" w:cs="Arial"/>
        </w:rPr>
      </w:pPr>
      <w:r>
        <w:rPr>
          <w:rFonts w:ascii="Arial" w:hAnsi="Arial" w:cs="Arial"/>
          <w:b/>
          <w:bCs/>
        </w:rPr>
        <w:t>4. Concluded Improvement Recommendations</w:t>
      </w:r>
      <w:r>
        <w:rPr>
          <w:rFonts w:ascii="Arial" w:hAnsi="Arial" w:cs="Arial"/>
          <w:b/>
          <w:bCs/>
        </w:rPr>
        <w:br w:type="textWrapping"/>
      </w:r>
      <w:r>
        <w:rPr>
          <w:rFonts w:ascii="Arial" w:hAnsi="Arial" w:cs="Arial"/>
        </w:rPr>
        <w:t>Based on the evaluation results, four key improvement areas are identified: First, enhance algorithms by developing specialized analysis modes for porous materials and improving recognition capability for surface-modified materials. Second, improve environmental adaptability through parameter compensation functions and humidity correction algorithms. Third, expand functionality by adding surface morphology analysis modules and contaminant identification features. Finally, upgrade professional tools with statistical analysis packages and automated report generation for enhanced research efficiency.</w:t>
      </w:r>
    </w:p>
    <w:p w14:paraId="042C45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C81E82"/>
    <w:rsid w:val="4DE21B66"/>
    <w:rsid w:val="71C81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378</Words>
  <Characters>2769</Characters>
  <Lines>0</Lines>
  <Paragraphs>0</Paragraphs>
  <TotalTime>0</TotalTime>
  <ScaleCrop>false</ScaleCrop>
  <LinksUpToDate>false</LinksUpToDate>
  <CharactersWithSpaces>3121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2026-05-13T16:09:00Z</dcterms:created>
  <dc:creator>主峰印刷</dc:creator>
  <cp:lastModifiedBy>主峰印刷</cp:lastModifiedBy>
  <dcterms:modified xsi:type="dcterms:W3CDTF">2026-05-13T16:12:55Z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D65299E8858943199F6D84005CBE676E_11</vt:lpwstr>
  </property>
  <property fmtid="{D5CDD505-2E9C-101B-9397-08002B2CF9AE}" pid="4" name="KSOTemplateDocerSaveRecord">
    <vt:lpwstr>eyJoZGlkIjoiNDY1MWQ1ZjRhMGFmMWJkODdhYjcwMmZhZDU3OTFlYWQiLCJ1c2VySWQiOiI0OTc4OTY3NDYifQ==</vt:lpwstr>
  </property>
</Properties>
</file>