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0000"/>
          <w:sz w:val="44"/>
        </w:rPr>
        <w:t>Sidney Bryson, Ph.D.</w:t>
      </w:r>
    </w:p>
    <w:p>
      <w:pPr>
        <w:spacing w:before="0" w:after="40"/>
      </w:pPr>
      <w:r>
        <w:rPr>
          <w:rFonts w:ascii="Calibri" w:hAnsi="Calibri"/>
          <w:b/>
          <w:color w:val="1F4D78"/>
          <w:sz w:val="23"/>
        </w:rPr>
        <w:t>NVIDIA Internal Resume | Engineering Manager, AI Infrastructure and NIM Factory</w:t>
      </w:r>
    </w:p>
    <w:p>
      <w:pPr>
        <w:spacing w:before="0" w:after="200"/>
        <w:pBdr>
          <w:bottom w:val="single" w:sz="8" w:space="4" w:color="D9E2F3"/>
        </w:pBdr>
      </w:pPr>
      <w:r>
        <w:rPr>
          <w:rFonts w:ascii="Calibri" w:hAnsi="Calibri"/>
          <w:color w:val="555555"/>
          <w:sz w:val="21"/>
        </w:rPr>
        <w:t>sbryson@nvidia.com | +1 331-228-0002</w:t>
      </w:r>
    </w:p>
    <w:p>
      <w:pPr>
        <w:pStyle w:val="Heading1"/>
      </w:pPr>
      <w:r>
        <w:t>Executive Profile</w:t>
      </w:r>
    </w:p>
    <w:p>
      <w:r>
        <w:rPr>
          <w:rFonts w:ascii="Calibri" w:hAnsi="Calibri"/>
          <w:color w:val="000000"/>
          <w:sz w:val="22"/>
        </w:rPr>
        <w:t>Engineering manager and platform leader at NVIDIA with a track record of turning complex AI systems into reliable, releasable products. Current focus is NIM Factory and NIMCraft: agent-driven delivery, release automation, SWQA integration, compliance automation, and production GPU infrastructure for NVIDIA Inference Microservices. Earlier NVIDIA work centered on Clara and Holoscan, including healthcare lighthouse deployments, cloud-native edge-to-cloud infrastructure, SDK releases, customer integration, and security/compliance operations.</w:t>
      </w:r>
    </w:p>
    <w:p>
      <w:r>
        <w:rPr>
          <w:rFonts w:ascii="Calibri" w:hAnsi="Calibri"/>
          <w:color w:val="000000"/>
          <w:sz w:val="22"/>
        </w:rPr>
        <w:t>Known for connecting product goals, engineering execution, release quality, and operational accountability across distributed teams.</w:t>
      </w:r>
    </w:p>
    <w:p>
      <w:pPr>
        <w:pStyle w:val="Heading1"/>
      </w:pPr>
      <w:r>
        <w:t>30-Second Pitch</w:t>
      </w:r>
    </w:p>
    <w:p>
      <w:r>
        <w:rPr>
          <w:rFonts w:ascii="Calibri" w:hAnsi="Calibri"/>
          <w:color w:val="000000"/>
          <w:sz w:val="22"/>
        </w:rPr>
        <w:t>I manage the engineering systems that turn NVIDIA AI models into shippable NIMs. My work sits at the intersection of release automation, GPU infrastructure, SWQA, compliance, and cross-team execution. Over the last few years I have helped move NVIDIA from manual, program-by-program delivery toward factory-style and agent-driven release operations: first through Clara and Holoscan cloud-native platforms, and now through NIM Factory and NIMCraft. The theme across my work is making high-stakes AI software delivery faster, more observable, more compliant, and more repeatable.</w:t>
      </w:r>
    </w:p>
    <w:p>
      <w:pPr>
        <w:pStyle w:val="Heading1"/>
      </w:pPr>
      <w:r>
        <w:t>Core Strengths</w:t>
      </w:r>
    </w:p>
    <w:p>
      <w:pPr>
        <w:pStyle w:val="ListBullet"/>
      </w:pPr>
      <w:r>
        <w:rPr>
          <w:rFonts w:ascii="Calibri" w:hAnsi="Calibri"/>
          <w:color w:val="000000"/>
          <w:sz w:val="21"/>
        </w:rPr>
        <w:t>Engineering management for AI platform, infrastructure, and release-engineering teams</w:t>
      </w:r>
    </w:p>
    <w:p>
      <w:pPr>
        <w:pStyle w:val="ListBullet"/>
      </w:pPr>
      <w:r>
        <w:rPr>
          <w:rFonts w:ascii="Calibri" w:hAnsi="Calibri"/>
          <w:color w:val="000000"/>
          <w:sz w:val="21"/>
        </w:rPr>
        <w:t>NIM Factory, NIMCraft, NIM Factory Pipelines platform-version migration, release automation, and NIM lifecycle operations</w:t>
      </w:r>
    </w:p>
    <w:p>
      <w:pPr>
        <w:pStyle w:val="ListBullet"/>
      </w:pPr>
      <w:r>
        <w:rPr>
          <w:rFonts w:ascii="Calibri" w:hAnsi="Calibri"/>
          <w:color w:val="000000"/>
          <w:sz w:val="21"/>
        </w:rPr>
        <w:t>Agent-driven delivery workflows, source-backed automation, and human-in-the-loop release governance</w:t>
      </w:r>
    </w:p>
    <w:p>
      <w:pPr>
        <w:pStyle w:val="ListBullet"/>
      </w:pPr>
      <w:r>
        <w:rPr>
          <w:rFonts w:ascii="Calibri" w:hAnsi="Calibri"/>
          <w:color w:val="000000"/>
          <w:sz w:val="21"/>
        </w:rPr>
        <w:t>SWQA integration, test-report quality, release readiness, and customer issue traceability</w:t>
      </w:r>
    </w:p>
    <w:p>
      <w:pPr>
        <w:pStyle w:val="ListBullet"/>
      </w:pPr>
      <w:r>
        <w:rPr>
          <w:rFonts w:ascii="Calibri" w:hAnsi="Calibri"/>
          <w:color w:val="000000"/>
          <w:sz w:val="21"/>
        </w:rPr>
        <w:t>Compliance automation, OSRB/export control coordination, nSpect/NSPECT, VDR, CVE remediation, and launch readiness</w:t>
      </w:r>
    </w:p>
    <w:p>
      <w:pPr>
        <w:pStyle w:val="ListBullet"/>
      </w:pPr>
      <w:r>
        <w:rPr>
          <w:rFonts w:ascii="Calibri" w:hAnsi="Calibri"/>
          <w:color w:val="000000"/>
          <w:sz w:val="21"/>
        </w:rPr>
        <w:t>Kubernetes, GPU infrastructure, KAI, Kyverno, multi-node GPU scheduling, observability, and production incident response</w:t>
      </w:r>
    </w:p>
    <w:p>
      <w:pPr>
        <w:pStyle w:val="ListBullet"/>
      </w:pPr>
      <w:r>
        <w:rPr>
          <w:rFonts w:ascii="Calibri" w:hAnsi="Calibri"/>
          <w:color w:val="000000"/>
          <w:sz w:val="21"/>
        </w:rPr>
        <w:t>Clara, Holoscan, MONAI, Triton, BioNeMo, edge-to-cloud platforms, and healthcare AI deployments</w:t>
      </w:r>
    </w:p>
    <w:p>
      <w:pPr>
        <w:pStyle w:val="ListBullet"/>
      </w:pPr>
      <w:r>
        <w:rPr>
          <w:rFonts w:ascii="Calibri" w:hAnsi="Calibri"/>
          <w:color w:val="000000"/>
          <w:sz w:val="21"/>
        </w:rPr>
        <w:t>Cross-functional leadership across engineering, product, TPM, SWQA, legal/compliance, NGC publishing, DevRel, field, and customer teams</w:t>
      </w:r>
    </w:p>
    <w:p>
      <w:pPr>
        <w:pStyle w:val="Heading1"/>
      </w:pPr>
      <w:r>
        <w:t>NVIDIA Work History</w:t>
      </w:r>
    </w:p>
    <w:p>
      <w:pPr>
        <w:pStyle w:val="Heading2"/>
      </w:pPr>
      <w:r>
        <w:t>Engineering Manager, NIM Factory / NIMCraft</w:t>
      </w:r>
    </w:p>
    <w:p>
      <w:r>
        <w:rPr>
          <w:rFonts w:ascii="Calibri" w:hAnsi="Calibri"/>
          <w:color w:val="000000"/>
          <w:sz w:val="22"/>
        </w:rPr>
        <w:t>Late 2024 to Present</w:t>
      </w:r>
    </w:p>
    <w:p>
      <w:pPr>
        <w:pStyle w:val="ListBullet"/>
      </w:pPr>
      <w:r>
        <w:rPr>
          <w:rFonts w:ascii="Calibri" w:hAnsi="Calibri"/>
          <w:color w:val="000000"/>
          <w:sz w:val="21"/>
        </w:rPr>
        <w:t>Lead engineering work for NIM Factory and NIMCraft, the platform used to build, validate, release, and operate NVIDIA Inference Microservices across model families and GPU SKUs.</w:t>
      </w:r>
    </w:p>
    <w:p>
      <w:pPr>
        <w:pStyle w:val="ListBullet"/>
      </w:pPr>
      <w:r>
        <w:rPr>
          <w:rFonts w:ascii="Calibri" w:hAnsi="Calibri"/>
          <w:color w:val="000000"/>
          <w:sz w:val="21"/>
        </w:rPr>
        <w:t>Own manager-level production accountability for NIM Factory Service, including Level 2 manager on-call coverage and release-risk escalation.</w:t>
      </w:r>
    </w:p>
    <w:p>
      <w:pPr>
        <w:pStyle w:val="ListBullet"/>
      </w:pPr>
      <w:r>
        <w:rPr>
          <w:rFonts w:ascii="Calibri" w:hAnsi="Calibri"/>
          <w:color w:val="000000"/>
          <w:sz w:val="21"/>
        </w:rPr>
        <w:t>Drive agent-driven NIM delivery, moving NIM release work from manual coordination toward durable, source-backed workflows across build, SWQA, compliance, documentation, publishing, and release tracking.</w:t>
      </w:r>
    </w:p>
    <w:p>
      <w:pPr>
        <w:pStyle w:val="ListBullet"/>
      </w:pPr>
      <w:r>
        <w:rPr>
          <w:rFonts w:ascii="Calibri" w:hAnsi="Calibri"/>
          <w:color w:val="000000"/>
          <w:sz w:val="21"/>
        </w:rPr>
        <w:t>Lead NIM Factory Pipelines platform-version migration and legacy-platform retirement planning, coordinating NIM teams through onboarding, release path changes, and final confirmation for legacy factory platform retirement.</w:t>
      </w:r>
    </w:p>
    <w:p>
      <w:pPr>
        <w:pStyle w:val="ListBullet"/>
      </w:pPr>
      <w:r>
        <w:rPr>
          <w:rFonts w:ascii="Calibri" w:hAnsi="Calibri"/>
          <w:color w:val="000000"/>
          <w:sz w:val="21"/>
        </w:rPr>
        <w:t>Partner across NIM engineering, serving stack, SWQA, NGC publishing, compliance, product, and infrastructure teams to make release decisions, unblock high-priority NIMs, and improve release evidence.</w:t>
      </w:r>
    </w:p>
    <w:p>
      <w:pPr>
        <w:pStyle w:val="ListBullet"/>
      </w:pPr>
      <w:r>
        <w:rPr>
          <w:rFonts w:ascii="Calibri" w:hAnsi="Calibri"/>
          <w:color w:val="000000"/>
          <w:sz w:val="21"/>
        </w:rPr>
        <w:t>Manage platform reliability efforts across Kubernetes/GPU infrastructure, KAI rollout, Kyverno policy behavior, DGD GPU utilization dashboards, Temporal workflow reliability, and factory job health.</w:t>
      </w:r>
    </w:p>
    <w:p>
      <w:pPr>
        <w:pStyle w:val="ListBullet"/>
      </w:pPr>
      <w:r>
        <w:rPr>
          <w:rFonts w:ascii="Calibri" w:hAnsi="Calibri"/>
          <w:color w:val="000000"/>
          <w:sz w:val="21"/>
        </w:rPr>
        <w:t>Improve test-report and bug-ledger quality so leadership and release teams can understand why a NIM is safe to ship, what is waived, and what is tracked for follow-up.</w:t>
      </w:r>
    </w:p>
    <w:p>
      <w:pPr>
        <w:pStyle w:val="Heading2"/>
      </w:pPr>
      <w:r>
        <w:t>Engineering Lead / Manager, NIM Factory and BioNeMo NIM Release Enablement</w:t>
      </w:r>
    </w:p>
    <w:p>
      <w:r>
        <w:rPr>
          <w:rFonts w:ascii="Calibri" w:hAnsi="Calibri"/>
          <w:color w:val="000000"/>
          <w:sz w:val="22"/>
        </w:rPr>
        <w:t>2024 to 2025</w:t>
      </w:r>
    </w:p>
    <w:p>
      <w:pPr>
        <w:pStyle w:val="ListBullet"/>
      </w:pPr>
      <w:r>
        <w:rPr>
          <w:rFonts w:ascii="Calibri" w:hAnsi="Calibri"/>
          <w:color w:val="000000"/>
          <w:sz w:val="21"/>
        </w:rPr>
        <w:t>Helped establish the NIM Factory delivery model for early and high-profile NIM programs, including BioNeMo and GenMol release work.</w:t>
      </w:r>
    </w:p>
    <w:p>
      <w:pPr>
        <w:pStyle w:val="ListBullet"/>
      </w:pPr>
      <w:r>
        <w:rPr>
          <w:rFonts w:ascii="Calibri" w:hAnsi="Calibri"/>
          <w:color w:val="000000"/>
          <w:sz w:val="21"/>
        </w:rPr>
        <w:t>Supported GenMol as both Preview API and downloadable NIM, including NGC production artifacts, user documentation, SWQA GO recommendation, VDR GOOD result, NSPECT registration, legal/VP approval, and launch readiness.</w:t>
      </w:r>
    </w:p>
    <w:p>
      <w:pPr>
        <w:pStyle w:val="ListBullet"/>
      </w:pPr>
      <w:r>
        <w:rPr>
          <w:rFonts w:ascii="Calibri" w:hAnsi="Calibri"/>
          <w:color w:val="000000"/>
          <w:sz w:val="21"/>
        </w:rPr>
        <w:t>Reviewed and approved NIM Factory Pipelines and NIM Factory merge requests, helped set up developer access paths, and supported NIM Factory process maturity through templates, documentation, and secrets guidance.</w:t>
      </w:r>
    </w:p>
    <w:p>
      <w:pPr>
        <w:pStyle w:val="ListBullet"/>
      </w:pPr>
      <w:r>
        <w:rPr>
          <w:rFonts w:ascii="Calibri" w:hAnsi="Calibri"/>
          <w:color w:val="000000"/>
          <w:sz w:val="21"/>
        </w:rPr>
        <w:t>Coordinated across BioNeMo engineering, research, TPM, product, SWQA, VDR, NGC publishing, API catalog, documentation, and field teams to turn research-backed AI capabilities into product-ready NIM launches.</w:t>
      </w:r>
    </w:p>
    <w:p>
      <w:pPr>
        <w:pStyle w:val="Heading2"/>
      </w:pPr>
      <w:r>
        <w:t>Clara / Holoscan Cloud Native and Enterprise Integration Leader</w:t>
      </w:r>
    </w:p>
    <w:p>
      <w:r>
        <w:rPr>
          <w:rFonts w:ascii="Calibri" w:hAnsi="Calibri"/>
          <w:color w:val="000000"/>
          <w:sz w:val="22"/>
        </w:rPr>
        <w:t>2021 to 2024</w:t>
      </w:r>
    </w:p>
    <w:p>
      <w:pPr>
        <w:pStyle w:val="ListBullet"/>
      </w:pPr>
      <w:r>
        <w:rPr>
          <w:rFonts w:ascii="Calibri" w:hAnsi="Calibri"/>
          <w:color w:val="000000"/>
          <w:sz w:val="21"/>
        </w:rPr>
        <w:t>Led Clara and Holoscan deployment and cloud-native platform work for healthcare and edge-to-cloud AI workloads, including Clara Deploy as a Kubernetes orchestrator for inference workloads, while bridging lighthouse customer integrations, SDK/platform releases, hardware validation, and internal application teams.</w:t>
      </w:r>
    </w:p>
    <w:p>
      <w:pPr>
        <w:pStyle w:val="ListBullet"/>
      </w:pPr>
      <w:r>
        <w:rPr>
          <w:rFonts w:ascii="Calibri" w:hAnsi="Calibri"/>
          <w:color w:val="000000"/>
          <w:sz w:val="21"/>
        </w:rPr>
        <w:t>Served as NVIDIA Healthcare - Clara Enterprise Integration Architect in 2021, coordinating lighthouse account work across UCSF, Mayo Jacksonville, MGB, KCL/Answer Digital, and broader Clara/Holoscan deployment programs.</w:t>
      </w:r>
    </w:p>
    <w:p>
      <w:pPr>
        <w:pStyle w:val="ListBullet"/>
      </w:pPr>
      <w:r>
        <w:rPr>
          <w:rFonts w:ascii="Calibri" w:hAnsi="Calibri"/>
          <w:color w:val="000000"/>
          <w:sz w:val="21"/>
        </w:rPr>
        <w:t>Helped drive Holoscan from healthcare-focused deployment patterns toward a broader real-time sensor AI platform for medical, life sciences, robotics, manufacturing, broadcast, public sector, and scientific discovery use cases.</w:t>
      </w:r>
    </w:p>
    <w:p>
      <w:pPr>
        <w:pStyle w:val="ListBullet"/>
      </w:pPr>
      <w:r>
        <w:rPr>
          <w:rFonts w:ascii="Calibri" w:hAnsi="Calibri"/>
          <w:color w:val="000000"/>
          <w:sz w:val="21"/>
        </w:rPr>
        <w:t>Supported Holoscan SDK v0.4 release on GitHub, NGC, and PyPI, including developer-experience improvements such as Python and C++ APIs, x86/aarch64 support, sensor-processing pipelines, and multi-AI inference.</w:t>
      </w:r>
    </w:p>
    <w:p>
      <w:pPr>
        <w:pStyle w:val="ListBullet"/>
      </w:pPr>
      <w:r>
        <w:rPr>
          <w:rFonts w:ascii="Calibri" w:hAnsi="Calibri"/>
          <w:color w:val="000000"/>
          <w:sz w:val="21"/>
        </w:rPr>
        <w:t>Led or coordinated Holoscan Cloud Native v23.12 release work, including CNPack, edge-to-cloud development, distributed Hololink sample apps, IGX-to-IGX and IGX-to-EGX hardware validation, QA coverage, NSPECT registration, release notes, and NGC/GitLab assets.</w:t>
      </w:r>
    </w:p>
    <w:p>
      <w:pPr>
        <w:pStyle w:val="ListBullet"/>
      </w:pPr>
      <w:r>
        <w:rPr>
          <w:rFonts w:ascii="Calibri" w:hAnsi="Calibri"/>
          <w:color w:val="000000"/>
          <w:sz w:val="21"/>
        </w:rPr>
        <w:t>Owned cloud/security stewardship for Clara and Holoscan environments, including AWS, Azure, GCP, OCI access groups, audit remediation, open-source vulnerability dashboards, and production support.</w:t>
      </w:r>
    </w:p>
    <w:p>
      <w:pPr>
        <w:pStyle w:val="Heading1"/>
      </w:pPr>
      <w:r>
        <w:t>Top Project Wins</w:t>
      </w:r>
    </w:p>
    <w:p>
      <w:pPr>
        <w:pStyle w:val="Heading2"/>
      </w:pPr>
      <w:r>
        <w:t>1. Scaled Agent-Driven NIM Delivery</w:t>
      </w:r>
    </w:p>
    <w:p>
      <w:pPr>
        <w:pStyle w:val="ListBullet"/>
      </w:pPr>
      <w:r>
        <w:rPr>
          <w:rFonts w:ascii="Calibri" w:hAnsi="Calibri"/>
          <w:color w:val="000000"/>
          <w:sz w:val="21"/>
        </w:rPr>
        <w:t>Shipped the NIM 2.0.10 cycle with 11 NIMs delivered through agent-driven workflows, up from 9 in the prior cycle.</w:t>
      </w:r>
    </w:p>
    <w:p>
      <w:pPr>
        <w:pStyle w:val="ListBullet"/>
      </w:pPr>
      <w:r>
        <w:rPr>
          <w:rFonts w:ascii="Calibri" w:hAnsi="Calibri"/>
          <w:color w:val="000000"/>
          <w:sz w:val="21"/>
        </w:rPr>
        <w:t>Reduced the average first-RC-to-release timeline to about 5 days, with the fastest NIM near 4 days and the slowest near 7.5 days.</w:t>
      </w:r>
    </w:p>
    <w:p>
      <w:pPr>
        <w:pStyle w:val="ListBullet"/>
      </w:pPr>
      <w:r>
        <w:rPr>
          <w:rFonts w:ascii="Calibri" w:hAnsi="Calibri"/>
          <w:color w:val="000000"/>
          <w:sz w:val="21"/>
        </w:rPr>
        <w:t>Expanded the agentic delivery model beyond build tracking into runtime-build triggers, authenticated email and Slack notifications, SWQA handoffs, release-documentation backfills, stuck-build detection, bug tracking, and release-attempt monitoring.</w:t>
      </w:r>
    </w:p>
    <w:p>
      <w:pPr>
        <w:pStyle w:val="ListBullet"/>
      </w:pPr>
      <w:r>
        <w:rPr>
          <w:rFonts w:ascii="Calibri" w:hAnsi="Calibri"/>
          <w:color w:val="000000"/>
          <w:sz w:val="21"/>
        </w:rPr>
        <w:t xml:space="preserve">Moved release candidates toward source-backed </w:t>
      </w:r>
      <w:r>
        <w:rPr>
          <w:rFonts w:ascii="Consolas" w:hAnsi="Consolas"/>
          <w:color w:val="000000"/>
          <w:sz w:val="20"/>
        </w:rPr>
        <w:t>nim-ops</w:t>
      </w:r>
      <w:r>
        <w:rPr>
          <w:rFonts w:ascii="Calibri" w:hAnsi="Calibri"/>
          <w:color w:val="000000"/>
          <w:sz w:val="21"/>
        </w:rPr>
        <w:t xml:space="preserve"> configuration rather than REST-only mutation paths, improving traceability and reproducibility.</w:t>
      </w:r>
    </w:p>
    <w:p>
      <w:pPr>
        <w:pStyle w:val="Heading2"/>
      </w:pPr>
      <w:r>
        <w:t>2. Improved NIM Factory Scale, Reliability, and Observability</w:t>
      </w:r>
    </w:p>
    <w:p>
      <w:pPr>
        <w:pStyle w:val="ListBullet"/>
      </w:pPr>
      <w:r>
        <w:rPr>
          <w:rFonts w:ascii="Calibri" w:hAnsi="Calibri"/>
          <w:color w:val="000000"/>
          <w:sz w:val="21"/>
        </w:rPr>
        <w:t>Helped NIM Factory handle 35,055 jobs in a seven-day period, a 111% week-over-week increase, while completion improved to 79.9%, the highest level in three weeks for that reporting window.</w:t>
      </w:r>
    </w:p>
    <w:p>
      <w:pPr>
        <w:pStyle w:val="ListBullet"/>
      </w:pPr>
      <w:r>
        <w:rPr>
          <w:rFonts w:ascii="Calibri" w:hAnsi="Calibri"/>
          <w:color w:val="000000"/>
          <w:sz w:val="21"/>
        </w:rPr>
        <w:t>Supported full KAI rollout across all GPU SKUs and all eight clusters, plus LWS deployment across clusters and multi-node enablement on 22 validated SKUs.</w:t>
      </w:r>
    </w:p>
    <w:p>
      <w:pPr>
        <w:pStyle w:val="ListBullet"/>
      </w:pPr>
      <w:r>
        <w:rPr>
          <w:rFonts w:ascii="Calibri" w:hAnsi="Calibri"/>
          <w:color w:val="000000"/>
          <w:sz w:val="21"/>
        </w:rPr>
        <w:t>Drove reliability work across KAI pod-grouper crash loops, Kyverno OOM fail-open behavior, release-worker preemptible issues, baseline benchmark GPU over-requests, and serving-stack release-version endpoint instability.</w:t>
      </w:r>
    </w:p>
    <w:p>
      <w:pPr>
        <w:pStyle w:val="ListBullet"/>
      </w:pPr>
      <w:r>
        <w:rPr>
          <w:rFonts w:ascii="Calibri" w:hAnsi="Calibri"/>
          <w:color w:val="000000"/>
          <w:sz w:val="21"/>
        </w:rPr>
        <w:t>Improved operational insight through DGD GPU usage dashboards, KAI/Kyverno alert coverage, and event-loop latency profiling that identified expensive validation and S3 listing hot paths.</w:t>
      </w:r>
    </w:p>
    <w:p>
      <w:pPr>
        <w:pStyle w:val="Heading2"/>
      </w:pPr>
      <w:r>
        <w:t>3. Led NIM Factory Pipelines Platform-Version Migration</w:t>
      </w:r>
    </w:p>
    <w:p>
      <w:pPr>
        <w:pStyle w:val="ListBullet"/>
      </w:pPr>
      <w:r>
        <w:rPr>
          <w:rFonts w:ascii="Calibri" w:hAnsi="Calibri"/>
          <w:color w:val="000000"/>
          <w:sz w:val="21"/>
        </w:rPr>
        <w:t>Drove the migration of NIM delivery teams across NIM Factory Pipelines platform versions into NIMCraft-backed release paths, including final confirmation requests and EOL planning in August 2026.</w:t>
      </w:r>
    </w:p>
    <w:p>
      <w:pPr>
        <w:pStyle w:val="ListBullet"/>
      </w:pPr>
      <w:r>
        <w:rPr>
          <w:rFonts w:ascii="Calibri" w:hAnsi="Calibri"/>
          <w:color w:val="000000"/>
          <w:sz w:val="21"/>
        </w:rPr>
        <w:t>Quantified remaining legacy usage with NIM release data, including the finding that 74 of 172 NIMs since January 1, 2026 had still shipped through the legacy factory pipeline path.</w:t>
      </w:r>
    </w:p>
    <w:p>
      <w:pPr>
        <w:pStyle w:val="ListBullet"/>
      </w:pPr>
      <w:r>
        <w:rPr>
          <w:rFonts w:ascii="Calibri" w:hAnsi="Calibri"/>
          <w:color w:val="000000"/>
          <w:sz w:val="21"/>
        </w:rPr>
        <w:t>Coordinated release-path changes, team onboarding, and risk visibility so the organization could retire legacy factory pipeline versions from a position of evidence rather than assumption.</w:t>
      </w:r>
    </w:p>
    <w:p>
      <w:pPr>
        <w:pStyle w:val="Heading2"/>
      </w:pPr>
      <w:r>
        <w:t>4. Put Compliance and Release Governance on a Factory Path</w:t>
      </w:r>
    </w:p>
    <w:p>
      <w:pPr>
        <w:pStyle w:val="ListBullet"/>
      </w:pPr>
      <w:r>
        <w:rPr>
          <w:rFonts w:ascii="Calibri" w:hAnsi="Calibri"/>
          <w:color w:val="000000"/>
          <w:sz w:val="21"/>
        </w:rPr>
        <w:t>Helped move NIM compliance work from TPM-only execution toward factory and serving-stack pipeline automation, with leadership approval and implementation tickets opened for NIMCraft and serving-stack compliance monitoring.</w:t>
      </w:r>
    </w:p>
    <w:p>
      <w:pPr>
        <w:pStyle w:val="ListBullet"/>
      </w:pPr>
      <w:r>
        <w:rPr>
          <w:rFonts w:ascii="Calibri" w:hAnsi="Calibri"/>
          <w:color w:val="000000"/>
          <w:sz w:val="21"/>
        </w:rPr>
        <w:t>Advanced serving-stack and NIM release-governance automation so compliance evidence, OSRB/export control approval, and launch-readiness status could move through the factory path with clearer ownership.</w:t>
      </w:r>
    </w:p>
    <w:p>
      <w:pPr>
        <w:pStyle w:val="ListBullet"/>
      </w:pPr>
      <w:r>
        <w:rPr>
          <w:rFonts w:ascii="Calibri" w:hAnsi="Calibri"/>
          <w:color w:val="000000"/>
          <w:sz w:val="21"/>
        </w:rPr>
        <w:t>Completed a multi-NIM refresh compliance path with serving-stack OSRB/export control approval, GHSA critical/high CVE fixes, and compliance closure across 11 NIMs.</w:t>
      </w:r>
    </w:p>
    <w:p>
      <w:pPr>
        <w:pStyle w:val="ListBullet"/>
      </w:pPr>
      <w:r>
        <w:rPr>
          <w:rFonts w:ascii="Calibri" w:hAnsi="Calibri"/>
          <w:color w:val="000000"/>
          <w:sz w:val="21"/>
        </w:rPr>
        <w:t>Supported DevStream OSRB pilot work and cross-team feedback loops to reduce compliance latency and improve launch readiness.</w:t>
      </w:r>
    </w:p>
    <w:p>
      <w:pPr>
        <w:pStyle w:val="Heading2"/>
      </w:pPr>
      <w:r>
        <w:t>5. Delivered High-Profile BioNeMo and GenMol NIM Launch Readiness</w:t>
      </w:r>
    </w:p>
    <w:p>
      <w:pPr>
        <w:pStyle w:val="ListBullet"/>
      </w:pPr>
      <w:r>
        <w:rPr>
          <w:rFonts w:ascii="Calibri" w:hAnsi="Calibri"/>
          <w:color w:val="000000"/>
          <w:sz w:val="21"/>
        </w:rPr>
        <w:t>Helped GenMol reach "deployed and ready for launch" as both Preview API and downloadable NIM by December 23, 2024, with no impact to the planned January launch.</w:t>
      </w:r>
    </w:p>
    <w:p>
      <w:pPr>
        <w:pStyle w:val="ListBullet"/>
      </w:pPr>
      <w:r>
        <w:rPr>
          <w:rFonts w:ascii="Calibri" w:hAnsi="Calibri"/>
          <w:color w:val="000000"/>
          <w:sz w:val="21"/>
        </w:rPr>
        <w:t>Supported NGC production container/model readiness, API catalog staging, user documentation, SWQA GO and post-deployment pass, VDR GOOD score, NSPECT 1000 score, OSRB/DGPTT approval, Model Card++ approval, and legal/VP release approval.</w:t>
      </w:r>
    </w:p>
    <w:p>
      <w:pPr>
        <w:pStyle w:val="ListBullet"/>
      </w:pPr>
      <w:r>
        <w:rPr>
          <w:rFonts w:ascii="Calibri" w:hAnsi="Calibri"/>
          <w:color w:val="000000"/>
          <w:sz w:val="21"/>
        </w:rPr>
        <w:t>Coordinated across research, BioNeMo engineering, NIM Factory, SWQA, VDR, NGC publishing, API catalog, documentation, and field/demo stakeholders.</w:t>
      </w:r>
    </w:p>
    <w:p>
      <w:pPr>
        <w:pStyle w:val="Heading2"/>
      </w:pPr>
      <w:r>
        <w:t>6. Helped Establish Holoscan as a General Sensor AI Platform</w:t>
      </w:r>
    </w:p>
    <w:p>
      <w:pPr>
        <w:pStyle w:val="ListBullet"/>
      </w:pPr>
      <w:r>
        <w:rPr>
          <w:rFonts w:ascii="Calibri" w:hAnsi="Calibri"/>
          <w:color w:val="000000"/>
          <w:sz w:val="21"/>
        </w:rPr>
        <w:t>Contributed to Holoscan SDK v0.4 release, an inflection point that opened Holoscan beyond healthcare into a general-domain real-time sensor AI platform.</w:t>
      </w:r>
    </w:p>
    <w:p>
      <w:pPr>
        <w:pStyle w:val="ListBullet"/>
      </w:pPr>
      <w:r>
        <w:rPr>
          <w:rFonts w:ascii="Calibri" w:hAnsi="Calibri"/>
          <w:color w:val="000000"/>
          <w:sz w:val="21"/>
        </w:rPr>
        <w:t>Supported release capabilities including native Python and C++ APIs, Python wheels, NGC container publishing, GitHub release, x86/aarch64 support, sensor-in to display-out processing with GXF, and multi-AI inference pipelines.</w:t>
      </w:r>
    </w:p>
    <w:p>
      <w:pPr>
        <w:pStyle w:val="ListBullet"/>
      </w:pPr>
      <w:r>
        <w:rPr>
          <w:rFonts w:ascii="Calibri" w:hAnsi="Calibri"/>
          <w:color w:val="000000"/>
          <w:sz w:val="21"/>
        </w:rPr>
        <w:t>Helped connect the platform to developer and customer audiences across medical, life sciences, robotics, manufacturing, broadcast, public sector, scientific discovery, and HPC edge.</w:t>
      </w:r>
    </w:p>
    <w:p>
      <w:pPr>
        <w:pStyle w:val="Heading2"/>
      </w:pPr>
      <w:r>
        <w:t>7. Delivered Holoscan Cloud Native Edge-to-Cloud Releases</w:t>
      </w:r>
    </w:p>
    <w:p>
      <w:pPr>
        <w:pStyle w:val="ListBullet"/>
      </w:pPr>
      <w:r>
        <w:rPr>
          <w:rFonts w:ascii="Calibri" w:hAnsi="Calibri"/>
          <w:color w:val="000000"/>
          <w:sz w:val="21"/>
        </w:rPr>
        <w:t>Coordinated Holoscan Cloud Native v23.12 / CNPack 0.12.0 release work for NVIDIA internal application teams.</w:t>
      </w:r>
    </w:p>
    <w:p>
      <w:pPr>
        <w:pStyle w:val="ListBullet"/>
      </w:pPr>
      <w:r>
        <w:rPr>
          <w:rFonts w:ascii="Calibri" w:hAnsi="Calibri"/>
          <w:color w:val="000000"/>
          <w:sz w:val="21"/>
        </w:rPr>
        <w:t>Shipped cloud-native edge-to-cloud capabilities including CNPack updates, distributed Hololink sample apps, advanced network operator work, release build artifacts, user guide, release notes, QA coverage, and NSPECT reporting.</w:t>
      </w:r>
    </w:p>
    <w:p>
      <w:pPr>
        <w:pStyle w:val="ListBullet"/>
      </w:pPr>
      <w:r>
        <w:rPr>
          <w:rFonts w:ascii="Calibri" w:hAnsi="Calibri"/>
          <w:color w:val="000000"/>
          <w:sz w:val="21"/>
        </w:rPr>
        <w:t>Established hardware validation evidence across IGX-to-IGX and IGX-to-EGX scenarios, including bandwidth and latency validation using UCX/perftest.</w:t>
      </w:r>
    </w:p>
    <w:p>
      <w:pPr>
        <w:pStyle w:val="ListBullet"/>
      </w:pPr>
      <w:r>
        <w:rPr>
          <w:rFonts w:ascii="Calibri" w:hAnsi="Calibri"/>
          <w:color w:val="000000"/>
          <w:sz w:val="21"/>
        </w:rPr>
        <w:t>Supported stakeholder adoption across CV Microservices, Metropolis, Industrial Inspection, Opus, Maxine, and Clara Cloud Native.</w:t>
      </w:r>
    </w:p>
    <w:p>
      <w:pPr>
        <w:pStyle w:val="Heading2"/>
      </w:pPr>
      <w:r>
        <w:t>8. Supported Healthcare Lighthouse Deployments and Customer Integrations</w:t>
      </w:r>
    </w:p>
    <w:p>
      <w:pPr>
        <w:pStyle w:val="ListBullet"/>
      </w:pPr>
      <w:r>
        <w:rPr>
          <w:rFonts w:ascii="Calibri" w:hAnsi="Calibri"/>
          <w:color w:val="000000"/>
          <w:sz w:val="21"/>
        </w:rPr>
        <w:t>Coordinated Clara/Holoscan lighthouse work with UCSF, Mayo Jacksonville, MGB, and KCL/Answer Digital.</w:t>
      </w:r>
    </w:p>
    <w:p>
      <w:pPr>
        <w:pStyle w:val="ListBullet"/>
      </w:pPr>
      <w:r>
        <w:rPr>
          <w:rFonts w:ascii="Calibri" w:hAnsi="Calibri"/>
          <w:color w:val="000000"/>
          <w:sz w:val="21"/>
        </w:rPr>
        <w:t>Supported UCSF's use of Clara Deploy, a Kubernetes orchestrator for inference workloads, where version 0.7.4 ran continuously without downtime in a production-like environment since February 2021, with planning for 0.8.1 deployment.</w:t>
      </w:r>
    </w:p>
    <w:p>
      <w:pPr>
        <w:pStyle w:val="ListBullet"/>
      </w:pPr>
      <w:r>
        <w:rPr>
          <w:rFonts w:ascii="Calibri" w:hAnsi="Calibri"/>
          <w:color w:val="000000"/>
          <w:sz w:val="21"/>
        </w:rPr>
        <w:t>Helped Mayo Jacksonville create a Triton Python backend implementation to demonstrate Detectron2 device detection in radiology and plan integration into Clara Deploy inference pipelines.</w:t>
      </w:r>
    </w:p>
    <w:p>
      <w:pPr>
        <w:pStyle w:val="ListBullet"/>
      </w:pPr>
      <w:r>
        <w:rPr>
          <w:rFonts w:ascii="Calibri" w:hAnsi="Calibri"/>
          <w:color w:val="000000"/>
          <w:sz w:val="21"/>
        </w:rPr>
        <w:t>Coordinated MGB work around C# Triton client integration, COMPASS integration, EMR AI, fast inferencing, white-paper creation, and Kubernetes-based services for non-DICOM medical AI outputs.</w:t>
      </w:r>
    </w:p>
    <w:p>
      <w:pPr>
        <w:pStyle w:val="ListBullet"/>
      </w:pPr>
      <w:r>
        <w:rPr>
          <w:rFonts w:ascii="Calibri" w:hAnsi="Calibri"/>
          <w:color w:val="000000"/>
          <w:sz w:val="21"/>
        </w:rPr>
        <w:t>Advanced MONAI Deploy workload-management discussions, including multi-task pipelines, MAP-to-Clara Deploy orchestration tooling, and deployment configuration scripts.</w:t>
      </w:r>
    </w:p>
    <w:p>
      <w:pPr>
        <w:pStyle w:val="Heading1"/>
      </w:pPr>
      <w:r>
        <w:t>Leadership Themes</w:t>
      </w:r>
    </w:p>
    <w:p>
      <w:pPr>
        <w:pStyle w:val="ListBullet"/>
      </w:pPr>
      <w:r>
        <w:rPr>
          <w:rFonts w:ascii="Calibri" w:hAnsi="Calibri"/>
          <w:color w:val="000000"/>
          <w:sz w:val="21"/>
        </w:rPr>
        <w:t>Turn ambiguous release programs into measurable systems with owners, evidence, and operating rhythm.</w:t>
      </w:r>
    </w:p>
    <w:p>
      <w:pPr>
        <w:pStyle w:val="ListBullet"/>
      </w:pPr>
      <w:r>
        <w:rPr>
          <w:rFonts w:ascii="Calibri" w:hAnsi="Calibri"/>
          <w:color w:val="000000"/>
          <w:sz w:val="21"/>
        </w:rPr>
        <w:t>Treat quality, compliance, and security as part of the delivery path rather than after-the-fact gates.</w:t>
      </w:r>
    </w:p>
    <w:p>
      <w:pPr>
        <w:pStyle w:val="ListBullet"/>
      </w:pPr>
      <w:r>
        <w:rPr>
          <w:rFonts w:ascii="Calibri" w:hAnsi="Calibri"/>
          <w:color w:val="000000"/>
          <w:sz w:val="21"/>
        </w:rPr>
        <w:t>Use automation and agents to reduce human toil while preserving accountable human review at release-risk points.</w:t>
      </w:r>
    </w:p>
    <w:p>
      <w:pPr>
        <w:pStyle w:val="ListBullet"/>
      </w:pPr>
      <w:r>
        <w:rPr>
          <w:rFonts w:ascii="Calibri" w:hAnsi="Calibri"/>
          <w:color w:val="000000"/>
          <w:sz w:val="21"/>
        </w:rPr>
        <w:t>Build dashboards, reports, and source-backed status so leadership can make decisions from evidence.</w:t>
      </w:r>
    </w:p>
    <w:p>
      <w:pPr>
        <w:pStyle w:val="ListBullet"/>
      </w:pPr>
      <w:r>
        <w:rPr>
          <w:rFonts w:ascii="Calibri" w:hAnsi="Calibri"/>
          <w:color w:val="000000"/>
          <w:sz w:val="21"/>
        </w:rPr>
        <w:t>Lead through cross-functional alignment: engineering, TPM, product, SWQA, legal/compliance, security, DevRel, NGC, field, and customers.</w:t>
      </w:r>
    </w:p>
    <w:p>
      <w:r>
        <w:br w:type="page"/>
      </w:r>
    </w:p>
    <w:p>
      <w:pPr>
        <w:pStyle w:val="Heading1"/>
      </w:pPr>
      <w:r>
        <w:rPr>
          <w:color w:val="1F4D78"/>
        </w:rPr>
        <w:t>Source Notes - Remove Before External Sharing</w:t>
      </w:r>
    </w:p>
    <w:p>
      <w:pPr>
        <w:pStyle w:val="ListBullet"/>
      </w:pPr>
      <w:r>
        <w:rPr>
          <w:rFonts w:ascii="Calibri" w:hAnsi="Calibri"/>
          <w:color w:val="000000"/>
          <w:sz w:val="21"/>
        </w:rPr>
        <w:t xml:space="preserve">Glean was requested but unavailable in this session because </w:t>
      </w:r>
      <w:r>
        <w:rPr>
          <w:rFonts w:ascii="Consolas" w:hAnsi="Consolas"/>
          <w:color w:val="000000"/>
          <w:sz w:val="20"/>
        </w:rPr>
        <w:t>GLEAN_COOKIE</w:t>
      </w:r>
      <w:r>
        <w:rPr>
          <w:rFonts w:ascii="Calibri" w:hAnsi="Calibri"/>
          <w:color w:val="000000"/>
          <w:sz w:val="21"/>
        </w:rPr>
        <w:t xml:space="preserve"> was not set and local browser cookie extraction was blocked by the app security policy. This draft is therefore grounded in Outlook, Slack, and local evidence instead of live Glean results.</w:t>
      </w:r>
    </w:p>
    <w:p>
      <w:pPr>
        <w:pStyle w:val="ListBullet"/>
      </w:pPr>
      <w:r>
        <w:rPr>
          <w:rFonts w:ascii="Calibri" w:hAnsi="Calibri"/>
          <w:color w:val="000000"/>
          <w:sz w:val="21"/>
        </w:rPr>
        <w:t>Outlook sources included: "Clara Holoscan Deployment LHA Top 5 WK 51" from December 17, 2021; "Holoscan SDK v0.4 Release is LIVE on GitHub &amp; NGC" from December 2022; "Holoscan Cloud Native v23.12 (v0.12.0) Release" from December 20, 2023; "Final Report on GenMol (f-MoDiff) NIM 12/23/2024: Successfully Deployed"; 2025 PagerDuty notifications naming "NIM Factory Service (Level 2 - NIM Factory Manager)"; "Top 5 Things - NIM Factory 4 - 2026/08/09"; "NIM MVSB OSRB/Legal Execution Status - 8/16/2026"; "Agent-Driven NIM Delivery: M2 Recap and M3 Direction"; and the August 2026 NIM Factory Pipelines platform-version transition confirmation request.</w:t>
      </w:r>
    </w:p>
    <w:p>
      <w:pPr>
        <w:pStyle w:val="ListBullet"/>
      </w:pPr>
      <w:r>
        <w:rPr>
          <w:rFonts w:ascii="Calibri" w:hAnsi="Calibri"/>
          <w:color w:val="000000"/>
          <w:sz w:val="21"/>
        </w:rPr>
        <w:t>Slack evidence from the last six months included NIMCraft/NIM delivery coordination, SWQA handoff work, per-model benchmark configuration work, release validation discussion, and NIM Factory/NIMCraft issue ownership.</w:t>
      </w:r>
    </w:p>
    <w:p>
      <w:pPr>
        <w:pStyle w:val="ListBullet"/>
      </w:pPr>
      <w:r>
        <w:rPr>
          <w:rFonts w:ascii="Calibri" w:hAnsi="Calibri"/>
          <w:color w:val="000000"/>
          <w:sz w:val="21"/>
        </w:rPr>
        <w:t>Exact HR-effective dates for title changes should be verified in Workday or an NVIDIA HR source. The resume uses evidence-backed project periods and conservative phrasing where the exact role start date was not directly visible in email.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7"/>
      </w:rPr>
    </w:r>
    <w:r>
      <w:rPr>
        <w:rFonts w:ascii="Calibri" w:hAnsi="Calibri"/>
        <w:color w:val="555555"/>
        <w:sz w:val="17"/>
      </w:rPr>
      <w:t xml:space="preserve">Page </w:t>
    </w:r>
    <w:r>
      <w:rPr>
        <w:rFonts w:ascii="Calibri" w:hAnsi="Calibri"/>
        <w:color w:val="55555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55555"/>
        <w:sz w:val="17"/>
      </w:rPr>
      <w:t>NVIDIA Internal Resume | Sidney Bryson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Sidney Bryson NVIDIA Internal Resume</dc:title>
  <dc:subject>NVIDIA internal resume</dc:subject>
  <dc:creator>Sidney Bryson</dc:creator>
  <cp:keywords/>
  <dc:description>generated by python-docx</dc:description>
  <cp:lastModifiedBy/>
  <cp:revision>1</cp:revision>
  <dcterms:created xsi:type="dcterms:W3CDTF">2013-12-23T23:15:00Z</dcterms:created>
  <dcterms:modified xsi:type="dcterms:W3CDTF">2013-12-23T23:15:00Z</dcterms:modified>
  <cp:category/>
</cp:coreProperties>
</file>