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ЮРИДИЧЕСКАЯ ПАМЯТКА HR-СПЕЦИАЛИСТА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6"/>
        </w:rPr>
        <w:t>Оформление сдельной оплаты, испытательный срок, медосмотры, ученический договор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Актуально на 2026 год</w:t>
      </w:r>
    </w:p>
    <w:p>
      <w:r>
        <w:br w:type="page"/>
      </w:r>
    </w:p>
    <w:p>
      <w:pPr>
        <w:spacing w:after="200"/>
      </w:pPr>
      <w:r>
        <w:rPr>
          <w:b w:val="0"/>
          <w:i/>
          <w:sz w:val="24"/>
        </w:rPr>
        <w:t>Настоящая памятка не заменяет консультацию юриста компании, но дает быструю точку опоры при оформлении рабочих специальностей на сдельную оплату труда, а также при разговоре с кандидатами о гарантиях, которые дает Трудовой кодекс. Все нормы приведены по состоянию на 2026 год.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МРОТ и минимальная зарплата в Ростовской области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6236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3685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Значение с 1 января 2026 года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>
              <w:rPr>
                <w:sz w:val="22"/>
              </w:rPr>
              <w:t>Федеральный МРОТ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27 093 рубля в месяц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>
              <w:rPr>
                <w:sz w:val="22"/>
              </w:rPr>
              <w:t>Минимальная зарплата в Ростовской области по региональному трехстороннему соглашению (для внебюджетного сектора, кроме организаций, оказывающих охранные услуги)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не ниже 1,2 МРОТ, то есть не менее 32 511,6 рубля в месяц</w:t>
            </w:r>
          </w:p>
        </w:tc>
      </w:tr>
    </w:tbl>
    <w:p>
      <w:pPr>
        <w:spacing w:after="80"/>
      </w:pPr>
      <w:r>
        <w:rPr>
          <w:b w:val="0"/>
          <w:i w:val="0"/>
          <w:sz w:val="24"/>
        </w:rPr>
      </w:r>
    </w:p>
    <w:p>
      <w:pPr>
        <w:spacing w:after="160"/>
      </w:pPr>
      <w:r>
        <w:rPr>
          <w:b w:val="0"/>
          <w:i/>
          <w:sz w:val="22"/>
        </w:rPr>
        <w:t>Основание: Ростовское трехстороннее (региональное) соглашение между Правительством Ростовской области, Федерацией профсоюзов Ростовской области и Союзом работодателей Ростовской области на 2026-2028 годы.</w:t>
      </w:r>
    </w:p>
    <w:p>
      <w:pPr>
        <w:spacing w:after="120"/>
      </w:pPr>
      <w:r>
        <w:rPr>
          <w:b w:val="0"/>
          <w:i w:val="0"/>
          <w:sz w:val="24"/>
        </w:rPr>
        <w:t>Важное правило (статья 133 ТК РФ): если работник полностью отработал норму рабочего времени за месяц и выполнил нормы труда (трудовые обязанности), его месячная заработная плата не может быть ниже установленного МРОТ (с учетом регионального значения для Ростовской области). Это правило распространяется и на сдельщиков: если человек отработал полный месяц и выполнил нормы, но по расчету сдельной оплаты сумма получилась меньше 32 511,6 рубля, работодатель обязан доплатить разницу до этого уровня.</w:t>
      </w:r>
    </w:p>
    <w:p>
      <w:pPr>
        <w:spacing w:after="120"/>
      </w:pPr>
      <w:r>
        <w:rPr>
          <w:b w:val="0"/>
          <w:i w:val="0"/>
          <w:sz w:val="24"/>
        </w:rPr>
        <w:t>Если норма труда не выполнена по вине работника (например прогулял, работал медленнее нормы по собственной небрежности) — гарантия МРОТ не действует в полном объеме, оплата производится по фактической выработке (статья 155 ТК РФ, подробнее в разделе 3).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Как прописать сдельную оплату в трудовом договоре</w:t>
      </w:r>
    </w:p>
    <w:p>
      <w:pPr>
        <w:spacing w:after="160"/>
      </w:pPr>
      <w:r>
        <w:rPr>
          <w:b w:val="0"/>
          <w:i w:val="0"/>
          <w:sz w:val="24"/>
        </w:rPr>
        <w:t>Согласно статье 57 ТК РФ, условия оплаты труда являются обязательным условием трудового договора. При сдельной системе рекомендуется следующая структура раздела "Оплата труда":</w:t>
      </w:r>
    </w:p>
    <w:p>
      <w:pPr>
        <w:pStyle w:val="ListNumber"/>
        <w:spacing w:after="60"/>
        <w:ind w:left="340"/>
      </w:pPr>
      <w:r>
        <w:rPr>
          <w:sz w:val="24"/>
        </w:rPr>
        <w:t>Указать вид оплаты труда: "сдельная" (или "сдельно-премиальная", если предусмотрены премии)</w:t>
      </w:r>
    </w:p>
    <w:p>
      <w:pPr>
        <w:pStyle w:val="ListNumber"/>
        <w:spacing w:after="60"/>
        <w:ind w:left="340"/>
      </w:pPr>
      <w:r>
        <w:rPr>
          <w:sz w:val="24"/>
        </w:rPr>
        <w:t>Сделать ссылку на локальный нормативный акт, где закреплены конкретные расценки: "Сдельные расценки устанавливаются согласно Положению об оплате труда № ___ от ___"</w:t>
      </w:r>
    </w:p>
    <w:p>
      <w:pPr>
        <w:pStyle w:val="ListNumber"/>
        <w:spacing w:after="60"/>
        <w:ind w:left="340"/>
      </w:pPr>
      <w:r>
        <w:rPr>
          <w:sz w:val="24"/>
        </w:rPr>
        <w:t>Указать порядок и периодичность выплат: не реже двух раз в месяц (статья 136 ТК РФ), с указанием конкретных дат в правилах внутреннего трудового распорядка</w:t>
      </w:r>
    </w:p>
    <w:p>
      <w:pPr>
        <w:pStyle w:val="ListNumber"/>
        <w:spacing w:after="60"/>
        <w:ind w:left="340"/>
      </w:pPr>
      <w:r>
        <w:rPr>
          <w:sz w:val="24"/>
        </w:rPr>
        <w:t>Прописать гарантию: заработная плата за полностью отработанный месяц при выполнении норм труда — не ниже установленного МРОТ (с учетом регионального значения, раздел 1 настоящей памятки)</w:t>
      </w:r>
    </w:p>
    <w:p>
      <w:pPr>
        <w:spacing w:after="120"/>
      </w:pPr>
      <w:r>
        <w:rPr>
          <w:b w:val="0"/>
          <w:i w:val="0"/>
          <w:sz w:val="24"/>
        </w:rPr>
        <w:t>Системы оплаты труда, включая тарифные ставки, оклады, доплаты и надбавки компенсационного характера, а также системы премирования устанавливаются коллективными договорами, соглашениями, локальными нормативными актами в соответствии с трудовым законодательством (статья 135 ТК РФ). Это означает, что подробную таблицу расценок можно и нужно оформлять отдельным приказом или Положением об оплате труда, а не перегружать текст трудового договора.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Оплата труда в нестандартных ситуациях (важно для разговора с кандидатами)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Норма ТК РФ</w:t>
            </w:r>
          </w:p>
        </w:tc>
        <w:tc>
          <w:tcPr>
            <w:tcW w:type="dxa" w:w="4819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Порядок оплаты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Невыполнение норм труда по вине работодателя (нет материалов, простой оборудования)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Статья 155 ТК РФ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2"/>
              </w:rPr>
              <w:t>Не ниже средней заработной платы работника, рассчитанной пропорционально фактически отработанному времени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Невыполнение норм труда по причинам, не зависящим ни от работника, ни от работодателя (форс-мажор)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Статья 155 ТК РФ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2"/>
              </w:rPr>
              <w:t>Не менее 2/3 тарифной ставки (оклада), рассчитанных пропорционально отработанному времени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Невыполнение норм труда по вине работника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Статья 155 ТК РФ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2"/>
              </w:rPr>
              <w:t>Оплата по фактически выполненному объему работы, без дополнительных гарантий сверх этого объема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Сверхурочная работа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Статья 152 ТК РФ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2"/>
              </w:rPr>
              <w:t>Первые 2 часа — не менее чем в полуторном размере, далее — не менее чем в двойном размере (или отгул по желанию работника)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Работа в выходной или нерабочий праздничный день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Статья 153 ТК РФ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2"/>
              </w:rPr>
              <w:t>Не менее чем в двойном размере (либо одинарная оплата плюс отгул по желанию работника)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Совмещение профессий, расширение зон обслуживания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Статья 151 ТК РФ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2"/>
              </w:rPr>
              <w:t>Доплата, размер которой определяется соглашением сторон трудового договора</w:t>
            </w:r>
          </w:p>
        </w:tc>
      </w:tr>
    </w:tbl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80"/>
      </w:pPr>
      <w:r>
        <w:rPr>
          <w:b w:val="0"/>
          <w:i/>
          <w:sz w:val="24"/>
        </w:rPr>
        <w:t>Практический совет: пункт про статью 155 ТК РФ особенно полезен при обработке возражения кандидата "а если не будет материалов для работы, что тогда?" — можно честно ответить, что это регулируется законом и оплачивается отдельно, а не превращается в "день без зарплаты".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Испытательный срок</w:t>
      </w:r>
    </w:p>
    <w:p>
      <w:pPr>
        <w:pStyle w:val="ListBullet"/>
        <w:spacing w:after="60"/>
        <w:ind w:left="340"/>
      </w:pPr>
      <w:r>
        <w:rPr>
          <w:sz w:val="24"/>
        </w:rPr>
        <w:t>Максимальный срок испытания при приеме на работу — 3 месяца (статья 70 ТК РФ). Для рабочих специальностей на практике часто устанавливают 1-2 месяца, поскольку результаты сдельной работы видны быстро по объему выработки</w:t>
      </w:r>
    </w:p>
    <w:p>
      <w:pPr>
        <w:pStyle w:val="ListBullet"/>
        <w:spacing w:after="60"/>
        <w:ind w:left="340"/>
      </w:pPr>
      <w:r>
        <w:rPr>
          <w:sz w:val="24"/>
        </w:rPr>
        <w:t>Условие об испытании должно быть указано в трудовом договоре; если работник фактически допущен к работе без оформления условия об испытании, считается, что он принят без испытательного срока</w:t>
      </w:r>
    </w:p>
    <w:p>
      <w:pPr>
        <w:pStyle w:val="ListBullet"/>
        <w:spacing w:after="60"/>
        <w:ind w:left="340"/>
      </w:pPr>
      <w:r>
        <w:rPr>
          <w:sz w:val="24"/>
        </w:rPr>
        <w:t>В период испытания на сотрудника распространяются все положения трудового законодательства, включая оплату труда: снижать сдельную расценку или иным образом ухудшать оплату на испытательном сроке нельзя</w:t>
      </w:r>
    </w:p>
    <w:p>
      <w:pPr>
        <w:pStyle w:val="ListBullet"/>
        <w:spacing w:after="60"/>
        <w:ind w:left="340"/>
      </w:pPr>
      <w:r>
        <w:rPr>
          <w:sz w:val="24"/>
        </w:rPr>
        <w:t>При неудовлетворительном результате испытания работодатель обязан предупредить работника в письменной форме не позднее чем за 3 дня до увольнения, обязательно указав причины, послужившие основанием для признания работника не прошедшим испытание (статья 71 ТК РФ)</w:t>
      </w:r>
    </w:p>
    <w:p>
      <w:pPr>
        <w:pStyle w:val="ListBullet"/>
        <w:spacing w:after="60"/>
        <w:ind w:left="340"/>
      </w:pPr>
      <w:r>
        <w:rPr>
          <w:sz w:val="24"/>
        </w:rPr>
        <w:t>Работник также вправе уволиться по собственной инициативе в период испытания, предупредив работодателя в письменной форме за 3 дня (статья 71 ТК РФ)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Обязательные медицинские осмотры</w:t>
      </w:r>
    </w:p>
    <w:p>
      <w:pPr>
        <w:spacing w:after="120"/>
      </w:pPr>
      <w:r>
        <w:rPr>
          <w:b w:val="0"/>
          <w:i w:val="0"/>
          <w:sz w:val="24"/>
        </w:rPr>
        <w:t>Порядок проведения обязательных предварительных и периодических медицинских осмотров работников установлен приказом Министерства здравоохранения РФ от 28.01.2021 № 29н (действует, продолжает применяться в 2026 году). Перечень вредных и опасных производственных факторов и работ, при выполнении которых проводятся медосмотры, утвержден совместным приказом Минтруда России № 988н и Минздрава России № 1420н от 31.12.2020.</w:t>
      </w:r>
    </w:p>
    <w:p>
      <w:pPr>
        <w:pStyle w:val="ListBullet"/>
        <w:spacing w:after="60"/>
        <w:ind w:left="340"/>
      </w:pPr>
      <w:r>
        <w:rPr>
          <w:sz w:val="24"/>
        </w:rPr>
        <w:t>Предварительный медицинский осмотр проводится до заключения трудового договора, за счет средств работодателя (статья 213 ТК РФ)</w:t>
      </w:r>
    </w:p>
    <w:p>
      <w:pPr>
        <w:pStyle w:val="ListBullet"/>
        <w:spacing w:after="60"/>
        <w:ind w:left="340"/>
      </w:pPr>
      <w:r>
        <w:rPr>
          <w:sz w:val="24"/>
        </w:rPr>
        <w:t>Периодические медицинские осмотры проводятся с установленной периодичностью (как правило, ежегодно или раз в 2 года — конкретный перечень факторов и периодичность определяются по результатам специальной оценки условий труда на рабочих местах)</w:t>
      </w:r>
    </w:p>
    <w:p>
      <w:pPr>
        <w:pStyle w:val="ListBullet"/>
        <w:spacing w:after="60"/>
        <w:ind w:left="340"/>
      </w:pPr>
      <w:r>
        <w:rPr>
          <w:sz w:val="24"/>
        </w:rPr>
        <w:t>Направление на медосмотр выдает работодатель</w:t>
      </w:r>
    </w:p>
    <w:p>
      <w:pPr>
        <w:pStyle w:val="ListBullet"/>
        <w:spacing w:after="60"/>
        <w:ind w:left="340"/>
      </w:pPr>
      <w:r>
        <w:rPr>
          <w:sz w:val="24"/>
        </w:rPr>
        <w:t>С 1 сентября 2026 года медицинские книжки переводятся на электронный формат (приказ Минздрава России от 30.07.2025 № 457н); бумажные книжки, выданные ранее, действуют до заполнения всех страниц</w:t>
      </w:r>
    </w:p>
    <w:p>
      <w:pPr>
        <w:spacing w:after="80"/>
      </w:pPr>
      <w:r>
        <w:rPr>
          <w:b w:val="0"/>
          <w:i/>
          <w:sz w:val="24"/>
        </w:rPr>
        <w:t>Практический совет для кандидатов: медицинский осмотр за счет компании стоит подавать как конкурентное преимущество вакансии, а не как формальное препятствие — это прямая экономия времени и денег кандидата.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Ученический договор (если компания формализует обучение с нуля)</w:t>
      </w:r>
    </w:p>
    <w:p>
      <w:pPr>
        <w:spacing w:after="120"/>
      </w:pPr>
      <w:r>
        <w:rPr>
          <w:b w:val="0"/>
          <w:i w:val="0"/>
          <w:sz w:val="24"/>
        </w:rPr>
        <w:t>Глава 32 Трудового кодекса РФ (статьи 198-208) регулирует заключение ученических договоров. Это удобный инструмент, если компания хочет формально закрепить период обучения новичка перед выходом на полную сдельную ставку.</w:t>
      </w:r>
    </w:p>
    <w:p>
      <w:pPr>
        <w:pStyle w:val="ListBullet"/>
        <w:spacing w:after="60"/>
        <w:ind w:left="340"/>
      </w:pPr>
      <w:r>
        <w:rPr>
          <w:sz w:val="24"/>
        </w:rPr>
        <w:t>Ученический договор должен содержать: наименование сторон, конкретную квалификацию, приобретаемую учеником, обязанность работодателя обеспечить обучение, обязанность работника пройти обучение и отработать после этого определенный срок, срок ученичества, размер оплаты</w:t>
      </w:r>
    </w:p>
    <w:p>
      <w:pPr>
        <w:pStyle w:val="ListBullet"/>
        <w:spacing w:after="60"/>
        <w:ind w:left="340"/>
      </w:pPr>
      <w:r>
        <w:rPr>
          <w:sz w:val="24"/>
        </w:rPr>
        <w:t>В период ученичества работнику выплачивается стипендия, размер которой определяется ученическим договором в зависимости от получаемой квалификации, но не может быть ниже установленного федеральным законом МРОТ (статья 204 ТК РФ)</w:t>
      </w:r>
    </w:p>
    <w:p>
      <w:pPr>
        <w:pStyle w:val="ListBullet"/>
        <w:spacing w:after="60"/>
        <w:ind w:left="340"/>
      </w:pPr>
      <w:r>
        <w:rPr>
          <w:sz w:val="24"/>
        </w:rPr>
        <w:t>Работа, которую ученик выполняет на практических занятиях, оплачивается по установленным на предприятии расценкам</w:t>
      </w:r>
    </w:p>
    <w:p>
      <w:pPr>
        <w:pStyle w:val="ListBullet"/>
        <w:spacing w:after="60"/>
        <w:ind w:left="340"/>
      </w:pPr>
      <w:r>
        <w:rPr>
          <w:sz w:val="24"/>
        </w:rPr>
        <w:t>В период действия ученического договора работника нельзя привлекать к сверхурочной работе или направлять в командировки, не связанные с обучением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Персональные данные кандидатов</w:t>
      </w:r>
    </w:p>
    <w:p>
      <w:pPr>
        <w:spacing w:after="120"/>
      </w:pPr>
      <w:r>
        <w:rPr>
          <w:b w:val="0"/>
          <w:i w:val="0"/>
          <w:sz w:val="24"/>
        </w:rPr>
        <w:t>При сборе анкет, проведении собеседований и особенно при передаче данных кандидата в службу безопасности для проверки необходимо получать согласие субъекта персональных данных на их обработку в соответствии со статьей 9 Федерального закона от 27.07.2006 № 152-ФЗ "О персональных данных". Роскомнадзор разъяснял, что обработка персональных данных соискателя предполагает получение отдельного согласия на период рассмотрения кандидатуры и принятия решения о приеме на работу или отказе.</w:t>
      </w:r>
    </w:p>
    <w:p>
      <w:pPr>
        <w:pStyle w:val="ListBullet"/>
        <w:spacing w:after="60"/>
        <w:ind w:left="340"/>
      </w:pPr>
      <w:r>
        <w:rPr>
          <w:sz w:val="24"/>
        </w:rPr>
        <w:t>Рекомендуется включить форму согласия на обработку персональных данных в анкету кандидата (см. документ "Вопросники для собеседований")</w:t>
      </w:r>
    </w:p>
    <w:p>
      <w:pPr>
        <w:pStyle w:val="ListBullet"/>
        <w:spacing w:after="60"/>
        <w:ind w:left="340"/>
      </w:pPr>
      <w:r>
        <w:rPr>
          <w:sz w:val="24"/>
        </w:rPr>
        <w:t>Хранить анкеты и результаты собеседований отказанных кандидатов ограниченный период, определенный внутренней политикой компании по персональным данным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8. Дискриминация при приеме на работу — чего избегать</w:t>
      </w:r>
    </w:p>
    <w:p>
      <w:pPr>
        <w:spacing w:after="120"/>
      </w:pPr>
      <w:r>
        <w:rPr>
          <w:b w:val="0"/>
          <w:i w:val="0"/>
          <w:sz w:val="24"/>
        </w:rPr>
        <w:t>Статья 64 ТК РФ запрещает необоснованный отказ в заключении трудового договора. Запрещено прямое или косвенное ограничение прав либо установление преимуществ при приеме на работу в зависимости от пола, расы, национальности, языка, происхождения, имущественного, семейного, социального и должностного положения, возраста, места жительства, отношения к религии, убеждений, принадлежности к общественным объединениям и иных обстоятельств, не связанных с деловыми качествами работника.</w:t>
      </w:r>
    </w:p>
    <w:p>
      <w:pPr>
        <w:spacing w:after="120"/>
      </w:pPr>
      <w:r>
        <w:rPr>
          <w:b w:val="0"/>
          <w:i w:val="0"/>
          <w:sz w:val="24"/>
        </w:rPr>
        <w:t>Подробный список запрещенных вопросов на собеседовании приведен в документе "Вопросники для собеседований" (раздел 3). При отказе кандидату рекомендуется формулировать причину через объективные деловые качества (несоответствие требованиям вакансии, результаты собеседования), а не через личные характеристики, не связанные с работой.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