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sz w:val="28"/>
        </w:rPr>
        <w:t>ПРОТОКОЛ РАЗНОГЛАСИЙ</w:t>
      </w:r>
    </w:p>
    <w:p>
      <w:pPr>
        <w:spacing w:after="80" w:line="276" w:lineRule="auto"/>
        <w:jc w:val="center"/>
      </w:pPr>
      <w:r>
        <w:rPr>
          <w:rFonts w:ascii="Times New Roman" w:hAnsi="Times New Roman"/>
          <w:b/>
          <w:sz w:val="24"/>
        </w:rPr>
        <w:t>к Договору № 12-ОУТ на кадровый аутсорсинг</w:t>
      </w:r>
    </w:p>
    <w:p>
      <w:pPr>
        <w:spacing w:after="240" w:line="276" w:lineRule="auto"/>
        <w:jc w:val="center"/>
      </w:pPr>
      <w:r>
        <w:rPr>
          <w:rFonts w:ascii="Times New Roman" w:hAnsi="Times New Roman"/>
          <w:b w:val="0"/>
          <w:sz w:val="22"/>
        </w:rPr>
        <w:t>от «__» ____________ 2026 г. между ООО «МИР» (Заказчик) и Перепечай М.П. (Исполнитель)</w:t>
      </w:r>
    </w:p>
    <w:p>
      <w:pPr>
        <w:spacing w:after="200" w:line="276" w:lineRule="auto"/>
        <w:ind w:firstLine="425"/>
        <w:jc w:val="both"/>
      </w:pPr>
      <w:r>
        <w:rPr>
          <w:rFonts w:ascii="Times New Roman" w:hAnsi="Times New Roman"/>
          <w:b w:val="0"/>
          <w:sz w:val="22"/>
        </w:rPr>
        <w:t>г. Санкт-Петербург                                                                                                                                         «__» октября 2026 г.</w:t>
        <w:br/>
        <w:br/>
        <w:t>Настоящий Протокол разногласий составлен между Заказчиком — Обществом с ограниченной ответственностью «МИР» (ООО «МИР», ИНН 7806308764, ОГРН 1089847287595), в лице генерального директора Блашковского Евгения Георгиевича, действующего на основании Устава, с одной стороны, и Исполнителем — Перепечай Марией Петровной (ИНН 780204558499), применяющей специальный налоговый режим «Налог на профессиональный доход» (НПД), с другой стороны, совместно именуемыми «Стороны», о нижеследующем:</w:t>
        <w:br/>
        <w:br/>
        <w:t>В связи с вступлением в силу 01.10.2026 г. отдельных положений Федерального закона от 31.07.2025 г. № 289-ФЗ «Об отдельных вопросах регулирования платформенной экономики», а также с целью уточнения положений Договора и приведения его в соответствие с действующим законодательством, Стороны пришли к соглашению о внесении в Договор изменений и дополнений, изложенных в таблице ниже. При разрешении противоречий между текстом Договора и настоящим Протоколом Стороны руководствуются настоящим Протоколом. Все не затронутые настоящим Протоколом условия Договора № 12-ОУТ остаются в силе без изменений.</w:t>
      </w:r>
    </w:p>
    <w:tbl>
      <w:tblPr>
        <w:tblStyle w:val="TableGrid"/>
        <w:tblW w:type="auto" w:w="0"/>
        <w:tblLayout w:type="fixed"/>
        <w:tblLook w:firstColumn="1" w:firstRow="1" w:lastColumn="0" w:lastRow="0" w:noHBand="0" w:noVBand="1" w:val="04A0"/>
      </w:tblPr>
      <w:tblGrid>
        <w:gridCol w:w="3230"/>
        <w:gridCol w:w="3230"/>
        <w:gridCol w:w="3230"/>
      </w:tblGrid>
      <w:tr>
        <w:tc>
          <w:tcPr>
            <w:tcW w:type="dxa" w:w="2381"/>
            <w:vAlign w:val="top"/>
          </w:tcPr>
          <w:p>
            <w:pPr>
              <w:spacing w:after="40" w:line="264" w:lineRule="auto"/>
            </w:pPr>
            <w:r/>
            <w:r>
              <w:rPr>
                <w:rFonts w:ascii="Times New Roman" w:hAnsi="Times New Roman"/>
                <w:b/>
                <w:sz w:val="20"/>
              </w:rPr>
              <w:t>Раздел / пункт Договора</w:t>
            </w:r>
          </w:p>
        </w:tc>
        <w:tc>
          <w:tcPr>
            <w:tcW w:type="dxa" w:w="3118"/>
            <w:vAlign w:val="top"/>
          </w:tcPr>
          <w:p>
            <w:pPr>
              <w:spacing w:after="40" w:line="264" w:lineRule="auto"/>
            </w:pPr>
            <w:r/>
            <w:r>
              <w:rPr>
                <w:rFonts w:ascii="Times New Roman" w:hAnsi="Times New Roman"/>
                <w:b/>
                <w:sz w:val="20"/>
              </w:rPr>
              <w:t>Действующая редакция</w:t>
            </w:r>
          </w:p>
        </w:tc>
        <w:tc>
          <w:tcPr>
            <w:tcW w:type="dxa" w:w="4139"/>
            <w:vAlign w:val="top"/>
          </w:tcPr>
          <w:p>
            <w:pPr>
              <w:spacing w:after="40" w:line="264" w:lineRule="auto"/>
            </w:pPr>
            <w:r/>
            <w:r>
              <w:rPr>
                <w:rFonts w:ascii="Times New Roman" w:hAnsi="Times New Roman"/>
                <w:b/>
                <w:sz w:val="20"/>
              </w:rPr>
              <w:t>Предлагаемая редакция (проект Исполнителя)</w:t>
            </w:r>
          </w:p>
        </w:tc>
      </w:tr>
      <w:tr>
        <w:tc>
          <w:tcPr>
            <w:tcW w:type="dxa" w:w="2381"/>
            <w:vAlign w:val="top"/>
          </w:tcPr>
          <w:p>
            <w:pPr>
              <w:spacing w:after="40" w:line="264" w:lineRule="auto"/>
            </w:pPr>
            <w:r/>
            <w:r>
              <w:rPr>
                <w:rFonts w:ascii="Times New Roman" w:hAnsi="Times New Roman"/>
                <w:sz w:val="18"/>
              </w:rPr>
              <w:t>Преамбула; добавить п.0.1 в Раздел 1</w:t>
            </w:r>
          </w:p>
        </w:tc>
        <w:tc>
          <w:tcPr>
            <w:tcW w:type="dxa" w:w="3118"/>
            <w:vAlign w:val="top"/>
          </w:tcPr>
          <w:p>
            <w:pPr>
              <w:spacing w:after="40" w:line="264" w:lineRule="auto"/>
            </w:pPr>
            <w:r/>
            <w:r>
              <w:rPr>
                <w:rFonts w:ascii="Times New Roman" w:hAnsi="Times New Roman"/>
                <w:sz w:val="18"/>
              </w:rPr>
              <w:t>(Отсутствует — статус Исполнителя отдельно не оговорён.)</w:t>
            </w:r>
          </w:p>
        </w:tc>
        <w:tc>
          <w:tcPr>
            <w:tcW w:type="dxa" w:w="4139"/>
            <w:vAlign w:val="top"/>
          </w:tcPr>
          <w:p>
            <w:pPr>
              <w:spacing w:after="40" w:line="264" w:lineRule="auto"/>
            </w:pPr>
            <w:r/>
            <w:r>
              <w:rPr>
                <w:rFonts w:ascii="Times New Roman" w:hAnsi="Times New Roman"/>
                <w:sz w:val="18"/>
              </w:rPr>
              <w:t>Добавить пункт: «0.1. Исполнитель является плательщиком налога на профессиональный доход (НПД), применяет специальный налоговый режим в соответствии с Федеральным законом от 27.11.2018 г. № 422-ФЗ, не является работником Заказчика, не подчиняется Правилам внутреннего трудового распорядка и иным локальным нормативным актам Заказчика, самостоятельно определяет режим, способы, средства и время оказания услуг, использует собственные оборудование, программное обеспечение и каналы связи, если иное отдельно не согласовано Сторонами в письменном виде. Услуги по настоящему Договору оказываются Исполнителем лично. Исполнитель вправе привлекать третьих лиц к оказанию отдельных видов услуг при условии сохранения ответственности за их качество и соблюдение режима конфиденциальности. На отношения Сторон не распространяются положения Трудового кодекса РФ; отношения регулируются главой 39 Гражданского кодекса РФ.»</w:t>
            </w:r>
          </w:p>
        </w:tc>
      </w:tr>
      <w:tr>
        <w:tc>
          <w:tcPr>
            <w:tcW w:type="dxa" w:w="2381"/>
            <w:vAlign w:val="top"/>
          </w:tcPr>
          <w:p>
            <w:pPr>
              <w:spacing w:after="40" w:line="264" w:lineRule="auto"/>
            </w:pPr>
            <w:r/>
            <w:r>
              <w:rPr>
                <w:rFonts w:ascii="Times New Roman" w:hAnsi="Times New Roman"/>
                <w:sz w:val="18"/>
              </w:rPr>
              <w:t>П.3.1 Раздела 3 «Порядок расчетов»</w:t>
            </w:r>
          </w:p>
        </w:tc>
        <w:tc>
          <w:tcPr>
            <w:tcW w:type="dxa" w:w="3118"/>
            <w:vAlign w:val="top"/>
          </w:tcPr>
          <w:p>
            <w:pPr>
              <w:spacing w:after="40" w:line="264" w:lineRule="auto"/>
            </w:pPr>
            <w:r/>
            <w:r>
              <w:rPr>
                <w:rFonts w:ascii="Times New Roman" w:hAnsi="Times New Roman"/>
                <w:sz w:val="18"/>
              </w:rPr>
              <w:t>«Вознаграждение Исполнителя составляет 25 000 (двадцать пять тысяч) рублей за каждый месяц оказания услуг. НДС не облагается в связи с применением НПД.»</w:t>
            </w:r>
          </w:p>
        </w:tc>
        <w:tc>
          <w:tcPr>
            <w:tcW w:type="dxa" w:w="4139"/>
            <w:vAlign w:val="top"/>
          </w:tcPr>
          <w:p>
            <w:pPr>
              <w:spacing w:after="40" w:line="264" w:lineRule="auto"/>
            </w:pPr>
            <w:r/>
            <w:r>
              <w:rPr>
                <w:rFonts w:ascii="Times New Roman" w:hAnsi="Times New Roman"/>
                <w:sz w:val="18"/>
              </w:rPr>
              <w:t>«Вознаграждение Исполнителя составляет 25 000 (двадцать пять тысяч) рублей за каждый полный месяц оказания услуг при численности обслуживаемых работников Заказчика не более 36 (тридцати шести) штатных работников и не более 3 (трёх) иностранных граждан. Вознаграждение не является окладом или тарифной ставкой и выплачивается за результат оказанных услуг, фиксируемый Актом сдачи-приёмки услуг. На сумму вознаграждения не начисляется НДС на основании ч. 3 ст. 145.1 Налогового кодекса РФ в связи с применением Исполнителем специального налогового режима «Налог на профессиональный доход». В случае увеличения численности штатных работников Заказчика сверх указанного предела, либо увеличения численности иностранных работников сверх указанного предела, размер вознаграждения подлежит пересмотру по дополнительному соглашению Сторон исходя из ставки 500 (пятьсот) рублей за каждого дополнительного штатного работника и 1 500 (одна тысяча пятьсот) рублей за каждого дополнительного иностранного работника в месяц.».</w:t>
            </w:r>
          </w:p>
        </w:tc>
      </w:tr>
      <w:tr>
        <w:tc>
          <w:tcPr>
            <w:tcW w:type="dxa" w:w="2381"/>
            <w:vAlign w:val="top"/>
          </w:tcPr>
          <w:p>
            <w:pPr>
              <w:spacing w:after="40" w:line="264" w:lineRule="auto"/>
            </w:pPr>
            <w:r/>
            <w:r>
              <w:rPr>
                <w:rFonts w:ascii="Times New Roman" w:hAnsi="Times New Roman"/>
                <w:sz w:val="18"/>
              </w:rPr>
              <w:t>П.3.2 Раздела 3</w:t>
            </w:r>
          </w:p>
        </w:tc>
        <w:tc>
          <w:tcPr>
            <w:tcW w:type="dxa" w:w="3118"/>
            <w:vAlign w:val="top"/>
          </w:tcPr>
          <w:p>
            <w:pPr>
              <w:spacing w:after="40" w:line="264" w:lineRule="auto"/>
            </w:pPr>
            <w:r/>
            <w:r>
              <w:rPr>
                <w:rFonts w:ascii="Times New Roman" w:hAnsi="Times New Roman"/>
                <w:sz w:val="18"/>
              </w:rPr>
              <w:t>«Оплата производится Заказчиком в размере 100% предоплаты не позднее 5 числа каждого текущего месяца.»</w:t>
            </w:r>
          </w:p>
        </w:tc>
        <w:tc>
          <w:tcPr>
            <w:tcW w:type="dxa" w:w="4139"/>
            <w:vAlign w:val="top"/>
          </w:tcPr>
          <w:p>
            <w:pPr>
              <w:spacing w:after="40" w:line="264" w:lineRule="auto"/>
            </w:pPr>
            <w:r/>
            <w:r>
              <w:rPr>
                <w:rFonts w:ascii="Times New Roman" w:hAnsi="Times New Roman"/>
                <w:sz w:val="18"/>
              </w:rPr>
              <w:t>«Оплата производится Заказчиком в размере 100% предоплаты не позднее 5 (пятого) числа каждого текущего месяца на банковский счёт Исполнителя, указанный в п. 9 Договора. При неоплате в установленный срок Исполнитель вправе не приступать к оказанию услуг и/или приостановить оказание услуг до поступления оплаты в полном объёме; срок оказания услуг при этом автоматически продлевается на период просрочки, и Исполнитель не несёт ответственности за связанное с этим увеличение сроков оказания услуг.».</w:t>
            </w:r>
          </w:p>
        </w:tc>
      </w:tr>
      <w:tr>
        <w:tc>
          <w:tcPr>
            <w:tcW w:type="dxa" w:w="2381"/>
            <w:vAlign w:val="top"/>
          </w:tcPr>
          <w:p>
            <w:pPr>
              <w:spacing w:after="40" w:line="264" w:lineRule="auto"/>
            </w:pPr>
            <w:r/>
            <w:r>
              <w:rPr>
                <w:rFonts w:ascii="Times New Roman" w:hAnsi="Times New Roman"/>
                <w:sz w:val="18"/>
              </w:rPr>
              <w:t>П.3.3 Раздела 3</w:t>
            </w:r>
          </w:p>
        </w:tc>
        <w:tc>
          <w:tcPr>
            <w:tcW w:type="dxa" w:w="3118"/>
            <w:vAlign w:val="top"/>
          </w:tcPr>
          <w:p>
            <w:pPr>
              <w:spacing w:after="40" w:line="264" w:lineRule="auto"/>
            </w:pPr>
            <w:r/>
            <w:r>
              <w:rPr>
                <w:rFonts w:ascii="Times New Roman" w:hAnsi="Times New Roman"/>
                <w:sz w:val="18"/>
              </w:rPr>
              <w:t>«Исполнитель предоставляет Заказчику чек самозанятого не позднее 9 числа месяца, следующего за месяцем получения оплаты.»</w:t>
            </w:r>
          </w:p>
        </w:tc>
        <w:tc>
          <w:tcPr>
            <w:tcW w:type="dxa" w:w="4139"/>
            <w:vAlign w:val="top"/>
          </w:tcPr>
          <w:p>
            <w:pPr>
              <w:spacing w:after="40" w:line="264" w:lineRule="auto"/>
            </w:pPr>
            <w:r/>
            <w:r>
              <w:rPr>
                <w:rFonts w:ascii="Times New Roman" w:hAnsi="Times New Roman"/>
                <w:sz w:val="18"/>
              </w:rPr>
              <w:t>«Исполнитель формирует и направляет Заказчику чек в порядке ст. 14 Федерального закона от 27.11.2018 г. № 422-ФЗ не позднее 3 (трёх) рабочих дней с даты поступления оплаты на банковский счёт Исполнителя. Чек направляется на адрес электронной почты Заказчика, указанный в реквизитах Договора.».</w:t>
            </w:r>
          </w:p>
        </w:tc>
      </w:tr>
      <w:tr>
        <w:tc>
          <w:tcPr>
            <w:tcW w:type="dxa" w:w="2381"/>
            <w:vAlign w:val="top"/>
          </w:tcPr>
          <w:p>
            <w:pPr>
              <w:spacing w:after="40" w:line="264" w:lineRule="auto"/>
            </w:pPr>
            <w:r/>
            <w:r>
              <w:rPr>
                <w:rFonts w:ascii="Times New Roman" w:hAnsi="Times New Roman"/>
                <w:sz w:val="18"/>
              </w:rPr>
              <w:t>П.3.4 Раздела 3</w:t>
            </w:r>
          </w:p>
        </w:tc>
        <w:tc>
          <w:tcPr>
            <w:tcW w:type="dxa" w:w="3118"/>
            <w:vAlign w:val="top"/>
          </w:tcPr>
          <w:p>
            <w:pPr>
              <w:spacing w:after="40" w:line="264" w:lineRule="auto"/>
            </w:pPr>
            <w:r/>
            <w:r>
              <w:rPr>
                <w:rFonts w:ascii="Times New Roman" w:hAnsi="Times New Roman"/>
                <w:sz w:val="18"/>
              </w:rPr>
              <w:t>«: По истечении каждого календарного месяца Исполнитель не позднее 5 числа следующего месяца направляет Заказчику Акт оказанных услуг в 2 экземплярах...»</w:t>
            </w:r>
          </w:p>
        </w:tc>
        <w:tc>
          <w:tcPr>
            <w:tcW w:type="dxa" w:w="4139"/>
            <w:vAlign w:val="top"/>
          </w:tcPr>
          <w:p>
            <w:pPr>
              <w:spacing w:after="40" w:line="264" w:lineRule="auto"/>
            </w:pPr>
            <w:r/>
            <w:r>
              <w:rPr>
                <w:rFonts w:ascii="Times New Roman" w:hAnsi="Times New Roman"/>
                <w:sz w:val="18"/>
              </w:rPr>
              <w:t>«3.4. По истечении каждого календарного месяца Исполнитель не позднее 5 (пятого) числа следующего месяца направляет Заказчику Акт сдачи-приёмки оказанных услуг в 2 (двух) экземплярах. В Акте обязательно детализируется перечень оказанных за месяц услуг (в том числе: количество оформленных приёмов/увольнений/переводов, заполненных и отправленных отчётных форм в СФР, уведомлений в военные комиссариаты, консультационных обращений Заказчика и т.п.). Заказчик в течение 3 (трёх) рабочих дней с момента получения Акта подписывает его и возвращает Исполнителю один экземпляр, либо направляет мотивированный отказ на адрес электронной почты Исполнителя hr@[email-исполнителя].ru. Неполучение Исполнителем подписанного Акта или мотивированного отказа в указанный срок считается согласием Заказчика с объёмом, качеством и стоимостью услуг, а Акт считается подписанным в последний день срока для отказа. При наличии мотивированного отказа Стороны согласовывают перечень и сроки устранения замечаний.».</w:t>
            </w:r>
          </w:p>
        </w:tc>
      </w:tr>
      <w:tr>
        <w:tc>
          <w:tcPr>
            <w:tcW w:type="dxa" w:w="2381"/>
            <w:vAlign w:val="top"/>
          </w:tcPr>
          <w:p>
            <w:pPr>
              <w:spacing w:after="40" w:line="264" w:lineRule="auto"/>
            </w:pPr>
            <w:r/>
            <w:r>
              <w:rPr>
                <w:rFonts w:ascii="Times New Roman" w:hAnsi="Times New Roman"/>
                <w:sz w:val="18"/>
              </w:rPr>
              <w:t>П.4.2 Раздела 4 «Ответственность Сторон»</w:t>
            </w:r>
          </w:p>
        </w:tc>
        <w:tc>
          <w:tcPr>
            <w:tcW w:type="dxa" w:w="3118"/>
            <w:vAlign w:val="top"/>
          </w:tcPr>
          <w:p>
            <w:pPr>
              <w:spacing w:after="40" w:line="264" w:lineRule="auto"/>
            </w:pPr>
            <w:r/>
            <w:r>
              <w:rPr>
                <w:rFonts w:ascii="Times New Roman" w:hAnsi="Times New Roman"/>
                <w:sz w:val="18"/>
              </w:rPr>
              <w:t>«Исполнитель несет ответственность за нарушения законодательства РФ в сфере кадрового учета, допущенные по его вине и повлекшие применение к Заказчику санкций со стороны контролирующих органов, в размере суммы таких санкций, но не более 25 000 (двадцать пять тысяч) рублей за каждый случай нарушения. Исполнитель освобождается от ответственности в случае, если нарушение было допущено в результате действий Заказчика, совершенных до даты заключения Договора, либо в случае нарушения Заказчиком сроков предоставления необходимых сведений и документов.»</w:t>
            </w:r>
          </w:p>
        </w:tc>
        <w:tc>
          <w:tcPr>
            <w:tcW w:type="dxa" w:w="4139"/>
            <w:vAlign w:val="top"/>
          </w:tcPr>
          <w:p>
            <w:pPr>
              <w:spacing w:after="40" w:line="264" w:lineRule="auto"/>
            </w:pPr>
            <w:r/>
            <w:r>
              <w:rPr>
                <w:rFonts w:ascii="Times New Roman" w:hAnsi="Times New Roman"/>
                <w:sz w:val="18"/>
              </w:rPr>
              <w:t>«Исполнитель несёт ответственность за нарушения законодательства РФ в сфере кадрового учёта, допущенные исключительно по его вине в результате грубой неосторожности или умысла и повлёкшие применение к Заказчику санкций со стороны контролирующих органов, при условии что Заказчик своевременно (не позднее 3 рабочих дней с момента получения запроса или предписания, но в любом случае не менее чем за 5 рабочих дней до установленного законодательством срока совершения соответствующего действия) предоставил Исполнителю полные и достоверные сведения и документы, надлежащим образом оформил доверенности (при необходимости) и исполнил все данные Исполнителем в письменном виде рекомендации. Исполнитель освобождается от ответственности в случае, если нарушение (в том числе приведшее к санкциям) вызвано: (а) действиями/бездействием Заказчика или его работников до или после даты заключения Договора; (б) нарушением Заказчиком сроков предоставления сведений и документов либо предоставлением Заказчиком неполных, недостоверных или поддельных документов/сведений; (в) неисполнением Заказчиком рекомендаций Исполнителя, данных в письменном виде (в том числе по электронной почте, через мессенджеры Telegram/WhatsApp на номера контактных лиц, а также в виде письменных заключений и служебных записок); (г) самостоятельным принятием Заказчиком кадровых решений или подписанием документов без согласования с Исполнителем; (д) деяниями (в том числе умышленными) контактных лиц и иных работников Заказчика; (е) сбоями в работе информационных систем государственных органов, недоступностью порталов Госуслуг, СФР, ФНС, военных комиссариатов и иными обстоятельствами непреодолимой силы (форс-мажором); (ж) пропуском Заказчиком сроков, установленных законодательством для подписания и отправки подготовленных Исполнителем документов.».</w:t>
            </w:r>
          </w:p>
        </w:tc>
      </w:tr>
      <w:tr>
        <w:tc>
          <w:tcPr>
            <w:tcW w:type="dxa" w:w="2381"/>
            <w:vAlign w:val="top"/>
          </w:tcPr>
          <w:p>
            <w:pPr>
              <w:spacing w:after="40" w:line="264" w:lineRule="auto"/>
            </w:pPr>
            <w:r/>
            <w:r>
              <w:rPr>
                <w:rFonts w:ascii="Times New Roman" w:hAnsi="Times New Roman"/>
                <w:sz w:val="18"/>
              </w:rPr>
              <w:t>П.4.4 Раздела 4</w:t>
            </w:r>
          </w:p>
        </w:tc>
        <w:tc>
          <w:tcPr>
            <w:tcW w:type="dxa" w:w="3118"/>
            <w:vAlign w:val="top"/>
          </w:tcPr>
          <w:p>
            <w:pPr>
              <w:spacing w:after="40" w:line="264" w:lineRule="auto"/>
            </w:pPr>
            <w:r/>
            <w:r>
              <w:rPr>
                <w:rFonts w:ascii="Times New Roman" w:hAnsi="Times New Roman"/>
                <w:sz w:val="18"/>
              </w:rPr>
              <w:t>«Общий размер ответственности Исполнителя по настоящему Договору ограничивается суммой в размере 25 000 (двадцать пять тысяч) рублей и не включает упущенную выгоду Заказчика.»</w:t>
            </w:r>
          </w:p>
        </w:tc>
        <w:tc>
          <w:tcPr>
            <w:tcW w:type="dxa" w:w="4139"/>
            <w:vAlign w:val="top"/>
          </w:tcPr>
          <w:p>
            <w:pPr>
              <w:spacing w:after="40" w:line="264" w:lineRule="auto"/>
            </w:pPr>
            <w:r/>
            <w:r>
              <w:rPr>
                <w:rFonts w:ascii="Times New Roman" w:hAnsi="Times New Roman"/>
                <w:sz w:val="18"/>
              </w:rPr>
              <w:t>«Общий размер ответственности Исполнителя по настоящему Договору за каждый календарный месяц оказания услуг ограничивается суммой вознаграждения Исполнителя за соответствующий месяц (25 000 (двадцать пять тысяч) рублей) и не включает упущенную выгоду Заказчика, косвенные убытки и убытки, возникшие вследствие причин, указанных в п. 4.2 настоящего Договора. Претензии к Исполнителю по санкциям и иным убыткам могут быть предъявлены Заказчиком не позднее 12 (двенадцати) месяцев с даты подписания Акта оказанных услуг за соответствующий месяц; по истечении указанного срока претензии не принимаются и считаются отозванными. Заказчик не вправе в одностороннем порядке производить зачёт встречных требований против причитающегося Исполнителю вознаграждения без письменного согласия Исполнителя.».</w:t>
            </w:r>
          </w:p>
        </w:tc>
      </w:tr>
      <w:tr>
        <w:tc>
          <w:tcPr>
            <w:tcW w:type="dxa" w:w="2381"/>
            <w:vAlign w:val="top"/>
          </w:tcPr>
          <w:p>
            <w:pPr>
              <w:spacing w:after="40" w:line="264" w:lineRule="auto"/>
            </w:pPr>
            <w:r/>
            <w:r>
              <w:rPr>
                <w:rFonts w:ascii="Times New Roman" w:hAnsi="Times New Roman"/>
                <w:sz w:val="18"/>
              </w:rPr>
              <w:t>Раздел 5 «Срок действия и порядок расторжения»</w:t>
            </w:r>
          </w:p>
        </w:tc>
        <w:tc>
          <w:tcPr>
            <w:tcW w:type="dxa" w:w="3118"/>
            <w:vAlign w:val="top"/>
          </w:tcPr>
          <w:p>
            <w:pPr>
              <w:spacing w:after="40" w:line="264" w:lineRule="auto"/>
            </w:pPr>
            <w:r/>
            <w:r>
              <w:rPr>
                <w:rFonts w:ascii="Times New Roman" w:hAnsi="Times New Roman"/>
                <w:sz w:val="18"/>
              </w:rPr>
              <w:t>Внутри раздела пункты пронумерованы как 4.1 и 4.2 (совпадают с нумерацией Раздела 4).</w:t>
            </w:r>
          </w:p>
        </w:tc>
        <w:tc>
          <w:tcPr>
            <w:tcW w:type="dxa" w:w="4139"/>
            <w:vAlign w:val="top"/>
          </w:tcPr>
          <w:p>
            <w:pPr>
              <w:spacing w:after="40" w:line="264" w:lineRule="auto"/>
            </w:pPr>
            <w:r/>
            <w:r>
              <w:rPr>
                <w:rFonts w:ascii="Times New Roman" w:hAnsi="Times New Roman"/>
                <w:sz w:val="18"/>
              </w:rPr>
              <w:t>Перенумеровать пункты Раздела 5 как 5.1 и 5.2 соответственно. Содержание пунктов не меняется. Пункт 5.2 дополнить абзацем: «При расторжении Договора Стороны в течение 5 рабочих дней подписывают итоговый Акт оказанных услуг и Акт уничтожения/возврата персональных данных работников Заказчика, обработка которых осуществлялась Исполнителем в рамках Договора. По истечении указанного срока все документы, содержащие персональные данные, подлежат безвозвратному уничтожению Исполнителем, о чём составляется односторонний акт.».</w:t>
            </w:r>
          </w:p>
        </w:tc>
      </w:tr>
      <w:tr>
        <w:tc>
          <w:tcPr>
            <w:tcW w:type="dxa" w:w="2381"/>
            <w:vAlign w:val="top"/>
          </w:tcPr>
          <w:p>
            <w:pPr>
              <w:spacing w:after="40" w:line="264" w:lineRule="auto"/>
            </w:pPr>
            <w:r/>
            <w:r>
              <w:rPr>
                <w:rFonts w:ascii="Times New Roman" w:hAnsi="Times New Roman"/>
                <w:sz w:val="18"/>
              </w:rPr>
              <w:t>Дополнить Договор новым Разделом 5¹ «Конфиденциальность, персональные данные и результаты услуг» (нумерация последующих разделов сдвигается)</w:t>
            </w:r>
          </w:p>
        </w:tc>
        <w:tc>
          <w:tcPr>
            <w:tcW w:type="dxa" w:w="3118"/>
            <w:vAlign w:val="top"/>
          </w:tcPr>
          <w:p>
            <w:pPr>
              <w:spacing w:after="40" w:line="264" w:lineRule="auto"/>
            </w:pPr>
            <w:r/>
            <w:r>
              <w:rPr>
                <w:rFonts w:ascii="Times New Roman" w:hAnsi="Times New Roman"/>
                <w:sz w:val="18"/>
              </w:rPr>
              <w:t>(Отсутствует.)</w:t>
            </w:r>
          </w:p>
        </w:tc>
        <w:tc>
          <w:tcPr>
            <w:tcW w:type="dxa" w:w="4139"/>
            <w:vAlign w:val="top"/>
          </w:tcPr>
          <w:p>
            <w:pPr>
              <w:spacing w:after="40" w:line="264" w:lineRule="auto"/>
            </w:pPr>
            <w:r/>
            <w:r>
              <w:rPr>
                <w:rFonts w:ascii="Times New Roman" w:hAnsi="Times New Roman"/>
                <w:sz w:val="18"/>
              </w:rPr>
              <w:t>«5¹.1. Стороны обязуются не разглашать третьим лицам сведения, ставшие им известными в связи с исполнением Договора, составляющие коммерческую тайну, служебную и иную охраняемую законом тайну Сторон, за исключением случаев, предусмотренных законодательством РФ.</w:t>
              <w:br/>
              <w:t>5¹.2. Обработка персональных данных работников Заказчика осуществляется Исполнителем на основании Дополнительного соглашения к Договору о порядке обработки и защиты персональных данных (Приложение № 2 к Договору), являющегося его неотъемлемой частью. Исполнитель обрабатывает персональные данные исключительно по поручению Заказчика (оператора) в объёме, необходимом для оказания услуг по Договору.</w:t>
              <w:br/>
              <w:t>5¹.3. Все результаты услуг, подготовленные Исполнителем (приказы, трудовые договоры, дополнительные соглашения, отчётные формы СЗВ-ТД/ЕФС-1, уведомления в военные комиссариаты, карточки формы № 10, иные кадровые документы), являются служебными произведениями (ст. 1295 ГК РФ), исключительные права на которые переходят к Заказчику в момент подписания соответствующего Акта оказанных услуг. За Исполнителем сохраняются авторские права на разработанные им шаблоны, методики, формы документов, инструкции, ноу-хау и базы знаний, используемые для оказания услуг по Договору и иным договорам, и Заказчик не вправе требовать их передачи или копирования после прекращения Договора.».</w:t>
            </w:r>
          </w:p>
        </w:tc>
      </w:tr>
      <w:tr>
        <w:tc>
          <w:tcPr>
            <w:tcW w:type="dxa" w:w="2381"/>
            <w:vAlign w:val="top"/>
          </w:tcPr>
          <w:p>
            <w:pPr>
              <w:spacing w:after="40" w:line="264" w:lineRule="auto"/>
            </w:pPr>
            <w:r/>
            <w:r>
              <w:rPr>
                <w:rFonts w:ascii="Times New Roman" w:hAnsi="Times New Roman"/>
                <w:sz w:val="18"/>
              </w:rPr>
              <w:t>Дополнить Договор новым Разделом «Форс-мажор»</w:t>
            </w:r>
          </w:p>
        </w:tc>
        <w:tc>
          <w:tcPr>
            <w:tcW w:type="dxa" w:w="3118"/>
            <w:vAlign w:val="top"/>
          </w:tcPr>
          <w:p>
            <w:pPr>
              <w:spacing w:after="40" w:line="264" w:lineRule="auto"/>
            </w:pPr>
            <w:r/>
            <w:r>
              <w:rPr>
                <w:rFonts w:ascii="Times New Roman" w:hAnsi="Times New Roman"/>
                <w:sz w:val="18"/>
              </w:rPr>
              <w:t>(Отсутствует.)</w:t>
            </w:r>
          </w:p>
        </w:tc>
        <w:tc>
          <w:tcPr>
            <w:tcW w:type="dxa" w:w="4139"/>
            <w:vAlign w:val="top"/>
          </w:tcPr>
          <w:p>
            <w:pPr>
              <w:spacing w:after="40" w:line="264" w:lineRule="auto"/>
            </w:pPr>
            <w:r/>
            <w:r>
              <w:rPr>
                <w:rFonts w:ascii="Times New Roman" w:hAnsi="Times New Roman"/>
                <w:sz w:val="18"/>
              </w:rPr>
              <w:t>«Стороны освобождаются от ответственности за полное или частичное неисполнение обязательств по Договору, если такое неисполнение явилось следствием обстоятельств непреодолимой силы (форс-мажора), то есть чрезвычайных и непредотвратимых при данных условиях обстоятельств, в том числе: стихийных бедствий, военных действий, террористических актов, массовых беспорядков, вступления в силу нормативных актов, прямо запрещающих исполнение обязательств, сбоев и длительной недоступности (более 2 рабочих дней) государственных информационных систем (Госуслуги, СФР, ФНС, ЕГРН, военных комиссариатов, порталов МВД), сбоев в работе информационно-телекоммуникационных сетей общего пользования, произошедших не по вине Исполнителя. Сторона, для которой наступили обстоятельства форс-мажора, обязана уведомить другую Сторону в течение 5 рабочих дней с момента их наступления и прекращения с приложением подтверждающих документов. Срок исполнения обязательств автоматически продлевается на период действия обстоятельств форс-мажора.».</w:t>
            </w:r>
          </w:p>
        </w:tc>
      </w:tr>
      <w:tr>
        <w:tc>
          <w:tcPr>
            <w:tcW w:type="dxa" w:w="2381"/>
            <w:vAlign w:val="top"/>
          </w:tcPr>
          <w:p>
            <w:pPr>
              <w:spacing w:after="40" w:line="264" w:lineRule="auto"/>
            </w:pPr>
            <w:r/>
            <w:r>
              <w:rPr>
                <w:rFonts w:ascii="Times New Roman" w:hAnsi="Times New Roman"/>
                <w:sz w:val="18"/>
              </w:rPr>
              <w:t>П.1.3 Раздела 1 «Предмет Договора»</w:t>
            </w:r>
          </w:p>
        </w:tc>
        <w:tc>
          <w:tcPr>
            <w:tcW w:type="dxa" w:w="3118"/>
            <w:vAlign w:val="top"/>
          </w:tcPr>
          <w:p>
            <w:pPr>
              <w:spacing w:after="40" w:line="264" w:lineRule="auto"/>
            </w:pPr>
            <w:r/>
            <w:r>
              <w:rPr>
                <w:rFonts w:ascii="Times New Roman" w:hAnsi="Times New Roman"/>
                <w:sz w:val="18"/>
              </w:rPr>
              <w:t>«... ведение текущего воинского учета штатных работников (заполнение карточек по форме № 10, отправка текущих уведомлений в военкоматы о приеме/увольнении в установленный законом 5-дневный срок); ведение текущего миграционного учета в отношении до 3 иностранных граждан (контроль сроков действия патентов, полисов ДМС, своевременности оплаты чеков НДФЛ, текущая консультационная поддержка)»</w:t>
            </w:r>
          </w:p>
        </w:tc>
        <w:tc>
          <w:tcPr>
            <w:tcW w:type="dxa" w:w="4139"/>
            <w:vAlign w:val="top"/>
          </w:tcPr>
          <w:p>
            <w:pPr>
              <w:spacing w:after="40" w:line="264" w:lineRule="auto"/>
            </w:pPr>
            <w:r/>
            <w:r>
              <w:rPr>
                <w:rFonts w:ascii="Times New Roman" w:hAnsi="Times New Roman"/>
                <w:sz w:val="18"/>
              </w:rPr>
              <w:t>«...ведение текущего воинского учёта штатных работников (заполнение карточек по форме № 10, подготовка и направление Заказчику для подписания текущих уведомлений в военные комиссариаты о приёме/увольнении в сроки, установленные законодательством РФ); ведение текущего миграционного учёта в отношении до 3 иностранных граждан (контроль сроков действия патентов, полисов ДМС, своевременности уплаты НДФЛ по патентам на основании чеков, предоставляемых Заказчиком, текущая консультационная поддержка). При этом Исполнитель не несёт ответственности за пропуск Заказчиком сроков подписания и отправки в государственные органы подготовленных Исполнителем документов, а также за последствия, наступившие в связи с непредставлением или представлением Заказчиком с нарушением сроков (менее чем за 3 рабочих дня до наступления контрольного срока) документов и сведений, необходимых для совершения указанных действий.».</w:t>
            </w:r>
          </w:p>
        </w:tc>
      </w:tr>
      <w:tr>
        <w:tc>
          <w:tcPr>
            <w:tcW w:type="dxa" w:w="2381"/>
            <w:vAlign w:val="top"/>
          </w:tcPr>
          <w:p>
            <w:pPr>
              <w:spacing w:after="40" w:line="264" w:lineRule="auto"/>
            </w:pPr>
            <w:r/>
            <w:r>
              <w:rPr>
                <w:rFonts w:ascii="Times New Roman" w:hAnsi="Times New Roman"/>
                <w:sz w:val="18"/>
              </w:rPr>
              <w:t>П.9 «Реквизиты Сторон» (реквизиты Исполнителя)</w:t>
            </w:r>
          </w:p>
        </w:tc>
        <w:tc>
          <w:tcPr>
            <w:tcW w:type="dxa" w:w="3118"/>
            <w:vAlign w:val="top"/>
          </w:tcPr>
          <w:p>
            <w:pPr>
              <w:spacing w:after="40" w:line="264" w:lineRule="auto"/>
            </w:pPr>
            <w:r/>
            <w:r>
              <w:rPr>
                <w:rFonts w:ascii="Times New Roman" w:hAnsi="Times New Roman"/>
                <w:sz w:val="18"/>
              </w:rPr>
              <w:t>Банковский счёт указан без отдельного пункта о коммуникациях.</w:t>
            </w:r>
          </w:p>
        </w:tc>
        <w:tc>
          <w:tcPr>
            <w:tcW w:type="dxa" w:w="4139"/>
            <w:vAlign w:val="top"/>
          </w:tcPr>
          <w:p>
            <w:pPr>
              <w:spacing w:after="40" w:line="264" w:lineRule="auto"/>
            </w:pPr>
            <w:r/>
            <w:r>
              <w:rPr>
                <w:rFonts w:ascii="Times New Roman" w:hAnsi="Times New Roman"/>
                <w:sz w:val="18"/>
              </w:rPr>
              <w:t>Дополнить под реквизитами: «Стороны признают юридическую силу уведомлений, актов, счётов, претензий и иных документов, направленных по следующим каналам связи:</w:t>
              <w:br/>
              <w:t>— для уведомлений Исполнителем Заказчика: e-mail mir@company-mail.ru; Telegram/WhatsApp по номеру контактного лица Заказчика, указанному в п. 2.2 Договора;</w:t>
              <w:br/>
              <w:t>— для уведомлений Заказчиком Исполнителя: e-mail hr@[email-исполнителя].ru; Telegram/WhatsApp +7 (___) ___-__-__;</w:t>
              <w:br/>
              <w:t>Документы, направленные по указанным каналам, считаются полученными в день направления (при направлении до 18:00 рабочего дня) либо в следующий рабочий день.»</w:t>
            </w:r>
          </w:p>
        </w:tc>
      </w:tr>
    </w:tbl>
    <w:p>
      <w:pPr>
        <w:spacing w:after="120" w:line="276" w:lineRule="auto"/>
      </w:pPr>
      <w:r>
        <w:rPr>
          <w:rFonts w:ascii="Times New Roman" w:hAnsi="Times New Roman"/>
          <w:b w:val="0"/>
          <w:sz w:val="22"/>
        </w:rPr>
      </w:r>
    </w:p>
    <w:p>
      <w:pPr>
        <w:spacing w:after="360" w:line="276" w:lineRule="auto"/>
        <w:ind w:firstLine="425"/>
        <w:jc w:val="both"/>
      </w:pPr>
      <w:r>
        <w:rPr>
          <w:rFonts w:ascii="Times New Roman" w:hAnsi="Times New Roman"/>
          <w:b w:val="0"/>
          <w:sz w:val="22"/>
        </w:rPr>
        <w:t>Настоящий Протокол разногласий вступает в силу с момента его подписания Сторонами и является неотъемлемой частью Договора № 12-ОУТ от «__» ____________ 2026 г. Настоящий Протокол составлен в 2 (двух) экземплярах, имеющих равную юридическую силу, по одному для каждой из Сторон. С даты подписания настоящего Протокола все упоминания в Договоре об условиях, изменённых Протоколом, трактуются в редакции Протокола.</w:t>
      </w:r>
    </w:p>
    <w:tbl>
      <w:tblPr>
        <w:tblW w:type="auto" w:w="0"/>
        <w:tblLayout w:type="fixed"/>
        <w:tblLook w:firstColumn="1" w:firstRow="1" w:lastColumn="0" w:lastRow="0" w:noHBand="0" w:noVBand="1" w:val="04A0"/>
      </w:tblPr>
      <w:tblGrid>
        <w:gridCol w:w="4844"/>
        <w:gridCol w:w="4844"/>
      </w:tblGrid>
      <w:tr>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sz w:val="22"/>
              </w:rPr>
              <w:t>ЗАКАЗЧИК:</w:t>
            </w:r>
          </w:p>
        </w:tc>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sz w:val="22"/>
              </w:rPr>
              <w:t>ИСПОЛНИТЕЛЬ:</w:t>
            </w:r>
          </w:p>
        </w:tc>
      </w:tr>
      <w:tr>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val="0"/>
                <w:sz w:val="22"/>
              </w:rPr>
              <w:t>ООО «МИР»</w:t>
            </w:r>
          </w:p>
        </w:tc>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val="0"/>
                <w:sz w:val="22"/>
              </w:rPr>
              <w:t>Перепечай М.П.</w:t>
            </w:r>
          </w:p>
        </w:tc>
      </w:tr>
      <w:tr>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val="0"/>
                <w:sz w:val="22"/>
              </w:rPr>
              <w:t>Генеральный директор</w:t>
              <w:br/>
              <w:t>________________ / Блашковский Е.Г. /</w:t>
              <w:br/>
              <w:t>(подпись, Ф.И.О.)</w:t>
            </w:r>
          </w:p>
        </w:tc>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val="0"/>
                <w:sz w:val="22"/>
              </w:rPr>
              <w:t>________________ / Перепечай М.П. /</w:t>
              <w:br/>
              <w:t>(подпись, Ф.И.О.)</w:t>
            </w:r>
          </w:p>
        </w:tc>
      </w:tr>
      <w:tr>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val="0"/>
                <w:sz w:val="22"/>
              </w:rPr>
              <w:t>«__» ____________ 2026 г.</w:t>
            </w:r>
          </w:p>
        </w:tc>
        <w:tc>
          <w:tcPr>
            <w:tcW w:type="dxa" w:w="4819"/>
            <w:tcBorders>
              <w:top w:val="nil" w:sz="4" w:space="0" w:color="000000"/>
              <w:left w:val="nil" w:sz="4" w:space="0" w:color="000000"/>
              <w:bottom w:val="nil" w:sz="4" w:space="0" w:color="000000"/>
              <w:right w:val="nil" w:sz="4" w:space="0" w:color="000000"/>
            </w:tcBorders>
          </w:tcPr>
          <w:p>
            <w:pPr>
              <w:spacing w:after="80"/>
            </w:pPr>
            <w:r/>
            <w:r>
              <w:rPr>
                <w:rFonts w:ascii="Times New Roman" w:hAnsi="Times New Roman"/>
                <w:b w:val="0"/>
                <w:sz w:val="22"/>
              </w:rPr>
              <w:t>«__» ____________ 2026 г.</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