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ОБЩЕСТВО С ОГРАНИЧЕННОЙ ОТВЕТСТВЕННОСТЬЮ «МИР»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ОГРН 1156196053881 · ИНН 6166094734 · КПП 616601001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344093, г. Ростов-на-Дону, ул. Туполева, д. 16Е, оф. 4.13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Обособленное подразделение (склад): Ростовская обл., г. Аксай, ул. Пороховая Балка, д. 2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8"/>
        </w:rPr>
        <w:t>БЛОК 5. ПРОЧИЕ ОБЕСПЕЧИВАЮЩИЕ ДОКУМЕНТЫ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Состав блока: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1. Форма расчетного листка и приказ о ее утверждении.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2. Внутренний регламент обработки персональных данных работников (инструкция для специалиста по кадрам).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8"/>
        </w:rPr>
        <w:t>ДОКУМЕНТ 5.1. ФОРМА РАСЧЕТНОГО ЛИСТКА И ПРИКАЗ ОБ УТВЕРЖДЕНИИ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ОБЩЕСТВО С ОГРАНИЧЕННОЙ ОТВЕТСТВЕННОСТЬЮ «МИР»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ОГРН 1156196053881 · ИНН 6166094734 · КПП 616601001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344093, г. Ростов-на-Дону, ул. Туполева, д. 16Е, оф. 4.13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ПРИКАЗ № 9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«___» __________ 2026 г. № ______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г. Ростов-на-Дону</w:t>
      </w:r>
    </w:p>
    <w:p>
      <w:pPr>
        <w:keepNext/>
        <w:spacing w:before="160" w:after="120"/>
      </w:pPr>
      <w:r>
        <w:rPr>
          <w:rFonts w:ascii="Times New Roman" w:hAnsi="Times New Roman"/>
          <w:b/>
          <w:color w:val="000000"/>
          <w:sz w:val="24"/>
        </w:rPr>
        <w:t>Об утверждении формы расчетного листка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В соответствии со статьей 136 Трудового кодекса Российской Федерации, устанавливающей обязанность работодателя извещать в письменной форме каждого работника о составных частях заработной платы, размерах иных начисленных сумм, размерах и основаниях произведенных удержаний, а также об общей денежной сумме, подлежащей выплате, статьей 372 ТК РФ, Положением об оплате труда и премировании работников ООО «МИР» (редакция 2026 года),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ПРИКАЗЫВАЮ: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 xml:space="preserve">1. </w:t>
      </w:r>
      <w:r>
        <w:rPr>
          <w:rFonts w:ascii="Times New Roman" w:hAnsi="Times New Roman" w:eastAsia="Times New Roman"/>
          <w:b/>
        </w:rPr>
        <w:t>Утвердить</w:t>
      </w:r>
      <w:r>
        <w:rPr>
          <w:rFonts w:ascii="Times New Roman" w:hAnsi="Times New Roman" w:eastAsia="Times New Roman"/>
          <w:b w:val="0"/>
        </w:rPr>
        <w:t xml:space="preserve"> форму расчетного листка ООО «МИР» согласно приложению к настоящему приказу.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(Примечание: при наличии в Обществе выборного органа первичной профсоюзной организации либо иного представительного органа работников форма расчетного листка утверждается с учетом его мнения в порядке ст. 372 ТК РФ; реквизиты протокола указываются в грифе согласования. При отсутствии представительного органа форма утверждается работодателем единолично, что отражается в настоящем приказе.)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 xml:space="preserve">2. </w:t>
      </w:r>
      <w:r>
        <w:rPr>
          <w:rFonts w:ascii="Times New Roman" w:hAnsi="Times New Roman" w:eastAsia="Times New Roman"/>
          <w:b/>
        </w:rPr>
        <w:t>Установить</w:t>
      </w:r>
      <w:r>
        <w:rPr>
          <w:rFonts w:ascii="Times New Roman" w:hAnsi="Times New Roman" w:eastAsia="Times New Roman"/>
          <w:b w:val="0"/>
        </w:rPr>
        <w:t xml:space="preserve">, что расчетный листок выдается каждому работнику </w:t>
      </w:r>
      <w:r>
        <w:rPr>
          <w:rFonts w:ascii="Times New Roman" w:hAnsi="Times New Roman" w:eastAsia="Times New Roman"/>
          <w:b/>
        </w:rPr>
        <w:t>при выплате заработной платы за вторую половину месяца (окончательном расчете) - 10-го числа месяца, следующего за расчетным</w:t>
      </w:r>
      <w:r>
        <w:rPr>
          <w:rFonts w:ascii="Times New Roman" w:hAnsi="Times New Roman" w:eastAsia="Times New Roman"/>
          <w:b w:val="0"/>
        </w:rPr>
        <w:t>, а также при выплате отпускных, при увольнении и при выплате сумм по итогам учетного периода.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2.1. При выплате заработной платы за первую половину месяца (25-го числа) расчетный листок не выдается, поскольку окончательный размер заработной платы за месяц на указанную дату не определен; извещение работника о составных частях заработной платы производится в расчетном листке за месяц в целом (ст. 136 ТК РФ, письмо Минтруда России от 24.05.2018 № 14-1/ООГ-4375).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2.2. </w:t>
      </w:r>
      <w:r>
        <w:rPr>
          <w:rFonts w:ascii="Times New Roman" w:hAnsi="Times New Roman" w:eastAsia="Times New Roman"/>
          <w:b/>
        </w:rPr>
        <w:t>По письменному или устному требованию работника</w:t>
      </w:r>
      <w:r>
        <w:rPr>
          <w:rFonts w:ascii="Times New Roman" w:hAnsi="Times New Roman" w:eastAsia="Times New Roman"/>
          <w:b w:val="0"/>
        </w:rPr>
        <w:t xml:space="preserve"> расчетный листок (расчет выплаты за первую половину месяца с указанием отработанного времени и начисленных сумм) </w:t>
      </w:r>
      <w:r>
        <w:rPr>
          <w:rFonts w:ascii="Times New Roman" w:hAnsi="Times New Roman" w:eastAsia="Times New Roman"/>
          <w:b/>
        </w:rPr>
        <w:t>выдается ему и при выплате за первую половину месяца</w:t>
      </w:r>
      <w:r>
        <w:rPr>
          <w:rFonts w:ascii="Times New Roman" w:hAnsi="Times New Roman" w:eastAsia="Times New Roman"/>
          <w:b w:val="0"/>
        </w:rPr>
        <w:t xml:space="preserve"> - в день обращения, но не позднее следующего рабочего дня. Отказ в выдаче не допускается.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 xml:space="preserve">3. </w:t>
      </w:r>
      <w:r>
        <w:rPr>
          <w:rFonts w:ascii="Times New Roman" w:hAnsi="Times New Roman" w:eastAsia="Times New Roman"/>
          <w:b/>
        </w:rPr>
        <w:t>Установить способ выдачи расчетного листка: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3.1. На бумажном носителе - под роспись работника в ведомости выдачи расчетных листков либо путем вручения лично.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3.2. Допускается направление расчетного листка в электронной форме - на адрес корпоративной электронной почты работника либо путем размещения в личном кабинете информационной системы Общества, при условии обеспечения конфиденциальности и подтверждения факта направления. Способ направления в электронной форме применяется при наличии письменного согласия работника.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 xml:space="preserve">4. </w:t>
      </w:r>
      <w:r>
        <w:rPr>
          <w:rFonts w:ascii="Times New Roman" w:hAnsi="Times New Roman" w:eastAsia="Times New Roman"/>
          <w:b/>
        </w:rPr>
        <w:t>Главному бухгалтеру: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4.1. Обеспечить формирование расчетных листков по утвержденной форме с отражением всех составных частей заработной платы, компенсационных и стимулирующих выплат, удержаний и итоговой суммы к выплате.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4.2. Обеспечить отражение </w:t>
      </w:r>
      <w:r>
        <w:rPr>
          <w:rFonts w:ascii="Times New Roman" w:hAnsi="Times New Roman" w:eastAsia="Times New Roman"/>
          <w:b/>
        </w:rPr>
        <w:t>отдельными строками</w:t>
      </w:r>
      <w:r>
        <w:rPr>
          <w:rFonts w:ascii="Times New Roman" w:hAnsi="Times New Roman" w:eastAsia="Times New Roman"/>
          <w:b w:val="0"/>
        </w:rPr>
        <w:t xml:space="preserve">: оплаты сверхурочной работы (с указанием количества часов и учетного периода), оплаты работы в выходные и нерабочие праздничные дни, доплаты за работу в ночное время, премий с указанием периода и основания, </w:t>
      </w:r>
      <w:r>
        <w:rPr>
          <w:rFonts w:ascii="Times New Roman" w:hAnsi="Times New Roman" w:eastAsia="Times New Roman"/>
          <w:b/>
        </w:rPr>
        <w:t>возмещения расходов, связанных со служебными поездками (суточные, иные расходы) - обособленно от выплат, входящих в систему оплаты труда</w:t>
      </w:r>
      <w:r>
        <w:rPr>
          <w:rFonts w:ascii="Times New Roman" w:hAnsi="Times New Roman" w:eastAsia="Times New Roman"/>
          <w:b w:val="0"/>
        </w:rPr>
        <w:t>, а также сумм снижения премии с указанием основания и реквизитов приказа.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4.3. Обеспечить хранение ведомостей выдачи расчетных листков (подтверждений направления в электронной форме) не менее 5 лет.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 xml:space="preserve">5. </w:t>
      </w:r>
      <w:r>
        <w:rPr>
          <w:rFonts w:ascii="Times New Roman" w:hAnsi="Times New Roman" w:eastAsia="Times New Roman"/>
          <w:b/>
        </w:rPr>
        <w:t>Специалисту по кадрам</w:t>
      </w:r>
      <w:r>
        <w:rPr>
          <w:rFonts w:ascii="Times New Roman" w:hAnsi="Times New Roman" w:eastAsia="Times New Roman"/>
          <w:b w:val="0"/>
        </w:rPr>
        <w:t xml:space="preserve"> ознакомить работников с настоящим приказом и с формой расчетного листка под роспись.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6. Контроль за исполнением настоящего приказа возложить на главного бухгалтера.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Приложение:</w:t>
      </w:r>
      <w:r>
        <w:rPr>
          <w:rFonts w:ascii="Times New Roman" w:hAnsi="Times New Roman" w:eastAsia="Times New Roman"/>
          <w:b w:val="0"/>
        </w:rPr>
        <w:t xml:space="preserve"> Форма расчетного листка - на 1 л.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Генеральный директор ООО «МИР» _______________ / Блашковский Е.Г. /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ПРИЛОЖЕНИЕ К ПРИКАЗУ. ФОРМА РАСЧЕТНОГО ЛИСТКА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ООО «МИР»</w:t>
      </w:r>
      <w:r>
        <w:rPr>
          <w:rFonts w:ascii="Times New Roman" w:hAnsi="Times New Roman" w:eastAsia="Times New Roman"/>
          <w:b w:val="0"/>
        </w:rPr>
        <w:t xml:space="preserve"> (ИНН 6166094734, КПП 616601001)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РАСЧЕТНЫЙ ЛИСТОК за _____________ 20___ г.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</w:rPr>
              <w:t>Работник:</w:t>
            </w:r>
            <w:r>
              <w:rPr>
                <w:rFonts w:ascii="Times New Roman" w:hAnsi="Times New Roman" w:eastAsia="Times New Roman"/>
                <w:b w:val="0"/>
              </w:rPr>
              <w:t xml:space="preserve"> [ФИО]</w:t>
            </w:r>
          </w:p>
        </w:tc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</w:rPr>
              <w:t>Табельный номер:</w:t>
            </w:r>
            <w:r>
              <w:rPr>
                <w:rFonts w:ascii="Times New Roman" w:hAnsi="Times New Roman" w:eastAsia="Times New Roman"/>
                <w:b w:val="0"/>
              </w:rPr>
              <w:t xml:space="preserve"> [НОМЕР]</w:t>
            </w:r>
          </w:p>
        </w:tc>
      </w:tr>
      <w:tr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</w:rPr>
              <w:t>Должность (профессия):</w:t>
            </w:r>
            <w:r>
              <w:rPr>
                <w:rFonts w:ascii="Times New Roman" w:hAnsi="Times New Roman" w:eastAsia="Times New Roman"/>
                <w:b w:val="0"/>
              </w:rPr>
              <w:t xml:space="preserve"> [ДОЛЖНОСТЬ]</w:t>
            </w:r>
          </w:p>
        </w:tc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</w:rPr>
              <w:t>Подразделение:</w:t>
            </w:r>
            <w:r>
              <w:rPr>
                <w:rFonts w:ascii="Times New Roman" w:hAnsi="Times New Roman" w:eastAsia="Times New Roman"/>
                <w:b w:val="0"/>
              </w:rPr>
              <w:t xml:space="preserve"> [ПОДРАЗДЕЛЕНИЕ]</w:t>
            </w:r>
          </w:p>
        </w:tc>
      </w:tr>
      <w:tr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</w:rPr>
              <w:t>Оклад (тарифная ставка):</w:t>
            </w:r>
            <w:r>
              <w:rPr>
                <w:rFonts w:ascii="Times New Roman" w:hAnsi="Times New Roman" w:eastAsia="Times New Roman"/>
                <w:b w:val="0"/>
              </w:rPr>
              <w:t xml:space="preserve"> [СУММА] руб.</w:t>
            </w:r>
          </w:p>
        </w:tc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</w:rPr>
              <w:t>Режим работы / учет:</w:t>
            </w:r>
            <w:r>
              <w:rPr>
                <w:rFonts w:ascii="Times New Roman" w:hAnsi="Times New Roman" w:eastAsia="Times New Roman"/>
                <w:b w:val="0"/>
              </w:rPr>
              <w:t xml:space="preserve"> [Режим А / Б / В; поденный / суммированный учет]</w:t>
            </w:r>
          </w:p>
        </w:tc>
      </w:tr>
      <w:tr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</w:rPr>
              <w:t>Учетный период:</w:t>
            </w:r>
            <w:r>
              <w:rPr>
                <w:rFonts w:ascii="Times New Roman" w:hAnsi="Times New Roman" w:eastAsia="Times New Roman"/>
                <w:b w:val="0"/>
              </w:rPr>
              <w:t xml:space="preserve"> [год / квартал / месяц]</w:t>
            </w:r>
          </w:p>
        </w:tc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</w:rPr>
              <w:t>Норма времени за месяц:</w:t>
            </w:r>
            <w:r>
              <w:rPr>
                <w:rFonts w:ascii="Times New Roman" w:hAnsi="Times New Roman" w:eastAsia="Times New Roman"/>
                <w:b w:val="0"/>
              </w:rPr>
              <w:t xml:space="preserve"> [ЧАСОВ] ч</w:t>
            </w:r>
          </w:p>
        </w:tc>
      </w:tr>
      <w:tr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</w:rPr>
              <w:t>Отработано дней / часов:</w:t>
            </w:r>
            <w:r>
              <w:rPr>
                <w:rFonts w:ascii="Times New Roman" w:hAnsi="Times New Roman" w:eastAsia="Times New Roman"/>
                <w:b w:val="0"/>
              </w:rPr>
              <w:t xml:space="preserve"> [ДНЕЙ] / [ЧАСОВ]</w:t>
            </w:r>
          </w:p>
        </w:tc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</w:rPr>
              <w:t>Долг за предприятием на начало месяца:</w:t>
            </w:r>
            <w:r>
              <w:rPr>
                <w:rFonts w:ascii="Times New Roman" w:hAnsi="Times New Roman" w:eastAsia="Times New Roman"/>
                <w:b w:val="0"/>
              </w:rPr>
              <w:t xml:space="preserve"> [СУММА] руб.</w:t>
            </w:r>
          </w:p>
        </w:tc>
      </w:tr>
    </w:tbl>
    <w:p/>
    <w:p>
      <w:pPr>
        <w:keepNext/>
        <w:spacing w:before="160" w:after="120"/>
      </w:pPr>
      <w:r>
        <w:rPr>
          <w:rFonts w:ascii="Times New Roman" w:hAnsi="Times New Roman"/>
          <w:b/>
          <w:color w:val="000000"/>
          <w:sz w:val="24"/>
        </w:rPr>
        <w:t>1. НАЧИСЛЕНО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№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Вид начисления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Период (дни / часы)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Сумма, руб.</w:t>
            </w:r>
          </w:p>
        </w:tc>
      </w:tr>
      <w:tr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Оплата по окладу за фактически отработанное время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2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Доплата до МРОТ (минимальной заработной платы в Ростовской области)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3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Премия текущая (ежемесячная) по KPI за [ПЕРИОД], приказ от ___ № ___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4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Премия по итогам работы за год, приказ от ___ № ___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5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Оплата сверхурочной работы за учетный период [ПЕРИОД], всего часов: ____, в т.ч. в пределах 120 ч / свыше 120 ч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6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Оплата работы в выходные и нерабочие праздничные дни (даты: ____), приказ от ___ № ___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7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Доплата за работу в ночное время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8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Доплата за совмещение профессий (должностей), расширение зон обслуживания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9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Доплата за работу с вредными и (или) опасными условиями труда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10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Оплата ежегодного оплачиваемого отпуска (период: с ___ по ___)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11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Оплата времени простоя (не по вине работника)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12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Пособие по временной нетрудоспособности за счет работодателя (первые 3 дня)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13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Компенсация за нарушение срока выплаты (ст. 236 ТК РФ)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14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Иные начисления: [РАСШИФРОВКА]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</w:rPr>
              <w:t>ИТОГО НАЧИСЛЕНО (заработная плата)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</w:tbl>
    <w:p/>
    <w:p>
      <w:pPr>
        <w:keepNext/>
        <w:spacing w:before="160" w:after="120"/>
      </w:pPr>
      <w:r>
        <w:rPr>
          <w:rFonts w:ascii="Times New Roman" w:hAnsi="Times New Roman"/>
          <w:b/>
          <w:color w:val="000000"/>
          <w:sz w:val="24"/>
        </w:rPr>
        <w:t>2. ВЫПЛАТЫ, НЕ ВХОДЯЩИЕ В СИСТЕМУ ОПЛАТЫ ТРУДА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(не учитываются при исчислении среднего заработка, оплаты сверхурочной работы и работы в выходные дни, при сопоставлении с МРОТ)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№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Вид выплаты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Количество дней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Сумма, руб.</w:t>
            </w:r>
          </w:p>
        </w:tc>
      </w:tr>
      <w:tr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Суточные при разъездном характере работы (ст. 168.1 ТК РФ)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2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Возмещение иных расходов, связанных со служебными поездками (по авансовому отчету от ___ № ___)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3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Материальная помощь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</w:rPr>
              <w:t>ИТОГО выплат, не входящих в систему оплаты труда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</w:tbl>
    <w:p/>
    <w:p>
      <w:pPr>
        <w:keepNext/>
        <w:spacing w:before="160" w:after="120"/>
      </w:pPr>
      <w:r>
        <w:rPr>
          <w:rFonts w:ascii="Times New Roman" w:hAnsi="Times New Roman"/>
          <w:b/>
          <w:color w:val="000000"/>
          <w:sz w:val="24"/>
        </w:rPr>
        <w:t>3. УДЕРЖАНО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№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Вид удержания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Основание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Сумма, руб.</w:t>
            </w:r>
          </w:p>
        </w:tc>
      </w:tr>
      <w:tr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НДФЛ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гл. 23 НК РФ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2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Удержание по исполнительному документу от ___ № ___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ст. 138 ТК РФ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3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Возмещение неотработанного аванса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ст. 137 ТК РФ, согласие работника от ___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4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Возмещение материального ущерба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ст. 248 ТК РФ, распоряжение от ___ № ___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5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Иные удержания: [РАСШИФРОВКА]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</w:rPr>
              <w:t>ИТОГО УДЕРЖАНО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</w:tbl>
    <w:p/>
    <w:p>
      <w:pPr>
        <w:keepNext/>
        <w:spacing w:before="160" w:after="120"/>
      </w:pPr>
      <w:r>
        <w:rPr>
          <w:rFonts w:ascii="Times New Roman" w:hAnsi="Times New Roman"/>
          <w:b/>
          <w:color w:val="000000"/>
          <w:sz w:val="24"/>
        </w:rPr>
        <w:t>4. СПРАВОЧНО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Показатель</w:t>
            </w:r>
          </w:p>
        </w:tc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Значение</w:t>
            </w:r>
          </w:p>
        </w:tc>
      </w:tr>
      <w:tr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Снижение размера премии (при наличии): основание, приказ от ___ № ___</w:t>
            </w:r>
          </w:p>
        </w:tc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[СУММА] руб., что составляет ____ % месячной заработной платы (не более 20 %)</w:t>
            </w:r>
          </w:p>
        </w:tc>
      </w:tr>
      <w:tr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Сверхурочные часы нарастающим итогом с начала календарного года</w:t>
            </w:r>
          </w:p>
        </w:tc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____ ч (предел - 120 ч/год)</w:t>
            </w:r>
          </w:p>
        </w:tc>
      </w:tr>
      <w:tr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Отработано часов с начала учетного периода / норма за учетный период</w:t>
            </w:r>
          </w:p>
        </w:tc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____ ч / ____ ч</w:t>
            </w:r>
          </w:p>
        </w:tc>
      </w:tr>
      <w:tr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Остаток дней отдыха за работу в выходные (нерабочие праздничные) дни</w:t>
            </w:r>
          </w:p>
        </w:tc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____ дн.</w:t>
            </w:r>
          </w:p>
        </w:tc>
      </w:tr>
      <w:tr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Остаток дней ежегодного оплачиваемого отпуска</w:t>
            </w:r>
          </w:p>
        </w:tc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____ дн.</w:t>
            </w:r>
          </w:p>
        </w:tc>
      </w:tr>
    </w:tbl>
    <w:p/>
    <w:p>
      <w:pPr>
        <w:keepNext/>
        <w:spacing w:before="160" w:after="120"/>
      </w:pPr>
      <w:r>
        <w:rPr>
          <w:rFonts w:ascii="Times New Roman" w:hAnsi="Times New Roman"/>
          <w:b/>
          <w:color w:val="000000"/>
          <w:sz w:val="24"/>
        </w:rPr>
        <w:t>5. К ВЫПЛАТЕ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Показатель</w:t>
            </w:r>
          </w:p>
        </w:tc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Сумма, руб.</w:t>
            </w:r>
          </w:p>
        </w:tc>
      </w:tr>
      <w:tr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Выплачено за первую половину месяца (25-го числа)</w:t>
            </w:r>
          </w:p>
        </w:tc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</w:rPr>
              <w:t>ИТОГО К ВЫПЛАТЕ (окончательный расчет 10-го числа)</w:t>
            </w:r>
          </w:p>
        </w:tc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Долг за предприятием на конец месяца</w:t>
            </w:r>
          </w:p>
        </w:tc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</w:tbl>
    <w:p/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Расчетный листок сформирован «___» __________ 20___ г.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Главный бухгалтер _____________ / [ФИО] /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Расчетный листок получил(а): _____________ / ______________ / «___» _______ 20___ г.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8"/>
        </w:rPr>
        <w:t>ДОКУМЕНТ 5.2. ВНУТРЕННИЙ РЕГЛАМЕНТ ОБРАБОТКИ ПЕРСОНАЛЬНЫХ ДАННЫХ РАБОТНИКОВ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</w:rPr>
              <w:t>УТВЕРЖДАЮ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Генеральный директор ООО «МИР»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_________________ / Блашковский Е.Г. /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«___» __________ 2026 г.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Приказ от «___» _______ 2026 г. № ___</w:t>
            </w:r>
          </w:p>
        </w:tc>
      </w:tr>
    </w:tbl>
    <w:p/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ВНУТРЕННИЙ РЕГЛАМЕНТ</w:t>
      </w:r>
    </w:p>
    <w:p>
      <w:pPr>
        <w:keepNext/>
        <w:spacing w:before="160" w:after="120"/>
      </w:pPr>
      <w:r>
        <w:rPr>
          <w:rFonts w:ascii="Times New Roman" w:hAnsi="Times New Roman"/>
          <w:b/>
          <w:color w:val="000000"/>
          <w:sz w:val="24"/>
        </w:rPr>
        <w:t>обработки персональных данных работников ООО «МИР»</w:t>
      </w:r>
    </w:p>
    <w:p>
      <w:pPr>
        <w:keepNext/>
        <w:spacing w:before="160" w:after="120"/>
      </w:pPr>
      <w:r>
        <w:rPr>
          <w:rFonts w:ascii="Times New Roman" w:hAnsi="Times New Roman"/>
          <w:b/>
          <w:color w:val="000000"/>
          <w:sz w:val="24"/>
        </w:rPr>
        <w:t>(рабочая инструкция для специалиста по кадрам и руководителей подразделений)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г. Ростов-на-Дону, 2026 год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1. НАЗНАЧЕНИЕ И ОБЛАСТЬ ПРИМЕНЕНИЯ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1.1. Настоящий Регламент является внутренним рабочим документом, детализирующим порядок исполнения Политики обработки персональных данных ООО «МИР» (редакция 2026 года) в части практических действий специалиста по кадрам, главного бухгалтера и руководителей подразделений.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1.2. Регламент разработан в соответствии с главой 14 Трудового кодекса РФ (ст. 85-90), Федеральным законом от 27.07.2006 № 152-ФЗ «О персональных данных», постановлением Правительства РФ от 15.09.2008 № 687, приказом Роскомнадзора от 24.02.2021 № 18.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1.3. Регламент обязателен для лиц, включенных в Перечень должностей, допущенных к обработке персональных данных (утвержден приказом Генерального директора на Этапе 2).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1.4. При расхождении настоящего Регламента с Политикой обработки персональных данных применяется Политика.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2. ФОРМИРОВАНИЕ И ХРАНЕНИЕ ЛИЧНЫХ ДЕЛ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2.1. </w:t>
      </w:r>
      <w:r>
        <w:rPr>
          <w:rFonts w:ascii="Times New Roman" w:hAnsi="Times New Roman" w:eastAsia="Times New Roman"/>
          <w:b/>
        </w:rPr>
        <w:t>Личное дело работника формируется в объеме, не превышающем цели обработки</w:t>
      </w:r>
      <w:r>
        <w:rPr>
          <w:rFonts w:ascii="Times New Roman" w:hAnsi="Times New Roman" w:eastAsia="Times New Roman"/>
          <w:b w:val="0"/>
        </w:rPr>
        <w:t xml:space="preserve"> (ч. 5 ст. 5 Закона № 152-ФЗ: содержание и объем обрабатываемых персональных данных должны соответствовать заявленным целям).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2.2. </w:t>
      </w:r>
      <w:r>
        <w:rPr>
          <w:rFonts w:ascii="Times New Roman" w:hAnsi="Times New Roman" w:eastAsia="Times New Roman"/>
          <w:b/>
        </w:rPr>
        <w:t>Документы, включаемые в личное дело (допустимо):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№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Документ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Основание хранения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Трудовой договор, дополнительные соглашения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ст. 67 ТК РФ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2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Приказы по личному составу (прием, перевод, увольнение, отпуска, поощрения, взыскания)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ст. 68 ТК РФ, Перечень Росархива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3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Личная карточка работника (при ее ведении)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Практика кадрового учета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4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Заявления работника (о приеме, отпуске, увольнении, о способе выплаты)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ст. 122, 128, 136 ТК РФ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5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Согласия на обработку персональных данных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ст. 9 Закона № 152-ФЗ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6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Обязательство о неразглашении персональных данных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ст. 88 ТК РФ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7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Листы ознакомления с ЛНА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ст. 68 ТК РФ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8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Договор о полной материальной ответственности (для соответствующих должностей)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ст. 244 ТК РФ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9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Медицинские заключения (без диагнозов) о годности к работе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ст. 220 ТК РФ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10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Документы воинского учета - карточка по форме № 10 (хранится в отдельной картотеке)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ФЗ № 53-ФЗ</w:t>
            </w:r>
          </w:p>
        </w:tc>
      </w:tr>
    </w:tbl>
    <w:p/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2.3. </w:t>
      </w:r>
      <w:r>
        <w:rPr>
          <w:rFonts w:ascii="Times New Roman" w:hAnsi="Times New Roman" w:eastAsia="Times New Roman"/>
          <w:b/>
        </w:rPr>
        <w:t>КОПИИ ДОКУМЕНТОВ, КОТОРЫЕ ХРАНИТЬ ЗАПРЕЩЕНО</w:t>
      </w:r>
      <w:r>
        <w:rPr>
          <w:rFonts w:ascii="Times New Roman" w:hAnsi="Times New Roman" w:eastAsia="Times New Roman"/>
          <w:b w:val="0"/>
        </w:rPr>
        <w:t xml:space="preserve"> (при отсутствии правового основания и цели):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Документ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Почему нельзя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Что делать вместо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</w:rPr>
              <w:t>Копия паспорта</w:t>
            </w:r>
            <w:r>
              <w:rPr>
                <w:rFonts w:ascii="Times New Roman" w:hAnsi="Times New Roman" w:eastAsia="Times New Roman"/>
                <w:b w:val="0"/>
              </w:rPr>
              <w:t xml:space="preserve"> (все страницы)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Избыточный объем: для кадрового учета достаточно сведений, а не образа документа. Нарушение ч. 5 ст. 5 Закона № 152-ФЗ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Внести необходимые сведения в трудовой договор и личную карточку; копию не снимать либо уничтожить после внесения сведений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</w:rPr>
              <w:t>Копия СНИЛС, копия ИНН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Избыточность; номера вносятся в учетные формы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Зафиксировать номер в трудовом договоре / личной карточке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</w:rPr>
              <w:t>Копия свидетельства о браке, о рождении детей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 xml:space="preserve">Хранение допустимо </w:t>
            </w:r>
            <w:r>
              <w:rPr>
                <w:rFonts w:ascii="Times New Roman" w:hAnsi="Times New Roman" w:eastAsia="Times New Roman"/>
                <w:b/>
              </w:rPr>
              <w:t>только</w:t>
            </w:r>
            <w:r>
              <w:rPr>
                <w:rFonts w:ascii="Times New Roman" w:hAnsi="Times New Roman" w:eastAsia="Times New Roman"/>
                <w:b w:val="0"/>
              </w:rPr>
              <w:t xml:space="preserve"> при наличии цели: предоставление гарантий, вычетов, льгот - и только на срок действия цели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Хранить при наличии заявления работника на вычет (для бухгалтерии) либо на гарантию; вне этих случаев не хранить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</w:rPr>
              <w:t>Копия военного билета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Избыточность: сведения переносятся в карточку по форме № 10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Перенести сведения в форму № 10, копию не хранить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</w:rPr>
              <w:t>Копия документа об образовании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Допустимо при наличии квалификационных требований к должности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Хранить только для должностей с требованиями к образованию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</w:rPr>
              <w:t>Медицинские документы с диагнозами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Специальная категория ПДн (ст. 10 Закона № 152-ФЗ)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Хранить только заключение о годности/негодности без диагноза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</w:rPr>
              <w:t>Сведения о судимости</w:t>
            </w:r>
            <w:r>
              <w:rPr>
                <w:rFonts w:ascii="Times New Roman" w:hAnsi="Times New Roman" w:eastAsia="Times New Roman"/>
                <w:b w:val="0"/>
              </w:rPr>
              <w:t xml:space="preserve"> (при отсутствии законного требования)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Обработка допустима только в случаях, установленных законом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Не запрашивать и не хранить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</w:rPr>
              <w:t>Фотографии работника</w:t>
            </w:r>
            <w:r>
              <w:rPr>
                <w:rFonts w:ascii="Times New Roman" w:hAnsi="Times New Roman" w:eastAsia="Times New Roman"/>
                <w:b w:val="0"/>
              </w:rPr>
              <w:t xml:space="preserve"> (вне пропуска)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Требуется отдельное согласие и цель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Использовать только для пропуска при наличии согласия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</w:rPr>
              <w:t>Персональные данные членов семьи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Обработка возможна только с их согласия либо в объеме, необходимом для гарантий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Ограничиться минимумом; получить согласие при необходимости</w:t>
            </w:r>
          </w:p>
        </w:tc>
      </w:tr>
    </w:tbl>
    <w:p/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2.4. </w:t>
      </w:r>
      <w:r>
        <w:rPr>
          <w:rFonts w:ascii="Times New Roman" w:hAnsi="Times New Roman" w:eastAsia="Times New Roman"/>
          <w:b/>
        </w:rPr>
        <w:t>Действие при обнаружении избыточных копий:</w:t>
      </w:r>
      <w:r>
        <w:rPr>
          <w:rFonts w:ascii="Times New Roman" w:hAnsi="Times New Roman" w:eastAsia="Times New Roman"/>
          <w:b w:val="0"/>
        </w:rPr>
        <w:t xml:space="preserve"> составить акт об уничтожении персональных данных (форма утверждена на Этапе 2), уничтожить копии способом, исключающим восстановление (шредирование), внести запись в журнал.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2.5. </w:t>
      </w:r>
      <w:r>
        <w:rPr>
          <w:rFonts w:ascii="Times New Roman" w:hAnsi="Times New Roman" w:eastAsia="Times New Roman"/>
          <w:b/>
        </w:rPr>
        <w:t>Условия хранения: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1) личные дела и кадровые документы хранятся в запирающемся металлическом шкафу (сейфе) в кабинете специалиста по кадрам;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2) документы воинского учета - в отдельной картотеке, в запирающемся шкафу;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3) документы бухгалтерского учета, содержащие ПДн, - в бухгалтерии, в запирающемся шкафу;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4) доступ в помещения, где хранятся ПДн, посторонним лицам запрещен; ключи хранятся у ответственных лиц;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5) по окончании рабочего дня документы убираются в места хранения, рабочие места блокируются паролем («политика чистого стола»);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6) электронные базы, содержащие ПДн, защищаются паролями с разграничением прав доступа.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2.6. </w:t>
      </w:r>
      <w:r>
        <w:rPr>
          <w:rFonts w:ascii="Times New Roman" w:hAnsi="Times New Roman" w:eastAsia="Times New Roman"/>
          <w:b/>
        </w:rPr>
        <w:t>Сроки хранения</w:t>
      </w:r>
      <w:r>
        <w:rPr>
          <w:rFonts w:ascii="Times New Roman" w:hAnsi="Times New Roman" w:eastAsia="Times New Roman"/>
          <w:b w:val="0"/>
        </w:rPr>
        <w:t xml:space="preserve"> (Перечень, утв. приказом Росархива от 20.12.2019 № 236):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 xml:space="preserve">документы по личному составу, законченные делопроизводством </w:t>
      </w:r>
      <w:r>
        <w:rPr>
          <w:rFonts w:ascii="Times New Roman" w:hAnsi="Times New Roman" w:eastAsia="Times New Roman"/>
          <w:b/>
        </w:rPr>
        <w:t>после 01.01.2003</w:t>
      </w:r>
      <w:r>
        <w:rPr>
          <w:rFonts w:ascii="Times New Roman" w:hAnsi="Times New Roman" w:eastAsia="Times New Roman"/>
          <w:b w:val="0"/>
        </w:rPr>
        <w:t xml:space="preserve">, - </w:t>
      </w:r>
      <w:r>
        <w:rPr>
          <w:rFonts w:ascii="Times New Roman" w:hAnsi="Times New Roman" w:eastAsia="Times New Roman"/>
          <w:b/>
        </w:rPr>
        <w:t>50 лет</w:t>
      </w:r>
      <w:r>
        <w:rPr>
          <w:rFonts w:ascii="Times New Roman" w:hAnsi="Times New Roman" w:eastAsia="Times New Roman"/>
          <w:b w:val="0"/>
        </w:rPr>
        <w:t>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 xml:space="preserve">законченные делопроизводством </w:t>
      </w:r>
      <w:r>
        <w:rPr>
          <w:rFonts w:ascii="Times New Roman" w:hAnsi="Times New Roman" w:eastAsia="Times New Roman"/>
          <w:b/>
        </w:rPr>
        <w:t>до 01.01.2003</w:t>
      </w:r>
      <w:r>
        <w:rPr>
          <w:rFonts w:ascii="Times New Roman" w:hAnsi="Times New Roman" w:eastAsia="Times New Roman"/>
          <w:b w:val="0"/>
        </w:rPr>
        <w:t xml:space="preserve"> - </w:t>
      </w:r>
      <w:r>
        <w:rPr>
          <w:rFonts w:ascii="Times New Roman" w:hAnsi="Times New Roman" w:eastAsia="Times New Roman"/>
          <w:b/>
        </w:rPr>
        <w:t>75 лет</w:t>
      </w:r>
      <w:r>
        <w:rPr>
          <w:rFonts w:ascii="Times New Roman" w:hAnsi="Times New Roman" w:eastAsia="Times New Roman"/>
          <w:b w:val="0"/>
        </w:rPr>
        <w:t>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личные карточки работников - 50/75 лет;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документы о премировании, о дисциплинарных взысканиях - 5 лет;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табели учета рабочего времени - 5 лет (при вредных и опасных условиях труда - 50/75 лет);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графики отпусков - 3 года;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журналы регистрации вводного инструктажа и инструктажа на рабочем месте - 45 лет.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3. ДОСТУП К ПЕРСОНАЛЬНЫМ ДАННЫМ РАБОТНИКОВ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3.1. Доступ к ПДн предоставляется только лицам, должности которых включены в Перечень должностей, допущенных к обработке ПДн, </w:t>
      </w:r>
      <w:r>
        <w:rPr>
          <w:rFonts w:ascii="Times New Roman" w:hAnsi="Times New Roman" w:eastAsia="Times New Roman"/>
          <w:b/>
        </w:rPr>
        <w:t>в объеме, необходимом для выполнения трудовой функции</w:t>
      </w:r>
      <w:r>
        <w:rPr>
          <w:rFonts w:ascii="Times New Roman" w:hAnsi="Times New Roman" w:eastAsia="Times New Roman"/>
          <w:b w:val="0"/>
        </w:rPr>
        <w:t xml:space="preserve"> (принцип минимальной достаточности).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3.2. Каждое допущенное лицо обязано: быть ознакомлено с Политикой обработки ПДн и настоящим Регламентом под роспись; подписать обязательство о неразглашении ПДн.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3.3. </w:t>
      </w:r>
      <w:r>
        <w:rPr>
          <w:rFonts w:ascii="Times New Roman" w:hAnsi="Times New Roman" w:eastAsia="Times New Roman"/>
          <w:b/>
        </w:rPr>
        <w:t>Типовое разграничение доступа: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Должность</w:t>
            </w:r>
          </w:p>
        </w:tc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Объем доступа</w:t>
            </w:r>
          </w:p>
        </w:tc>
      </w:tr>
      <w:tr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Специалист по кадрам</w:t>
            </w:r>
          </w:p>
        </w:tc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Полный объем кадровых ПДн работников</w:t>
            </w:r>
          </w:p>
        </w:tc>
      </w:tr>
      <w:tr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Главный бухгалтер, бухгалтер</w:t>
            </w:r>
          </w:p>
        </w:tc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ПДн в объеме, необходимом для расчета заработной платы, налогов, взносов, отчетности</w:t>
            </w:r>
          </w:p>
        </w:tc>
      </w:tr>
      <w:tr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Начальник производства, заведующий складом</w:t>
            </w:r>
          </w:p>
        </w:tc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 xml:space="preserve">ФИО, должность, табельный номер, график работы, сведения об инструктажах и медосмотрах подчиненных работников. </w:t>
            </w:r>
            <w:r>
              <w:rPr>
                <w:rFonts w:ascii="Times New Roman" w:hAnsi="Times New Roman" w:eastAsia="Times New Roman"/>
                <w:b/>
              </w:rPr>
              <w:t>Доступ к паспортным данным, сведениям о заработной плате, о состоянии здоровья не предоставляется</w:t>
            </w:r>
          </w:p>
        </w:tc>
      </w:tr>
      <w:tr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Специалист по охране труда</w:t>
            </w:r>
          </w:p>
        </w:tc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ФИО, должность, сведения о прохождении обучения, инструктажей, медосмотров, о микротравмах и несчастных случаях</w:t>
            </w:r>
          </w:p>
        </w:tc>
      </w:tr>
      <w:tr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Ответственный за воинский учет</w:t>
            </w:r>
          </w:p>
        </w:tc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Сведения, необходимые для ведения воинского учета</w:t>
            </w:r>
          </w:p>
        </w:tc>
      </w:tr>
      <w:tr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Генеральный директор</w:t>
            </w:r>
          </w:p>
        </w:tc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Полный объем</w:t>
            </w:r>
          </w:p>
        </w:tc>
      </w:tr>
    </w:tbl>
    <w:p/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3.4. </w:t>
      </w:r>
      <w:r>
        <w:rPr>
          <w:rFonts w:ascii="Times New Roman" w:hAnsi="Times New Roman" w:eastAsia="Times New Roman"/>
          <w:b/>
        </w:rPr>
        <w:t>Запрещается:</w:t>
      </w:r>
      <w:r>
        <w:rPr>
          <w:rFonts w:ascii="Times New Roman" w:hAnsi="Times New Roman" w:eastAsia="Times New Roman"/>
          <w:b w:val="0"/>
        </w:rPr>
        <w:t xml:space="preserve"> передавать ПДн работников другим работникам, не имеющим допуска; обсуждать ПДн в присутствии посторонних; оставлять документы с ПДн без присмотра, на общедоступных принтерах, в переговорных; направлять ПДн на личные адреса электронной почты и в мессенджеры; выносить документы с ПДн за пределы Общества без письменного разрешения.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3.5. </w:t>
      </w:r>
      <w:r>
        <w:rPr>
          <w:rFonts w:ascii="Times New Roman" w:hAnsi="Times New Roman" w:eastAsia="Times New Roman"/>
          <w:b/>
        </w:rPr>
        <w:t>Обработка ПДн руководителями подразделений:</w:t>
      </w:r>
      <w:r>
        <w:rPr>
          <w:rFonts w:ascii="Times New Roman" w:hAnsi="Times New Roman" w:eastAsia="Times New Roman"/>
          <w:b w:val="0"/>
        </w:rPr>
        <w:t xml:space="preserve"> руководителю предоставляются только те сведения, которые необходимы для организации труда. Списки работников с указанием ФИО и графика работы не относятся к сведениям ограниченного распространения внутри подразделения; сведения о заработной плате конкретных работников руководителям не предоставляются, за исключением случаев, когда это необходимо для исполнения ими должностных обязанностей.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4. ПЕРЕДАЧА ПЕРСОНАЛЬНЫХ ДАННЫХ ТРЕТЬИМ ЛИЦАМ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4.1. </w:t>
      </w:r>
      <w:r>
        <w:rPr>
          <w:rFonts w:ascii="Times New Roman" w:hAnsi="Times New Roman" w:eastAsia="Times New Roman"/>
          <w:b/>
        </w:rPr>
        <w:t>Передача без согласия работника допускается</w:t>
      </w:r>
      <w:r>
        <w:rPr>
          <w:rFonts w:ascii="Times New Roman" w:hAnsi="Times New Roman" w:eastAsia="Times New Roman"/>
          <w:b w:val="0"/>
        </w:rPr>
        <w:t xml:space="preserve"> только в случаях, прямо предусмотренных федеральным законом: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Получатель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Основание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Объем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Социальный фонд России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ФЗ № 27-ФЗ, ФЗ № 167-ФЗ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Отчетность (ЕФС-1 и др.)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ФНС России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НК РФ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Отчетность по НДФЛ, страховым взносам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Военный комиссариат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ФЗ № 53-ФЗ, ПП РФ № 719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Сведения воинского учета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Государственная инспекция труда, прокуратура, суд, полиция, следственные органы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По мотивированному письменному запросу с указанием правового основания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В объеме запроса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Судебные приставы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ФЗ № 229-ФЗ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В объеме исполнительного документа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МВД России (по иностранным работникам)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ФЗ № 115-ФЗ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Уведомления о приеме/увольнении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Медицинская организация (для медосмотров)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ст. 220 ТК РФ, приказ Минздрава № 29н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Список работников, направления</w:t>
            </w:r>
          </w:p>
        </w:tc>
      </w:tr>
    </w:tbl>
    <w:p/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4.2. </w:t>
      </w:r>
      <w:r>
        <w:rPr>
          <w:rFonts w:ascii="Times New Roman" w:hAnsi="Times New Roman" w:eastAsia="Times New Roman"/>
          <w:b/>
        </w:rPr>
        <w:t>Во всех иных случаях (банки - вне зарплатного проекта, страховые компании, кадровые агентства, контрагенты, бывшие работодатели, родственники работника) передача ПДн допускается только с письменного согласия работника.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4.3. </w:t>
      </w:r>
      <w:r>
        <w:rPr>
          <w:rFonts w:ascii="Times New Roman" w:hAnsi="Times New Roman" w:eastAsia="Times New Roman"/>
          <w:b/>
        </w:rPr>
        <w:t>Порядок обработки внешнего запроса: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 xml:space="preserve">1) запрос принимается </w:t>
      </w:r>
      <w:r>
        <w:rPr>
          <w:rFonts w:ascii="Times New Roman" w:hAnsi="Times New Roman" w:eastAsia="Times New Roman"/>
          <w:b/>
        </w:rPr>
        <w:t>только в письменной форме</w:t>
      </w:r>
      <w:r>
        <w:rPr>
          <w:rFonts w:ascii="Times New Roman" w:hAnsi="Times New Roman" w:eastAsia="Times New Roman"/>
          <w:b w:val="0"/>
        </w:rPr>
        <w:t>, с указанием: наименования органа (лица), правового основания, цели запроса, перечня запрашиваемых сведений, срока предоставления, подписи уполномоченного должностного лица;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2) специалист по кадрам проверяет полномочия запрашивающего и наличие правового основания; при сомнениях - согласовывает с Генеральным директором;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 xml:space="preserve">3) </w:t>
      </w:r>
      <w:r>
        <w:rPr>
          <w:rFonts w:ascii="Times New Roman" w:hAnsi="Times New Roman" w:eastAsia="Times New Roman"/>
          <w:b/>
        </w:rPr>
        <w:t>устные и телефонные запросы не исполняются</w:t>
      </w:r>
      <w:r>
        <w:rPr>
          <w:rFonts w:ascii="Times New Roman" w:hAnsi="Times New Roman" w:eastAsia="Times New Roman"/>
          <w:b w:val="0"/>
        </w:rPr>
        <w:t>; сведения по телефону не сообщаются, включая подтверждение факта работы конкретного лица;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 xml:space="preserve">4) предоставляется </w:t>
      </w:r>
      <w:r>
        <w:rPr>
          <w:rFonts w:ascii="Times New Roman" w:hAnsi="Times New Roman" w:eastAsia="Times New Roman"/>
          <w:b/>
        </w:rPr>
        <w:t>только тот объем сведений, который указан в запросе и обоснован правовым основанием</w:t>
      </w:r>
      <w:r>
        <w:rPr>
          <w:rFonts w:ascii="Times New Roman" w:hAnsi="Times New Roman" w:eastAsia="Times New Roman"/>
          <w:b w:val="0"/>
        </w:rPr>
        <w:t>; избыточные сведения не направляются;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5) факт передачи регистрируется в Журнале учета передачи персональных данных третьим лицам (форма приведена в приложении к настоящему Регламенту) с указанием даты, получателя, основания, объема переданных сведений;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6) при отсутствии правового основания направляется мотивированный письменный отказ.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4.4. При поручении обработки ПДн третьему лицу (аутсорсинг бухгалтерии, кадрового учета, обслуживание информационных систем) заключается договор поручения обработки, содержащий перечень действий, цели, обязанность соблюдать конфиденциальность и требования к защите ПДн (ч. 3 ст. 6 Закона № 152-ФЗ). Передача без такого договора запрещена.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4.5. </w:t>
      </w:r>
      <w:r>
        <w:rPr>
          <w:rFonts w:ascii="Times New Roman" w:hAnsi="Times New Roman" w:eastAsia="Times New Roman"/>
          <w:b/>
        </w:rPr>
        <w:t>Трансграничная передача ПДн не осуществляется.</w:t>
      </w:r>
      <w:r>
        <w:rPr>
          <w:rFonts w:ascii="Times New Roman" w:hAnsi="Times New Roman" w:eastAsia="Times New Roman"/>
          <w:b w:val="0"/>
        </w:rPr>
        <w:t xml:space="preserve"> При возникновении такой необходимости требуется предварительное уведомление Роскомнадзора.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5. УНИЧТОЖЕНИЕ ПЕРСОНАЛЬНЫХ ДАННЫХ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5.1. ПДн подлежат уничтожению при: достижении цели обработки; утрате необходимости в достижении цели; отзыве согласия субъекта (если обработка осуществлялась только на основании согласия и отсутствует иное правовое основание); истечении срока хранения; выявлении неправомерной обработки.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5.2. </w:t>
      </w:r>
      <w:r>
        <w:rPr>
          <w:rFonts w:ascii="Times New Roman" w:hAnsi="Times New Roman" w:eastAsia="Times New Roman"/>
          <w:b/>
        </w:rPr>
        <w:t>Сроки уничтожения: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 xml:space="preserve">при отзыве согласия - в течение </w:t>
      </w:r>
      <w:r>
        <w:rPr>
          <w:rFonts w:ascii="Times New Roman" w:hAnsi="Times New Roman" w:eastAsia="Times New Roman"/>
          <w:b/>
        </w:rPr>
        <w:t>30 дней</w:t>
      </w:r>
      <w:r>
        <w:rPr>
          <w:rFonts w:ascii="Times New Roman" w:hAnsi="Times New Roman" w:eastAsia="Times New Roman"/>
          <w:b w:val="0"/>
        </w:rPr>
        <w:t xml:space="preserve"> с даты поступления отзыва, если иное не предусмотрено договором или законом;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 xml:space="preserve">при достижении цели обработки - в течение </w:t>
      </w:r>
      <w:r>
        <w:rPr>
          <w:rFonts w:ascii="Times New Roman" w:hAnsi="Times New Roman" w:eastAsia="Times New Roman"/>
          <w:b/>
        </w:rPr>
        <w:t>30 дней</w:t>
      </w:r>
      <w:r>
        <w:rPr>
          <w:rFonts w:ascii="Times New Roman" w:hAnsi="Times New Roman" w:eastAsia="Times New Roman"/>
          <w:b w:val="0"/>
        </w:rPr>
        <w:t xml:space="preserve"> с даты достижения цели;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 xml:space="preserve">при выявлении неправомерной обработки - устранение нарушения в течение </w:t>
      </w:r>
      <w:r>
        <w:rPr>
          <w:rFonts w:ascii="Times New Roman" w:hAnsi="Times New Roman" w:eastAsia="Times New Roman"/>
          <w:b/>
        </w:rPr>
        <w:t>3 рабочих дней</w:t>
      </w:r>
      <w:r>
        <w:rPr>
          <w:rFonts w:ascii="Times New Roman" w:hAnsi="Times New Roman" w:eastAsia="Times New Roman"/>
          <w:b w:val="0"/>
        </w:rPr>
        <w:t xml:space="preserve">, при невозможности - уничтожение в срок </w:t>
      </w:r>
      <w:r>
        <w:rPr>
          <w:rFonts w:ascii="Times New Roman" w:hAnsi="Times New Roman" w:eastAsia="Times New Roman"/>
          <w:b/>
        </w:rPr>
        <w:t>до 10 рабочих дней</w:t>
      </w:r>
      <w:r>
        <w:rPr>
          <w:rFonts w:ascii="Times New Roman" w:hAnsi="Times New Roman" w:eastAsia="Times New Roman"/>
          <w:b w:val="0"/>
        </w:rPr>
        <w:t>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 xml:space="preserve">по требованию субъекта об уничтожении неправомерно обрабатываемых данных - в течение </w:t>
      </w:r>
      <w:r>
        <w:rPr>
          <w:rFonts w:ascii="Times New Roman" w:hAnsi="Times New Roman" w:eastAsia="Times New Roman"/>
          <w:b/>
        </w:rPr>
        <w:t>10 рабочих дней</w:t>
      </w:r>
      <w:r>
        <w:rPr>
          <w:rFonts w:ascii="Times New Roman" w:hAnsi="Times New Roman" w:eastAsia="Times New Roman"/>
          <w:b w:val="0"/>
        </w:rPr>
        <w:t xml:space="preserve"> со дня представления субъектом персональных данных или его представителем сведений, подтверждающих, что персональные данные являются незаконно полученными или не являются необходимыми для заявленной цели обработки (ч. 3 ст. 21 Федерального закона от 27.07.2006 № 152-ФЗ). Указанный срок соответствует сроку, установленному Политикой обработки персональных данных ООО «МИР»;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 xml:space="preserve">по требованию субъекта об </w:t>
      </w:r>
      <w:r>
        <w:rPr>
          <w:rFonts w:ascii="Times New Roman" w:hAnsi="Times New Roman" w:eastAsia="Times New Roman"/>
          <w:b/>
        </w:rPr>
        <w:t>уточнении</w:t>
      </w:r>
      <w:r>
        <w:rPr>
          <w:rFonts w:ascii="Times New Roman" w:hAnsi="Times New Roman" w:eastAsia="Times New Roman"/>
          <w:b w:val="0"/>
        </w:rPr>
        <w:t xml:space="preserve"> (блокировании) неточных персональных данных - в течение </w:t>
      </w:r>
      <w:r>
        <w:rPr>
          <w:rFonts w:ascii="Times New Roman" w:hAnsi="Times New Roman" w:eastAsia="Times New Roman"/>
          <w:b/>
        </w:rPr>
        <w:t>7 рабочих дней</w:t>
      </w:r>
      <w:r>
        <w:rPr>
          <w:rFonts w:ascii="Times New Roman" w:hAnsi="Times New Roman" w:eastAsia="Times New Roman"/>
          <w:b w:val="0"/>
        </w:rPr>
        <w:t xml:space="preserve"> со дня представления подтверждающих сведений (ч. 2 ст. 21 Федерального закона № 152-ФЗ).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5.3. </w:t>
      </w:r>
      <w:r>
        <w:rPr>
          <w:rFonts w:ascii="Times New Roman" w:hAnsi="Times New Roman" w:eastAsia="Times New Roman"/>
          <w:b/>
        </w:rPr>
        <w:t>Порядок уничтожения: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1) создается комиссия (не менее трех человек) приказом Генерального директора либо действует постоянно действующая комиссия;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2) бумажные носители уничтожаются способом, исключающим восстановление (шредирование);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3) электронные носители - гарантированным удалением с исключением возможности восстановления;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 xml:space="preserve">4) составляется </w:t>
      </w:r>
      <w:r>
        <w:rPr>
          <w:rFonts w:ascii="Times New Roman" w:hAnsi="Times New Roman" w:eastAsia="Times New Roman"/>
          <w:b/>
        </w:rPr>
        <w:t>акт об уничтожении персональных данных</w:t>
      </w:r>
      <w:r>
        <w:rPr>
          <w:rFonts w:ascii="Times New Roman" w:hAnsi="Times New Roman" w:eastAsia="Times New Roman"/>
          <w:b w:val="0"/>
        </w:rPr>
        <w:t xml:space="preserve"> (форма утверждена на Этапе 2) с указанием ФИО субъектов, категорий данных, способа и даты уничтожения;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5) при уничтожении данных, обрабатываемых в информационных системах, дополнительно формируется выгрузка из журнала регистрации событий;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6) акты хранятся не менее 3 лет.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5.4. </w:t>
      </w:r>
      <w:r>
        <w:rPr>
          <w:rFonts w:ascii="Times New Roman" w:hAnsi="Times New Roman" w:eastAsia="Times New Roman"/>
          <w:b/>
        </w:rPr>
        <w:t>Не подлежат уничтожению</w:t>
      </w:r>
      <w:r>
        <w:rPr>
          <w:rFonts w:ascii="Times New Roman" w:hAnsi="Times New Roman" w:eastAsia="Times New Roman"/>
          <w:b w:val="0"/>
        </w:rPr>
        <w:t xml:space="preserve"> документы, срок хранения которых не истек в соответствии с Перечнем Росархива (документы по личному составу - 50/75 лет), даже при отзыве работником согласия, поскольку их обработка основана на законе, а не на согласии.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6. ДЕЙСТВИЯ ПРИ ОБРАЩЕНИИ СУБЪЕКТА ПЕРСОНАЛЬНЫХ ДАННЫХ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6.1. Работник (субъект ПДн) вправе: получить подтверждение факта обработки; получить сведения об обрабатываемых данных, целях, способах, сроках; требовать уточнения, блокирования, уничтожения неполных, устаревших, неточных, незаконно полученных данных; отозвать согласие; обжаловать действия в Роскомнадзор или суд.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6.2. </w:t>
      </w:r>
      <w:r>
        <w:rPr>
          <w:rFonts w:ascii="Times New Roman" w:hAnsi="Times New Roman" w:eastAsia="Times New Roman"/>
          <w:b/>
        </w:rPr>
        <w:t>Порядок обработки обращения: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Шаг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Действие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Срок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 xml:space="preserve">Принять обращение, зарегистрировать в </w:t>
            </w:r>
            <w:r>
              <w:rPr>
                <w:rFonts w:ascii="Times New Roman" w:hAnsi="Times New Roman" w:eastAsia="Times New Roman"/>
                <w:b/>
              </w:rPr>
              <w:t>Журнале учета обращений субъектов ПДн</w:t>
            </w:r>
            <w:r>
              <w:rPr>
                <w:rFonts w:ascii="Times New Roman" w:hAnsi="Times New Roman" w:eastAsia="Times New Roman"/>
                <w:b w:val="0"/>
              </w:rPr>
              <w:t xml:space="preserve"> (форма утверждена на Этапе 2)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В день поступления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2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Проверить содержание обращения: наличие сведений, подтверждающих участие субъекта в отношениях с оператором (номер трудового договора, иные сведения), подписи субъекта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 рабочий день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3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Подготовить ответ: сведения об обрабатываемых ПДн либо мотивированный отказ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</w:rPr>
              <w:t>Не позднее 10 рабочих дней</w:t>
            </w:r>
            <w:r>
              <w:rPr>
                <w:rFonts w:ascii="Times New Roman" w:hAnsi="Times New Roman" w:eastAsia="Times New Roman"/>
                <w:b w:val="0"/>
              </w:rPr>
              <w:t xml:space="preserve"> с даты получения (срок может быть продлен не более чем на 5 рабочих дней с уведомлением субъекта)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4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При требовании уточнения - внести исправления, уведомить субъекта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</w:rPr>
              <w:t>7 рабочих дней</w:t>
            </w:r>
            <w:r>
              <w:rPr>
                <w:rFonts w:ascii="Times New Roman" w:hAnsi="Times New Roman" w:eastAsia="Times New Roman"/>
                <w:b w:val="0"/>
              </w:rPr>
              <w:t xml:space="preserve"> с даты представления документов, подтверждающих неточность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5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При отзыве согласия - прекратить обработку и уничтожить данные, если отсутствует иное правовое основание; при наличии иного основания - письменно разъяснить субъекту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</w:rPr>
              <w:t>30 дней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6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Направить ответ способом, указанным в обращении; зафиксировать факт направления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В пределах установленного срока</w:t>
            </w:r>
          </w:p>
        </w:tc>
      </w:tr>
    </w:tbl>
    <w:p/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6.3. Сведения предоставляются в доступной форме, без ПДн иных субъектов, за исключением случаев наличия законных оснований.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6.4. </w:t>
      </w:r>
      <w:r>
        <w:rPr>
          <w:rFonts w:ascii="Times New Roman" w:hAnsi="Times New Roman" w:eastAsia="Times New Roman"/>
          <w:b/>
        </w:rPr>
        <w:t>Мотивированный отказ</w:t>
      </w:r>
      <w:r>
        <w:rPr>
          <w:rFonts w:ascii="Times New Roman" w:hAnsi="Times New Roman" w:eastAsia="Times New Roman"/>
          <w:b w:val="0"/>
        </w:rPr>
        <w:t xml:space="preserve"> возможен, если: обработка осуществляется в соответствии с законом; предоставление сведений нарушает права третьих лиц; данные обрабатываются в целях, установленных законодательством о противодействии легализации доходов, об оперативно-розыскной деятельности и т. п. Отказ оформляется письменно с указанием правового основания.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7. ДЕЙСТВИЯ ПРИ УТЕЧКЕ (ИНЦИДЕНТЕ) ПЕРСОНАЛЬНЫХ ДАННЫХ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7.1. </w:t>
      </w:r>
      <w:r>
        <w:rPr>
          <w:rFonts w:ascii="Times New Roman" w:hAnsi="Times New Roman" w:eastAsia="Times New Roman"/>
          <w:b/>
        </w:rPr>
        <w:t>Утечка</w:t>
      </w:r>
      <w:r>
        <w:rPr>
          <w:rFonts w:ascii="Times New Roman" w:hAnsi="Times New Roman" w:eastAsia="Times New Roman"/>
          <w:b w:val="0"/>
        </w:rPr>
        <w:t xml:space="preserve"> - неправомерная или случайная передача (предоставление, распространение, доступ) ПДн, повлекшая нарушение прав субъектов: утрата документов или носителя, взлом информационной системы, ошибочная рассылка, несанкционированное копирование или передача данных работником, потеря ноутбука или флеш-накопителя.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7.2. </w:t>
      </w:r>
      <w:r>
        <w:rPr>
          <w:rFonts w:ascii="Times New Roman" w:hAnsi="Times New Roman" w:eastAsia="Times New Roman"/>
          <w:b/>
        </w:rPr>
        <w:t>АЛГОРИТМ ДЕЙСТВИЙ (критические сроки):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Время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Действие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Ответственный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</w:rPr>
              <w:t>Немедленно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Зафиксировать факт и время обнаружения инцидента; принять меры к прекращению утечки (блокировать доступ, изъять носитель, отключить систему); уведомить Генерального директора и ответственного за организацию обработки ПДн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Лицо, обнаружившее; ответственный за обработку ПДн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</w:rPr>
              <w:t>В течение 24 часов</w:t>
            </w:r>
            <w:r>
              <w:rPr>
                <w:rFonts w:ascii="Times New Roman" w:hAnsi="Times New Roman" w:eastAsia="Times New Roman"/>
                <w:b w:val="0"/>
              </w:rPr>
              <w:t xml:space="preserve"> с момента обнаружения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</w:rPr>
              <w:t>Направить в Роскомнадзор первичное уведомление об инциденте</w:t>
            </w:r>
            <w:r>
              <w:rPr>
                <w:rFonts w:ascii="Times New Roman" w:hAnsi="Times New Roman" w:eastAsia="Times New Roman"/>
                <w:b w:val="0"/>
              </w:rPr>
              <w:t xml:space="preserve"> (через портал pd.rkn.gov.ru): сведения о предполагаемых причинах, предполагаемом вреде правам субъектов, о принятых мерах, о лице, уполномоченном на взаимодействие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Ответственный за организацию обработки ПДн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</w:rPr>
              <w:t>В течение 72 часов</w:t>
            </w:r>
            <w:r>
              <w:rPr>
                <w:rFonts w:ascii="Times New Roman" w:hAnsi="Times New Roman" w:eastAsia="Times New Roman"/>
                <w:b w:val="0"/>
              </w:rPr>
              <w:t xml:space="preserve"> с момента обнаружения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</w:rPr>
              <w:t>Направить в Роскомнадзор второе уведомление - о результатах внутреннего расследования</w:t>
            </w:r>
            <w:r>
              <w:rPr>
                <w:rFonts w:ascii="Times New Roman" w:hAnsi="Times New Roman" w:eastAsia="Times New Roman"/>
                <w:b w:val="0"/>
              </w:rPr>
              <w:t>, с указанием выявленных виновных лиц и принятых мер по устранению последствий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Ответственный за организацию обработки ПДн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</w:rPr>
              <w:t>Параллельно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Провести внутреннее расследование: создать комиссию, установить причины, объем утекших данных, количество затронутых субъектов, круг виновных лиц; оформить акт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Комиссия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</w:rPr>
              <w:t>При наличии признаков преступления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Обратиться в органы внутренних дел (утечка вследствие действий третьих лиц, бывших работников, хакерской атаки)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Генеральный директор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</w:rPr>
              <w:t>По итогам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Уведомить затронутых субъектов (при наличии высокого риска нарушения их прав); принять меры по недопущению повторения; при необходимости внести изменения в организационные и технические меры защиты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Генеральный директор</w:t>
            </w:r>
          </w:p>
        </w:tc>
      </w:tr>
    </w:tbl>
    <w:p/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7.3. </w:t>
      </w:r>
      <w:r>
        <w:rPr>
          <w:rFonts w:ascii="Times New Roman" w:hAnsi="Times New Roman" w:eastAsia="Times New Roman"/>
          <w:b/>
        </w:rPr>
        <w:t>Ответственность за неуведомление</w:t>
      </w:r>
      <w:r>
        <w:rPr>
          <w:rFonts w:ascii="Times New Roman" w:hAnsi="Times New Roman" w:eastAsia="Times New Roman"/>
          <w:b w:val="0"/>
        </w:rPr>
        <w:t xml:space="preserve"> (ч. 11 ст. 13.11 КоАП РФ): штраф на юридических лиц от 1 000 000 до 3 000 000 руб. Ответственность наступает </w:t>
      </w:r>
      <w:r>
        <w:rPr>
          <w:rFonts w:ascii="Times New Roman" w:hAnsi="Times New Roman" w:eastAsia="Times New Roman"/>
          <w:b/>
        </w:rPr>
        <w:t>отдельно</w:t>
      </w:r>
      <w:r>
        <w:rPr>
          <w:rFonts w:ascii="Times New Roman" w:hAnsi="Times New Roman" w:eastAsia="Times New Roman"/>
          <w:b w:val="0"/>
        </w:rPr>
        <w:t xml:space="preserve"> за неуведомление в течение 24 часов и </w:t>
      </w:r>
      <w:r>
        <w:rPr>
          <w:rFonts w:ascii="Times New Roman" w:hAnsi="Times New Roman" w:eastAsia="Times New Roman"/>
          <w:b/>
        </w:rPr>
        <w:t>отдельно</w:t>
      </w:r>
      <w:r>
        <w:rPr>
          <w:rFonts w:ascii="Times New Roman" w:hAnsi="Times New Roman" w:eastAsia="Times New Roman"/>
          <w:b w:val="0"/>
        </w:rPr>
        <w:t xml:space="preserve"> за ненаправление уведомления о результатах расследования в течение 72 часов.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7.4. </w:t>
      </w:r>
      <w:r>
        <w:rPr>
          <w:rFonts w:ascii="Times New Roman" w:hAnsi="Times New Roman" w:eastAsia="Times New Roman"/>
          <w:b/>
        </w:rPr>
        <w:t>Ответственность за саму утечку</w:t>
      </w:r>
      <w:r>
        <w:rPr>
          <w:rFonts w:ascii="Times New Roman" w:hAnsi="Times New Roman" w:eastAsia="Times New Roman"/>
          <w:b w:val="0"/>
        </w:rPr>
        <w:t xml:space="preserve"> (ст. 13.11 КоАП РФ в редакции ФЗ от 30.11.2024 № 420-ФЗ): при утечке данных от 1 000 до 10 000 субъектов - от 3 до 5 млн руб.; от 10 000 до 100 000 - от 5 до 10 млн руб.; свыше 100 000 - от 10 до 15 млн руб. </w:t>
      </w:r>
      <w:r>
        <w:rPr>
          <w:rFonts w:ascii="Times New Roman" w:hAnsi="Times New Roman" w:eastAsia="Times New Roman"/>
          <w:b/>
        </w:rPr>
        <w:t>При повторном нарушении применяется оборотный штраф - от 1 до 3 процентов совокупного размера выручки (но не менее 20 млн и не более 500 млн руб.).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7.5. </w:t>
      </w:r>
      <w:r>
        <w:rPr>
          <w:rFonts w:ascii="Times New Roman" w:hAnsi="Times New Roman" w:eastAsia="Times New Roman"/>
          <w:b/>
        </w:rPr>
        <w:t>Сокрытие факта утечки недопустимо:</w:t>
      </w:r>
      <w:r>
        <w:rPr>
          <w:rFonts w:ascii="Times New Roman" w:hAnsi="Times New Roman" w:eastAsia="Times New Roman"/>
          <w:b w:val="0"/>
        </w:rPr>
        <w:t xml:space="preserve"> Роскомнадзор расценивает такое поведение как недобросовестное, что влечет привлечение к ответственности как за утечку, так и за сокрытие. Факт утечки является основанием для внеплановой проверки.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8. ОТВЕТСТВЕННОСТЬ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8.1. </w:t>
      </w:r>
      <w:r>
        <w:rPr>
          <w:rFonts w:ascii="Times New Roman" w:hAnsi="Times New Roman" w:eastAsia="Times New Roman"/>
          <w:b/>
        </w:rPr>
        <w:t>Работник, допущенный к обработке ПДн: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 xml:space="preserve">дисциплинарная ответственность (ст. 192 ТК РФ), включая </w:t>
      </w:r>
      <w:r>
        <w:rPr>
          <w:rFonts w:ascii="Times New Roman" w:hAnsi="Times New Roman" w:eastAsia="Times New Roman"/>
          <w:b/>
        </w:rPr>
        <w:t>увольнение по пп. «в» п. 6 ч. 1 ст. 81 ТК РФ</w:t>
      </w:r>
      <w:r>
        <w:rPr>
          <w:rFonts w:ascii="Times New Roman" w:hAnsi="Times New Roman" w:eastAsia="Times New Roman"/>
          <w:b w:val="0"/>
        </w:rPr>
        <w:t xml:space="preserve"> за разглашение персональных данных другого работника;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материальная ответственность в полном размере (п. 7 ч. 1 ст. 243 ТК РФ);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административная ответственность (ст. 13.11, 13.14 КоАП РФ);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 xml:space="preserve">уголовная ответственность (ст. 137 УК РФ - нарушение неприкосновенности частной жизни; </w:t>
      </w:r>
      <w:r>
        <w:rPr>
          <w:rFonts w:ascii="Times New Roman" w:hAnsi="Times New Roman" w:eastAsia="Times New Roman"/>
          <w:b/>
        </w:rPr>
        <w:t>ст. 272.1 УК РФ</w:t>
      </w:r>
      <w:r>
        <w:rPr>
          <w:rFonts w:ascii="Times New Roman" w:hAnsi="Times New Roman" w:eastAsia="Times New Roman"/>
          <w:b w:val="0"/>
        </w:rPr>
        <w:t xml:space="preserve"> - незаконное использование и передача персональных данных, введена ФЗ от 30.11.2024 № 421-ФЗ).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8.2. </w:t>
      </w:r>
      <w:r>
        <w:rPr>
          <w:rFonts w:ascii="Times New Roman" w:hAnsi="Times New Roman" w:eastAsia="Times New Roman"/>
          <w:b/>
        </w:rPr>
        <w:t>Организация и должностные лица</w:t>
      </w:r>
      <w:r>
        <w:rPr>
          <w:rFonts w:ascii="Times New Roman" w:hAnsi="Times New Roman" w:eastAsia="Times New Roman"/>
          <w:b w:val="0"/>
        </w:rPr>
        <w:t xml:space="preserve"> - административная ответственность по ст. 13.11 КоАП РФ, включая оборотные штрафы (п. 7.4 настоящего Регламента).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9. КОНТРОЛЬНЫЙ ЧЕК-ЛИСТ ДЛЯ СПЕЦИАЛИСТА ПО КАДРАМ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№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Контрольная процедура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Периодичность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Отметка</w:t>
            </w:r>
          </w:p>
        </w:tc>
      </w:tr>
      <w:tr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Проверка личных дел на наличие избыточных копий (паспорт, СНИЛС, ИНН, военный билет) с уничтожением по акту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Ежегодно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2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Проверка наличия подписанных согласий на обработку ПДн и обязательств о неразглашении у всех допущенных лиц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При приеме; ежегодно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3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Проверка актуальности Перечня должностей, допущенных к обработке ПДн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При изменении штатного расписания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4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Проверка условий хранения (запираемые шкафы, разграничение доступа, «политика чистого стола»)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Ежеквартально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5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Проверка ведения журналов: учета обращений субъектов; учета передачи ПДн; актов уничтожения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Ежеквартально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6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Проверка наличия договоров поручения обработки с контрагентами, получающими ПДн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При заключении договора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7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Проверка сроков хранения и выделение к уничтожению документов с истекшим сроком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Ежегодно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8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Проверка актуальности уведомления Роскомнадзора об обработке ПДн (при изменении сведений - направить актуализацию)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При изменении сведений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9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Проверка готовности к инциденту: известны ли ответственному контакты и порядок подачи уведомления в РКН в течение 24 часов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Ежеквартально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10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Обучение (инструктаж) лиц, допущенных к обработке ПДн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При приеме; ежегодно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</w:tbl>
    <w:p/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10. ЗАКЛЮЧИТЕЛЬНЫЕ ПОЛОЖЕНИЯ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10.1. Настоящий Регламент утверждается приказом Генерального директора и вступает в силу с даты, указанной в приказе.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10.2. Лица, включенные в Перечень должностей, допущенных к обработке ПДн, знакомятся с Регламентом под роспись.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10.3. Регламент пересматривается при изменении законодательства, но не реже одного раза в 2 года.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Приложение:</w:t>
      </w:r>
      <w:r>
        <w:rPr>
          <w:rFonts w:ascii="Times New Roman" w:hAnsi="Times New Roman" w:eastAsia="Times New Roman"/>
          <w:b w:val="0"/>
        </w:rPr>
        <w:t xml:space="preserve"> Лист ознакомления.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ЛИСТ ОЗНАКОМЛЕНИЯ</w:t>
      </w:r>
    </w:p>
    <w:p>
      <w:pPr>
        <w:keepNext/>
        <w:spacing w:before="160" w:after="120"/>
      </w:pPr>
      <w:r>
        <w:rPr>
          <w:rFonts w:ascii="Times New Roman" w:hAnsi="Times New Roman"/>
          <w:b/>
          <w:color w:val="000000"/>
          <w:sz w:val="24"/>
        </w:rPr>
        <w:t>с Внутренним регламентом обработки персональных данных работников ООО «МИР»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№ п/п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Фамилия, имя, отчество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Должность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Подпись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Дата</w:t>
            </w:r>
          </w:p>
        </w:tc>
      </w:tr>
      <w:tr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2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3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4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5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6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7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8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9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10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</w:tbl>
    <w:p/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Ответственный за организацию обработки персональных данных _____________ / [ФИО] /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8"/>
        </w:rPr>
        <w:t>ПРИЛОЖЕНИЕ К РЕГЛАМЕНТУ. ЖУРНАЛ УЧЕТА ПЕРЕДАЧИ ПЕРСОНАЛЬНЫХ ДАННЫХ ТРЕТЬИМ ЛИЦАМ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ОБЩЕСТВО С ОГРАНИЧЕННОЙ ОТВЕТСТВЕННОСТЬЮ «МИР»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ЖУРНАЛ</w:t>
      </w:r>
    </w:p>
    <w:p>
      <w:pPr>
        <w:keepNext/>
        <w:spacing w:before="160" w:after="120"/>
      </w:pPr>
      <w:r>
        <w:rPr>
          <w:rFonts w:ascii="Times New Roman" w:hAnsi="Times New Roman"/>
          <w:b/>
          <w:color w:val="000000"/>
          <w:sz w:val="24"/>
        </w:rPr>
        <w:t>учета передачи персональных данных третьим лицам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Начат: «___» __________ 20___ г.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Окончен: «___» __________ 20___ г.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№ п/п</w:t>
            </w:r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Дата передачи</w:t>
            </w:r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Субъект ПДн (ФИО работника)</w:t>
            </w:r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Получатель (наименование, адрес)</w:t>
            </w:r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Правовое основание передачи (норма закона, запрос, согласие субъекта)</w:t>
            </w:r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Реквизиты запроса (согласия)</w:t>
            </w:r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Объем переданных сведений</w:t>
            </w:r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Способ передачи</w:t>
            </w:r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ФИО, должность лица, осуществившего передачу</w:t>
            </w:r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Подпись</w:t>
            </w:r>
          </w:p>
        </w:tc>
      </w:tr>
      <w:tr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</w:t>
            </w:r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2</w:t>
            </w:r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3</w:t>
            </w:r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4</w:t>
            </w:r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5</w:t>
            </w:r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</w:tbl>
    <w:p/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Журнал пронумерован, прошнурован и скреплен печатью. Всего пронумеровано ______ листов.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Срок хранения - 3 года с даты последней записи. Журнал ведется ответственным за организацию обработки персональных данных.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Ответственный за организацию обработки персональных данных _____________ / [ФИО] /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8"/>
        </w:rPr>
        <w:t>ПРИМЕЧАНИЕ ПО ПУНКТУ 5.3 ТЕХНИЧЕСКОГО ЗАДАНИЯ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«Журнал учета инструктажей по воинскому учету» не разрабатывается.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Обоснование: законодательство о воинском учете (ФЗ от 28.03.1998 № 53-ФЗ, Положение о воинском учете, утв. постановлением Правительства РФ от 27.11.2006 № 719, Методические рекомендации Генштаба ВС РФ) </w:t>
      </w:r>
      <w:r>
        <w:rPr>
          <w:rFonts w:ascii="Times New Roman" w:hAnsi="Times New Roman" w:eastAsia="Times New Roman"/>
          <w:b/>
        </w:rPr>
        <w:t>не предусматривает проведения инструктажей работников по воинскому учету и ведения соответствующего журнала</w:t>
      </w:r>
      <w:r>
        <w:rPr>
          <w:rFonts w:ascii="Times New Roman" w:hAnsi="Times New Roman" w:eastAsia="Times New Roman"/>
          <w:b w:val="0"/>
        </w:rPr>
        <w:t>. Разъяснение работникам их обязанностей по воинскому учету осуществляется при приеме на работу под роспись в листе ознакомления с ПВТР (раздел 14).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Вместо указанного журнала в Блоке 1 разработан </w:t>
      </w:r>
      <w:r>
        <w:rPr>
          <w:rFonts w:ascii="Times New Roman" w:hAnsi="Times New Roman" w:eastAsia="Times New Roman"/>
          <w:b/>
        </w:rPr>
        <w:t>Журнал проверок состояния воинского учета</w:t>
      </w:r>
      <w:r>
        <w:rPr>
          <w:rFonts w:ascii="Times New Roman" w:hAnsi="Times New Roman" w:eastAsia="Times New Roman"/>
          <w:b w:val="0"/>
        </w:rPr>
        <w:t xml:space="preserve"> (приложение № 1 к Приказу № 5), ведение которого соответствует пункту 39 Положения № 719 и требованиям военных комиссариатов при проверках. Введение документа, не предусмотренного законодательством, создало бы избыточную обязанность, неисполнение которой фиксировалось бы проверяющими как нарушение собственного локального акта.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