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76" w:lineRule="auto"/>
        <w:jc w:val="center"/>
      </w:pPr>
      <w:r>
        <w:rPr>
          <w:rFonts w:ascii="Times New Roman" w:hAnsi="Times New Roman"/>
          <w:b/>
          <w:sz w:val="28"/>
        </w:rPr>
        <w:t>ПРОТОКОЛ РАЗНОГЛАСИЙ (ПРОЕКТ ИСПОЛНИТЕЛЯ, v2)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sz w:val="24"/>
        </w:rPr>
        <w:t>к Договору № 12-ОУТ на оказание услуг по кадровому аутсорсингу</w:t>
      </w:r>
    </w:p>
    <w:p>
      <w:pPr>
        <w:spacing w:after="240" w:line="276" w:lineRule="auto"/>
        <w:jc w:val="center"/>
      </w:pPr>
      <w:r>
        <w:rPr>
          <w:rFonts w:ascii="Times New Roman" w:hAnsi="Times New Roman"/>
          <w:b w:val="0"/>
          <w:sz w:val="22"/>
        </w:rPr>
        <w:t>от «__» июля 2026 г. между ООО «МИР» (Заказчик) и Перепечай М.П. (Исполнитель)</w:t>
      </w:r>
    </w:p>
    <w:p>
      <w:pPr>
        <w:spacing w:after="200" w:line="276" w:lineRule="auto"/>
        <w:ind w:firstLine="425"/>
        <w:jc w:val="both"/>
      </w:pPr>
      <w:r>
        <w:rPr>
          <w:rFonts w:ascii="Times New Roman" w:hAnsi="Times New Roman"/>
          <w:b w:val="0"/>
          <w:sz w:val="22"/>
        </w:rPr>
        <w:t>г. Ростов-на-Дону                                                                                                                                            «__» __________ 2026 г.</w:t>
        <w:br/>
        <w:br/>
        <w:t>Настоящий Протокол разногласий составлен между Заказчиком — Обществом с ограниченной ответственностью «МИР» (ООО «МИР», ОГРН 1156196053881, ИНН/КПП 6166094734 / 616601001, юридический адрес: 344093, Ростовская область, г. Ростов-на-Дону, ул. Туполева, д. 16Е, оф. 4.13), в лице Генерального директора Блашковского Евгения Геннадьевича, действующего на основании Устава, с одной стороны, и Исполнителем — Перепечай Марией Павловной (ИНН 613400944153), применяющей специальный налоговый режим «Налог на профессиональный доход», с другой стороны, совместно именуемыми «Стороны», о нижеследующем:</w:t>
        <w:br/>
        <w:br/>
        <w:t>Стороны достигли согласия внести в Договор № 12-ОУТ от «__» июля 2026 г. (далее — «Договор») изменения и дополнения в целях приведения условий Договора в соответствие с действующим законодательством РФ, снижения рисков переквалификации гражданско-правовых отношений в трудовые, а также уточнения порядка взаимодействия Сторон. При разрешении противоречий между текстом Договора и настоящим Протоколом Стороны руководствуются настоящим Протоколом. Все не затронутые настоящим Протоколом условия Договора остаются в силе без изменений. Настоящий Протокол вступает в силу с момента его подписания обеими Сторонами и является неотъемлемой частью Договора.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154"/>
            <w:vAlign w:val="top"/>
            <w:shd w:val="clear" w:color="auto" w:fill="D9E2F3"/>
          </w:tcPr>
          <w:p>
            <w:pPr>
              <w:spacing w:after="40" w:line="264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Пункт Договора</w:t>
            </w:r>
          </w:p>
        </w:tc>
        <w:tc>
          <w:tcPr>
            <w:tcW w:type="dxa" w:w="3118"/>
            <w:vAlign w:val="top"/>
            <w:shd w:val="clear" w:color="auto" w:fill="D9E2F3"/>
          </w:tcPr>
          <w:p>
            <w:pPr>
              <w:spacing w:after="40" w:line="264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Текущая редакция Договора</w:t>
            </w:r>
          </w:p>
        </w:tc>
        <w:tc>
          <w:tcPr>
            <w:tcW w:type="dxa" w:w="4365"/>
            <w:vAlign w:val="top"/>
            <w:shd w:val="clear" w:color="auto" w:fill="D9E2F3"/>
          </w:tcPr>
          <w:p>
            <w:pPr>
              <w:spacing w:after="40" w:line="264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Предлагаемая редакция (проект Исполнителя)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Преамбула и Раздел 1 (в начало Договора добавить новый п. 1.0)</w:t>
            </w:r>
          </w:p>
        </w:tc>
        <w:tc>
          <w:tcPr>
            <w:tcW w:type="dxa" w:w="3118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(в действующем Договоре отсутствует).</w:t>
            </w:r>
          </w:p>
        </w:tc>
        <w:tc>
          <w:tcPr>
            <w:tcW w:type="dxa" w:w="4365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«1.0. Договор является договором возмездного оказания услуг по гл. 39 ГК РФ. Исполнитель самостоятельно организует оказание Услуг, самостоятельно определяет режим, способы и время оказания Услуг, не подчиняется Правилам внутреннего трудового распорядка и иным локальным нормативным актам Заказчика, не включается в табель учёта рабочего времени и график отпусков Заказчика, использует собственные оборудование, программное обеспечение и каналы связи, если Сторонами дополнительно не согласовано предоставление доступа к информационным системам Заказчика исключительно в целях оказания Услуг. Положения Трудового кодекса РФ к отношениям Сторон не применяются.</w:t>
              <w:br/>
              <w:t>Исполнитель заверяет в соответствии со ст. 431.2 ГК РФ, что не состоит и не состоял(а) в трудовых отношениях с Заказчиком в течение двух лет, предшествующих дате Договора (п. 8 ч. 2 ст. 6 Федерального закона от 27.11.2018 № 422-ФЗ), применяет специальный налоговый режим НПД и обязуется уведомить Заказчика об утрате статуса плательщика НПД не позднее следующего рабочего дня с момента утраты. Заказчик проверяет статус плательщика НПД на официальном сервисе ФНС перед каждой выплатой; Исполнитель по запросу Заказчика предоставляет Справку о постановке на учёт в качестве плательщика НПД по форме КНД 1122035.»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П. 1.1</w:t>
            </w:r>
          </w:p>
        </w:tc>
        <w:tc>
          <w:tcPr>
            <w:tcW w:type="dxa" w:w="3118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«По настоящему Договору Исполнитель обязуется оказывать Заказчику услуги по ежемесячному комплексному кадровому обслуживанию (кадровому аутсорсингу) в отношении штатных работников Заказчика численностью до 36 (тридцати шести) человек, а также иностранных работников в количестве до 3 (трех) человек...»</w:t>
            </w:r>
          </w:p>
        </w:tc>
        <w:tc>
          <w:tcPr>
            <w:tcW w:type="dxa" w:w="4365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«По настоящему Договору Исполнитель обязуется оказывать Заказчику услуги по ежемесячному комплексному кадровому обслуживанию (кадровому аутсорсингу) в отношении штатных работников Заказчика численностью до 36 (тридцати шести) человек и иностранных работников в количестве до 3 (трёх) человек, а Заказчик обязуется принимать и своевременно оплачивать оказанные Услуги. Иностранные работники учитываются сверх лимита 36 штатных работников. Обслуживаемая численность определяется по состоянию на 1-е число каждого календарного месяца на основании реестра, согласованного Сторонами в Акте за предыдущий месяц. Вакантные единицы штатного расписания не учитываются в обслуживаемой численности до момента заключения трудового договора.»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П. 1.3</w:t>
            </w:r>
          </w:p>
        </w:tc>
        <w:tc>
          <w:tcPr>
            <w:tcW w:type="dxa" w:w="3118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«... ведение текущего воинского учета штатных работников (заполнение карточек по форме № 10, отправка текущих уведомлений в военкоматы о приеме/увольнении в установленный законом 5-дневный срок); ведение текущего миграционного учета в отношении до 3 иностранных граждан (контроль сроков действия патентов, полисов ДМС, своевременности оплаты чеков НДФЛ, текущая консультационная поддержка); текущая проверка договоров ГПХ с физическими лицами и самозанятыми (до 10 договоров в месяц)...»</w:t>
            </w:r>
          </w:p>
        </w:tc>
        <w:tc>
          <w:tcPr>
            <w:tcW w:type="dxa" w:w="4365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«... ведение текущего воинского учёта штатных работников (заполнение карточек по форме № 10, подготовка и передача Заказчику для подписания и последующей отправки проектов уведомлений в военные комиссариаты о приёме/увольнении и иных сведений в сроки, установленные законодательством РФ); ведение текущего миграционного учёта в отношении до 3 иностранных граждан (контроль сроков действия патентов, полисов ДМС, своевременности уплаты фиксированных авансовых платежей по НДФЛ по патентам на основании документов, предоставляемых Заказчиком, подготовка проектов уведомлений в УВМ МВД, текущая консультационная поддержка); текущая проверка договоров ГПХ с физическими лицами и самозанятыми (до 10 договоров в месяц) на наличие признаков трудовых отношений, проверка статуса самозанятых перед выплатами. Проверка более 10 договоров ГПХ/НПД в месяц осуществляется за отдельную плату по дополнительному соглашению Сторон. Непосредственная отправка отчётов и уведомлений в государственные органы от имени Заказчика осуществляется Исполнителем только при условии предоставления Заказчиком оформленной в установленном порядке доверенности и необходимых средств электронной подписи; в отсутствие доверенности Исполнитель несёт ответственность за своевременную подготовку проектов документов и их передачу Заказчику, а ответственность за своевременную отправку несёт Заказчик.»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П. 1.4</w:t>
            </w:r>
          </w:p>
        </w:tc>
        <w:tc>
          <w:tcPr>
            <w:tcW w:type="dxa" w:w="3118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«... разработка с нуля полных локальных нормативных актов...; полная разработка пакета документов по охране труда...; восстановление пропущенных кадровых документов за прошлые периоды...»</w:t>
            </w:r>
          </w:p>
        </w:tc>
        <w:tc>
          <w:tcPr>
            <w:tcW w:type="dxa" w:w="4365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Сохранить перечень и дополнить абзацем: «Также в ежемесячное абонентское обслуживание не входят: направление отчётов и уведомлений в государственные органы при отсутствии оформленной доверенности и сертификата электронной подписи Исполнителя; представительство интересов Заказчика в ГИТ, ФНС, СФР, Роскомнадзоре, военных комиссариатах и УВМ МВД при проведении проверок; обжалование решений и постановлений государственных органов. Указанные работы выполняются Исполнителем на основании отдельных дополнительных соглашений за отдельную плату.»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П. 2.1 (обязанности Исполнителя)</w:t>
            </w:r>
          </w:p>
        </w:tc>
        <w:tc>
          <w:tcPr>
            <w:tcW w:type="dxa" w:w="3118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«... соблюдать конфиденциальность персональных данных работников Заказчика в соответствии с ФЗ-152;... предоставлять Заказчику чек из мобильного приложения «Мой налог» после получения оплаты за Услуги.»</w:t>
            </w:r>
          </w:p>
        </w:tc>
        <w:tc>
          <w:tcPr>
            <w:tcW w:type="dxa" w:w="4365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«... соблюдать конфиденциальность персональных данных работников Заказчика в соответствии с Федеральным законом от 27.07.2006 № 152-ФЗ и на основании отдельного Поручения Заказчика на обработку персональных данных (Приложение № ___ к Договору), являющегося его неотъемлемой частью; своевременно информировать руководство Заказчика о выявленных рисках и необходимости принятия кадровых решений; предоставлять Заказчику чек НПД в сроки, установленные ст. 14 Федерального закона от 27.11.2018 № 422-ФЗ; для безналичных расчётов по Договору Стороны договорились о направлении чека в электронном виде на адрес Заказчика не позднее 3 (трёх) рабочих дней с даты поступления оплаты (договорный сокращённый срок). Исполнитель по запросу Заказчика предоставляет Справку о постановке на учёт в качестве плательщика НПД по форме КНД 1122035.»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П. 2.2 (обязанности Заказчика)</w:t>
            </w:r>
          </w:p>
        </w:tc>
        <w:tc>
          <w:tcPr>
            <w:tcW w:type="dxa" w:w="3118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«... своевременно предоставлять Исполнителю документы, сведения, персональные данные и сканы документов, необходимые для оказания Услуг в соответствии с согласованным Графиком документооборота;... назначить ответственное контактное лицо...»</w:t>
            </w:r>
          </w:p>
        </w:tc>
        <w:tc>
          <w:tcPr>
            <w:tcW w:type="dxa" w:w="4365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«... своевременно предоставлять Исполнителю документы, сведения, персональные данные и сканы документов, необходимые для оказания Услуг в соответствии с Графиком документооборота (Приложение № ___ к Договору), в котором Стороны согласовывают состав, сроки и порядок передачи документов для каждой кадровой процедуры. До утверждения указанного Графика применяются следующие сроки: для обычных кадровых процедур — не позднее 3 рабочих дней с момента кадрового события; для уведомлений в СФР (ЕФС-1), УВМ МВД и военные комиссариаты — не позднее 1 рабочего дня с момента события. При предоставлении документов Заказчиком менее чем за 1 рабочий день до установленного законом срока подачи Исполнитель не несёт ответственности за пропуск срока подачи. Заказчик предоставляет Исполнителю доверенности, необходимые доступы и (при необходимости) сертификаты электронной подписи; назначает контактное лицо, уполномоченное на оперативное взаимодействие и подписание Актов; своевременно и в полном объёме оплачивает Услуги.»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П. 3.1 (стоимость и НДС)</w:t>
            </w:r>
          </w:p>
        </w:tc>
        <w:tc>
          <w:tcPr>
            <w:tcW w:type="dxa" w:w="3118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«Стоимость ежемесячного кадрового аутсорсинга... составляет 25 000 (двадцать пять тысяч) рублей 00 копеек в месяц. НДС не облагается в связи с применением Исполнителем специального налогового режима «Налог на профессиональный доход».»</w:t>
            </w:r>
          </w:p>
        </w:tc>
        <w:tc>
          <w:tcPr>
            <w:tcW w:type="dxa" w:w="4365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«Стоимость Услуг составляет 25 000 (двадцать пять тысяч) рублей за календарный месяц оказания Услуг при обслуживаемой численности штатных работников Заказчика не более 36 (тридцати шести) человек и иностранных работников не более 3 (трёх) человек. Стоимость Услуг НДС не облагается, поскольку Исполнитель применяет специальный налоговый режим НПД и в силу п. 1 ст. 143 НК РФ не является плательщиком НДС. В случае увеличения обслуживаемой численности сверх указанных лимитов стоимость Услуг автоматически пересчитывается, начиная с месяца, в котором произошло такое увеличение: базовая удельная ставка — 694 (шестьсот девяносто четыре) рубля за каждого дополнительного штатного работника в месяц; за каждого дополнительного иностранного работника — 1 500 (одна тысяча пятьсот) рублей в месяц. Стоимость дополнительных работ, не предусмотренных п. 1.3 Договора, согласовывается Сторонами в дополнительном соглашении; Исполнитель вправе не приступать к таким работам до согласования их стоимости.»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П. 3.2 (порядок оплаты)</w:t>
            </w:r>
          </w:p>
        </w:tc>
        <w:tc>
          <w:tcPr>
            <w:tcW w:type="dxa" w:w="3118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«Оплата услуг производится Заказчиком ежемесячно в порядке 100% предоплаты в срок не позднее 5 (пятого) числа текущего календарного месяца обслуживания путем перечисления денежных средств на расчетный счет Исполнителя.»</w:t>
            </w:r>
          </w:p>
        </w:tc>
        <w:tc>
          <w:tcPr>
            <w:tcW w:type="dxa" w:w="4365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«Оплата Услуг производится Заказчиком ежемесячно в порядке 100% предоплаты в срок не позднее 5 (пятого) числа текущего календарного месяца на расчётный счёт Исполнителя. При неоплате в установленный срок Исполнитель вправе не приступать к оказанию Услуг либо приостановить их оказание, уведомив Заказчика не позднее чем за 1 рабочий день до приостановки в письменном виде (в том числе по согласованному каналу электронной связи) с перечнем срочных задач, сроки по которым истекают в период приостановки. Срок оказания Услуг продлевается на период просрочки оплаты, за исключением сроков подачи отчётности в государственные органы, ответственность за которые в период приостановки несёт Заказчик. При досрочном расторжении Договора неотработанная часть предоплаты подлежит возврату Заказчику за вычетом стоимости фактически оказанных Исполнителем до даты расторжения Услуг и документально подтверждённых расходов Исполнителя. Любое изменение порядка оплаты на постоплату оформляется дополнительным соглашением Сторон.»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П. 3.4 (Акт, исправление опечатки «3.4:»)</w:t>
            </w:r>
          </w:p>
        </w:tc>
        <w:tc>
          <w:tcPr>
            <w:tcW w:type="dxa" w:w="3118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«3.4: По истечении каждого календарного месяца обслуживания, не позднее 5-го числа следующего месяца, Исполнитель направляет Заказчику в электронном виде Акт сдачи-приемки оказанных услуг за прошедший месяц... Услуги за отчетный месяц считаются оказанными надлежащим образом, принятыми Заказчиком в полном объеме и подлежат оплате.»</w:t>
            </w:r>
          </w:p>
        </w:tc>
        <w:tc>
          <w:tcPr>
            <w:tcW w:type="dxa" w:w="4365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«3.4. По истечении каждого календарного месяца оказания Услуг, не позднее 5-го числа следующего месяца, Исполнитель направляет Заказчику по согласованному каналу электронной связи Акт сдачи-приёмки оказанных Услуг с детализацией (количество оформленных приёмов/увольнений/переводов, подготовленных приказов, форм ЕФС-1, уведомлений в военные комиссариаты и УВМ МВД, проверенных договоров ГПХ/НПД, консультационных обращений и иных работ). Заказчик в течение 3 (трёх) рабочих дней с момента подтверждённой доставки Акта подписывает его и направляет Исполнителю электронную копию либо направляет мотивированный отказ на согласованный адрес электронной почты Исполнителя. Стороны признают юридическую силу документов, направленных по согласованным электронным каналам связи (e-mail и мессенджеры, указанные в Дополнении к Договору), при условии что они позволяют достоверно установить отправителя. Неполучение Исполнителем подписанного Акта либо мотивированного отказа в указанный срок считается согласием Заказчика с объёмом, качеством и стоимостью оказанных Услуг в соответствии с п. 3 ст. 438 ГК РФ. Услуги, принятые по молчаливой приёмке, считаются оплаченными за счёт ранее внесённой предоплаты; последнее предложение абзаца не создаёт обязанности Заказчика по повторной оплате.»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П. 4.2 (освобождение от ответственности)</w:t>
            </w:r>
          </w:p>
        </w:tc>
        <w:tc>
          <w:tcPr>
            <w:tcW w:type="dxa" w:w="3118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«Исполнитель не несет ответственности за любые штрафы, пени, доначисления и санкции... если указанные санкции вызваны нарушениями Заказчика, допущенными до даты заключения настоящего Договора, либо в случае нарушения Заказчиком установленных сроков предоставления... сведений и документов.»</w:t>
            </w:r>
          </w:p>
        </w:tc>
        <w:tc>
          <w:tcPr>
            <w:tcW w:type="dxa" w:w="4365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«Исполнитель не несёт ответственности за любые штрафы, пени, доначисления и санкции, наложенные на Заказчика государственными органами (ГИТ, ФНС, СФР, Роскомнадзор, военные комиссариаты, УВМ МВД), если указанные санкции вызваны: (а) нарушениями Заказчика, допущенными до даты заключения Договора; (б) нарушением Заказчиком установленных Договором и Графиком документооборота сроков предоставления сведений и документов; (в) предоставлением Заказчиком недостоверных, неполных или поддельных документов и сведений; (г) неисполнением Заказчиком или его работниками письменных рекомендаций Исполнителя (в том числе направленных по согласованным каналам электронной связи), включая рекомендации о необходимости приостановить действия, запросить дополнительные документы или не подписывать подготовленные проекты без дополнительной проверки; (д) самостоятельным принятием Заказчиком кадровых решений, подписанием или отправкой документов без согласования с Исполнителем, либо неотправкой Заказчиком подготовленных Исполнителем проектов в установленные законом сроки; (е) деяниями контактных лиц и иных работников Заказчика; (ж) сбоями в работе информационных систем государственных органов, порталов Госуслуг, СФР, ФНС, военных комиссариатов, УВМ МВД, а также сбоями в работе сетей связи общего пользования, произошедшими не по вине Исполнителя, при условии уведомления Заказчика не позднее следующего рабочего дня с момента возникновения сбоя и использования Исполнителем разумных альтернативных способов подачи.»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П. 4.4 (предел ответственности)</w:t>
            </w:r>
          </w:p>
        </w:tc>
        <w:tc>
          <w:tcPr>
            <w:tcW w:type="dxa" w:w="3118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«Совокупный размер ответственности Исполнителя... ограничивается размером ежемесячного вознаграждения... (но не более 25 000 рублей). Упущенная выгода Заказчика возмещению Исполнителем не подлежит.»</w:t>
            </w:r>
          </w:p>
        </w:tc>
        <w:tc>
          <w:tcPr>
            <w:tcW w:type="dxa" w:w="4365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«Совокупный размер гражданско-правовой ответственности Исполнителя перед Заказчиком по Договору (включая возмещение реального ущерба, неустойки и возмещение сумм административных санкций, наложенных на Заказчика в связи с виновными действиями Исполнителя) ограничивается суммой вознаграждения Исполнителя за тот календарный месяц, в котором произошло событие, послужившее основанием для ответственности (но не более 25 000 рублей за один календарный месяц). Упущенная выгода Заказчика возмещению не подлежит. Настоящее ограничение не применяется к умышленному нарушению обязательств в случаях, установленных законом (п. 4 ст. 401 ГК РФ), и не затрагивает публичную ответственность Заказчика перед государственными органами и третьими лицами. Зачёт встречных требований Заказчика к Исполнителю против причитающегося Исполнителю вознаграждения допускается только на основании вступившего в законную силу судебного решения либо по письменному согласию Исполнителя. Претензии по качеству оказанных Услуг направляются Сторонами в письменном виде в течение 30 календарных дней с момента, когда сторона узнала или должна была узнать об основании претензии; по санкциям государственных органов — в течение 10 рабочих дней с момента получения предписания/постановления, при этом Исполнителю предоставляется право участвовать в обжаловании.»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П. 4.5 (неустойка)</w:t>
            </w:r>
          </w:p>
        </w:tc>
        <w:tc>
          <w:tcPr>
            <w:tcW w:type="dxa" w:w="3118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«... неустойку в размере 0.5% от суммы задолженности за каждый календарный день просрочки. При просрочке оплаты более чем на 3 (три) календарных дня Исполнитель вправе приостановить оказание услуг...»</w:t>
            </w:r>
          </w:p>
        </w:tc>
        <w:tc>
          <w:tcPr>
            <w:tcW w:type="dxa" w:w="4365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Сохранить содержание, дополнить после слов «... до момента полного погашения задолженности.» абзацем: «Стороны признают размер указанной неустойки соразмерным возможным убыткам Исполнителя. Сумма неустойки ограничивается размером суммы задолженности. Положения настоящего пункта не исключают права Исполнителя воспользоваться приостановкой Услуг в соответствии с условиями п. 3.2 Договора.»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Новый раздел «Форс-мажор» (вставить после п. 4.5)</w:t>
            </w:r>
          </w:p>
        </w:tc>
        <w:tc>
          <w:tcPr>
            <w:tcW w:type="dxa" w:w="3118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(в действующем Договоре отсутствует).</w:t>
            </w:r>
          </w:p>
        </w:tc>
        <w:tc>
          <w:tcPr>
            <w:tcW w:type="dxa" w:w="4365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«Стороны освобождаются от ответственности за частичное или полное неисполнение обязательств по Договору, если такое неисполнение явилось следствием обстоятельств непреодолимой силы (форс-мажора): стихийных бедствий, военных действий, террористических актов, массовых беспорядков, вступления в силу нормативных актов, прямо запрещающих исполнение обязательств. К обстоятельствам, освобождающим Исполнителя от ответственности за просрочку подачи отчётности, также относятся подтверждённые сбои в работе государственных информационных систем (Госуслуг, СФР, ФНС, военных комиссариатов, УВМ МВД) продолжительностью более 2 рабочих дней подряд при условии уведомления Заказчика не позднее следующего рабочего дня с момента возникновения сбоя и использования Исполнителем разумных альтернативных способов подачи. Срок исполнения обязательств автоматически продлевается на период действия обстоятельств форс-мажора, за исключением сроков, установленных законодательством РФ перед государственными органами.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Раздел 5 (перенумерация и дополнение)</w:t>
            </w:r>
          </w:p>
        </w:tc>
        <w:tc>
          <w:tcPr>
            <w:tcW w:type="dxa" w:w="3118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«4.1. Настоящий Договор вступает в силу... на срок 6 месяцев.</w:t>
              <w:br/>
              <w:t>4.2. Договор может быть расторгнут... не менее чем за 30 календарных дней...»</w:t>
            </w:r>
          </w:p>
        </w:tc>
        <w:tc>
          <w:tcPr>
            <w:tcW w:type="dxa" w:w="4365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«5.1. Настоящий Договор вступает в силу с даты его подписания Сторонами и заключается на срок 6 (шесть) месяцев.</w:t>
              <w:br/>
              <w:t>5.2. Договор может быть расторгнут по соглашению Сторон либо в одностороннем внесудебном порядке с письменным уведомлением другой Стороны не менее чем за 30 календарных дней до предполагаемой даты расторжения.</w:t>
              <w:br/>
              <w:t>5.3. При расторжении Стороны в течение 5 рабочих дней с даты расторжения подписывают итоговый Акт оказанных Услуг и Акт приёма-передачи документов и материальных носителей, содержащих персональные данные работников Заказчика, с перечнем незавершённых процедур и ближайших внешних сроков. После подписания указанного Акта Исполнитель в течение 30 календарных дней возвращает Заказчику оригиналы кадровых документов (по описи), после чего уничтожает рабочие копии, содержащие персональные данные, за исключением копий документов, хранение которых обязательно для Исполнителя в соответствии с законодательством РФ (договор, Акты, платёжные документы, переписка по спорам). Доступ Исполнителя к информационным системам Заказчика блокируется в дату расторжения.</w:t>
              <w:br/>
              <w:t>5.4. При расторжении Стороны руководствуются правилами ст. 782 ГК РФ: при отказе Заказчика от Договора он оплачивает стоимость фактически оказанных Услуг и компенсирует документально подтверждённые расходы Исполнителя; при отказе Исполнителя от Договора он возмещает Заказчику реальный ущерб в пределах, установленных п. 4.4 Договора.»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Новый раздел «Права на результаты Услуг» (вставить после Раздела 5)</w:t>
            </w:r>
          </w:p>
        </w:tc>
        <w:tc>
          <w:tcPr>
            <w:tcW w:type="dxa" w:w="3118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(в действующем Договоре отсутствует).</w:t>
            </w:r>
          </w:p>
        </w:tc>
        <w:tc>
          <w:tcPr>
            <w:tcW w:type="dxa" w:w="4365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«Исключительное право на подготовленные Исполнителем кадровые и иные документы Заказчика (приказы, трудовые договоры, дополнительные соглашения, отчётные формы ЕФС-1, уведомления в государственные органы, карточки формы Т-2, формы № 10 и иные документы), являющиеся объектами авторского права, переходит к Заказчику в полном объёме с момента подписания соответствующего Акта приёмки в соответствии со ст. 1234, 1288 ГК РФ. За Исполнителем сохраняются права на разработанные ею до заключения Договора шаблоны, методики, формы документов, ноу-хау, базы знаний и типовые формулировки, которые могут использоваться Исполнителем при оказании услуг другим заказчикам; Заказчик не вправе требовать передачи указанных шаблонов как самостоятельного результата после прекращения Договора, при этом Заказчик сохраняет право использования и доработки оплаченных документов, переданных ему в рамках исполнения Договора.»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П. 2.1 (конфиденциальность, дополнить абзацем)</w:t>
            </w:r>
          </w:p>
        </w:tc>
        <w:tc>
          <w:tcPr>
            <w:tcW w:type="dxa" w:w="3118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«... соблюдать конфиденциальность персональных данных работников Заказчика в соответствии с ФЗ-152.»</w:t>
            </w:r>
          </w:p>
        </w:tc>
        <w:tc>
          <w:tcPr>
            <w:tcW w:type="dxa" w:w="4365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«... соблюдать конфиденциальность сведений, ставших известными в связи с исполнением Договора, в том числе коммерческой тайны и персональных данных работников Заказчика, в объёме и порядке, установленном Поручением на обработку персональных данных и законодательством РФ. Обязанность соблюдения конфиденциальности действует в течение срока действия Договора и 3 (трёх) лет после его прекращения, за исключением сведений, для которых законодательством установлен более длительный срок охраны.»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Раздел 6 (реквизиты, дополнить)</w:t>
            </w:r>
          </w:p>
        </w:tc>
        <w:tc>
          <w:tcPr>
            <w:tcW w:type="dxa" w:w="3118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В разделе указаны банковские реквизиты и телефоны, но не указаны согласованные адреса электронной почты и мессенджеры для юридически значимых сообщений.</w:t>
            </w:r>
          </w:p>
        </w:tc>
        <w:tc>
          <w:tcPr>
            <w:tcW w:type="dxa" w:w="4365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Дополнить раздел реквизитами согласованных каналов электронной связи: e-mail Исполнителя — m.perepechay@yandex.ru; e-mail Заказчика — buh@ooomir.org; номера мессенджеров и порядок смены реквизитов — заполняется при подписании. Стороны договорились, что сообщения, направленные по указанным каналам, считаются доставленными в день направления (при отправке до 18:00 рабочего дня) либо в следующий рабочий день; Сторона, сменившая реквизиты без уведомления, несёт риск связанных с этим неблагоприятных последствий.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Приложения к Договору</w:t>
            </w:r>
          </w:p>
        </w:tc>
        <w:tc>
          <w:tcPr>
            <w:tcW w:type="dxa" w:w="3118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В Договоре есть ссылка на «График документооборота», но приложения не перечислены.</w:t>
            </w:r>
          </w:p>
        </w:tc>
        <w:tc>
          <w:tcPr>
            <w:tcW w:type="dxa" w:w="4365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Считать неотъемлемыми частями Договора следующие приложения (подготавливаются Сторонами до начала регулярного оказания Услуг):</w:t>
              <w:br/>
              <w:t>• Приложение № ___ — График документооборота (сроки и порядок передачи документов, матрица «готовит — подписывает — отправляет — хранит подтверждение» для СФР, УВМ МВД, военных комиссариатов);</w:t>
              <w:br/>
              <w:t>• Приложение № ___ — Поручение Заказчика на обработку персональных данных (с объёмом, целями, операциями, требованиями к безопасности, уведомлением об инцидентах в течение 2 часов с момента обнаружения, порядком возврата/уничтожения данных, привязкой к пределу ответственности п. 4.4);</w:t>
              <w:br/>
              <w:t>• Приложение № ___ — Форма Акта сдачи-приёмки оказанных Услуг (с детализацией).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Технические исправления</w:t>
            </w:r>
          </w:p>
        </w:tc>
        <w:tc>
          <w:tcPr>
            <w:tcW w:type="dxa" w:w="3118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П. 3.4 начинается с «3.4:»; пункты Раздела 5 пронумерованы как 4.1 и 4.2; дата договора не заполнена.</w:t>
            </w:r>
          </w:p>
        </w:tc>
        <w:tc>
          <w:tcPr>
            <w:tcW w:type="dxa" w:w="4365"/>
            <w:vAlign w:val="top"/>
          </w:tcPr>
          <w:p>
            <w:pPr>
              <w:spacing w:after="40" w:line="264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Исправить «3.4:» на «3.4.»; перенумеровать пункты Раздела 5 как 5.1, 5.2 и далее; вписать фактическую дату подписания; проверить сквозные ссылки на номера пунктов и приложений.</w:t>
            </w:r>
          </w:p>
        </w:tc>
      </w:tr>
    </w:tbl>
    <w:p>
      <w:pPr>
        <w:spacing w:after="120" w:line="276" w:lineRule="auto"/>
      </w:pPr>
      <w:r>
        <w:rPr>
          <w:rFonts w:ascii="Times New Roman" w:hAnsi="Times New Roman"/>
          <w:b w:val="0"/>
          <w:sz w:val="22"/>
        </w:rPr>
      </w:r>
    </w:p>
    <w:p>
      <w:pPr>
        <w:spacing w:after="360" w:line="276" w:lineRule="auto"/>
        <w:ind w:firstLine="425"/>
        <w:jc w:val="both"/>
      </w:pPr>
      <w:r>
        <w:rPr>
          <w:rFonts w:ascii="Times New Roman" w:hAnsi="Times New Roman"/>
          <w:b w:val="0"/>
          <w:sz w:val="22"/>
        </w:rPr>
        <w:t>Настоящий Протокол составлен в 2 (двух) экземплярах, имеющих равную юридическую силу, по одному для каждой из Сторон. С даты подписания настоящего Протокола все упоминания в Договоре об условиях, изменённых Протоколом, трактуются в редакции Протокола. Положения Договора, не затронутые настоящим Протоколом, сохраняют силу в неизменном виде.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80"/>
            </w:pPr>
            <w:r/>
            <w:r>
              <w:rPr>
                <w:rFonts w:ascii="Times New Roman" w:hAnsi="Times New Roman"/>
                <w:b/>
                <w:sz w:val="22"/>
              </w:rPr>
              <w:t>ЗАКАЗЧИК: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80"/>
            </w:pPr>
            <w:r/>
            <w:r>
              <w:rPr>
                <w:rFonts w:ascii="Times New Roman" w:hAnsi="Times New Roman"/>
                <w:b/>
                <w:sz w:val="22"/>
              </w:rPr>
              <w:t>ИСПОЛНИТЕЛЬ:</w:t>
            </w:r>
          </w:p>
        </w:tc>
      </w:tr>
      <w:t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80"/>
            </w:pPr>
            <w:r/>
            <w:r>
              <w:rPr>
                <w:rFonts w:ascii="Times New Roman" w:hAnsi="Times New Roman"/>
                <w:b w:val="0"/>
                <w:sz w:val="22"/>
              </w:rPr>
              <w:t>ООО «МИР» (Ростов-на-Дону)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80"/>
            </w:pPr>
            <w:r/>
            <w:r>
              <w:rPr>
                <w:rFonts w:ascii="Times New Roman" w:hAnsi="Times New Roman"/>
                <w:b w:val="0"/>
                <w:sz w:val="22"/>
              </w:rPr>
              <w:t>Перепечай М.П.</w:t>
            </w:r>
          </w:p>
        </w:tc>
      </w:tr>
      <w:t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80"/>
            </w:pPr>
            <w:r/>
            <w:r>
              <w:rPr>
                <w:rFonts w:ascii="Times New Roman" w:hAnsi="Times New Roman"/>
                <w:b w:val="0"/>
                <w:sz w:val="22"/>
              </w:rPr>
              <w:t>ИНН/КПП 6166094734 / 616601001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80"/>
            </w:pPr>
            <w:r/>
            <w:r>
              <w:rPr>
                <w:rFonts w:ascii="Times New Roman" w:hAnsi="Times New Roman"/>
                <w:b w:val="0"/>
                <w:sz w:val="22"/>
              </w:rPr>
              <w:t>ИНН 613400944153 (НПД)</w:t>
            </w:r>
          </w:p>
        </w:tc>
      </w:tr>
      <w:t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80"/>
            </w:pPr>
            <w:r/>
            <w:r>
              <w:rPr>
                <w:rFonts w:ascii="Times New Roman" w:hAnsi="Times New Roman"/>
                <w:b w:val="0"/>
                <w:sz w:val="22"/>
              </w:rPr>
              <w:t>Генеральный директор</w:t>
              <w:br/>
              <w:t>________________ / Блашковский Е.Г.</w:t>
              <w:br/>
              <w:t>(подпись, расшифровка)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80"/>
            </w:pPr>
            <w:r/>
            <w:r>
              <w:rPr>
                <w:rFonts w:ascii="Times New Roman" w:hAnsi="Times New Roman"/>
                <w:b w:val="0"/>
                <w:sz w:val="22"/>
              </w:rPr>
              <w:t>________________ / Перепечай М.П.</w:t>
              <w:br/>
              <w:t>(подпись, расшифровка)</w:t>
            </w:r>
          </w:p>
        </w:tc>
      </w:tr>
      <w:t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80"/>
            </w:pPr>
            <w:r/>
            <w:r>
              <w:rPr>
                <w:rFonts w:ascii="Times New Roman" w:hAnsi="Times New Roman"/>
                <w:b w:val="0"/>
                <w:sz w:val="22"/>
              </w:rPr>
              <w:t>«__» ______________ 2026 г.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80"/>
            </w:pPr>
            <w:r/>
            <w:r>
              <w:rPr>
                <w:rFonts w:ascii="Times New Roman" w:hAnsi="Times New Roman"/>
                <w:b w:val="0"/>
                <w:sz w:val="22"/>
              </w:rPr>
              <w:t>«__» ______________ 2026 г.</w:t>
            </w:r>
          </w:p>
        </w:tc>
      </w:tr>
    </w:tbl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