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ConsPlusTitle"/>
        <w:contextualSpacing/>
        <w:jc w:val="center"/>
      </w:pPr>
      <w:r>
        <w:rPr>
          <w:rFonts w:ascii="Times New Roman" w:hAnsi="Times New Roman"/>
          <w:sz w:val="28"/>
          <w:szCs w:val="28"/>
        </w:rPr>
        <w:t xml:space="preserve">Государственное санитарно-эпидемиологическое нормирование</w:t>
      </w:r>
    </w:p>
    <w:p>
      <w:pPr>
        <w:pStyle w:val="ConsPlusTitle"/>
        <w:contextualSpacing/>
        <w:jc w:val="center"/>
      </w:pPr>
      <w:r>
        <w:rPr>
          <w:rFonts w:ascii="Times New Roman" w:hAnsi="Times New Roman"/>
          <w:sz w:val="28"/>
          <w:szCs w:val="28"/>
        </w:rPr>
        <w:t xml:space="preserve">Российской Федерации</w:t>
      </w:r>
    </w:p>
    <w:p>
      <w:pPr>
        <w:pStyle w:val="ConsPlusTitle"/>
        <w:contextualSpacing/>
        <w:jc w:val="center"/>
      </w:pPr>
      <w:r>
        <w:rPr>
          <w:rFonts w:ascii="Times New Roman" w:hAnsi="Times New Roman"/>
          <w:sz w:val="28"/>
          <w:szCs w:val="28"/>
        </w:rPr>
        <w:t xml:space="preserve">4.2. ПРОФИЛАКТИКА ПАРАЗИТАРНЫХ БОЛЕЗНЕЙ</w:t>
      </w:r>
    </w:p>
    <w:p>
      <w:pPr>
        <w:pStyle w:val="ConsPlusTitle"/>
        <w:contextualSpacing/>
        <w:jc w:val="center"/>
      </w:pPr>
      <w:r>
        <w:rPr>
          <w:rFonts w:ascii="Times New Roman" w:hAnsi="Times New Roman"/>
          <w:sz w:val="28"/>
          <w:szCs w:val="28"/>
        </w:rPr>
        <w:t xml:space="preserve">МЕТОДЫ САНИТАРНО-ПАРАЗИТОЛОГИЧЕСКИХ ИССЛЕДОВАНИЙ ОБЪЕКТОВ ВНЕШНЕЙ СРЕДЫ</w:t>
      </w:r>
    </w:p>
    <w:p>
      <w:pPr>
        <w:pStyle w:val="ConsPlusTitle"/>
        <w:contextualSpacing/>
        <w:jc w:val="center"/>
      </w:pPr>
      <w:r>
        <w:rPr>
          <w:rFonts w:ascii="Times New Roman" w:hAnsi="Times New Roman"/>
          <w:sz w:val="28"/>
          <w:szCs w:val="28"/>
        </w:rPr>
        <w:t xml:space="preserve">Методические указания</w:t>
      </w:r>
    </w:p>
    <w:p>
      <w:pPr>
        <w:pStyle w:val="ConsPlusTitle"/>
        <w:contextualSpacing/>
        <w:jc w:val="center"/>
      </w:pPr>
      <w:r>
        <w:rPr>
          <w:rFonts w:ascii="Times New Roman" w:hAnsi="Times New Roman"/>
          <w:sz w:val="28"/>
          <w:szCs w:val="28"/>
        </w:rPr>
        <w:t xml:space="preserve">МУК 4.2.____-26</w:t>
      </w:r>
    </w:p>
    <w:p>
      <w:pPr>
        <w:pStyle w:val="ConsPlusTitle"/>
        <w:contextualSpacing/>
        <w:jc w:val="center"/>
      </w:pPr>
      <w:r>
        <w:rPr>
          <w:rFonts w:ascii="Times New Roman" w:hAnsi="Times New Roman"/>
          <w:sz w:val="28"/>
          <w:szCs w:val="28"/>
        </w:rPr>
        <w:t xml:space="preserve">Москва 2026</w:t>
      </w:r>
    </w:p>
    <w:p>
      <w:pPr>
        <w:pStyle w:val="ConsPlusTitle"/>
        <w:contextualSpacing/>
        <w:jc w:val="center"/>
      </w:pPr>
      <w:r>
        <w:rPr>
          <w:rFonts w:ascii="Times New Roman" w:hAnsi="Times New Roman"/>
          <w:sz w:val="28"/>
          <w:szCs w:val="28"/>
        </w:rPr>
        <w:t xml:space="preserve">Методы санитарно-паразитологических исследований объектов внешней среды. МУК 4.2.____-26.</w:t>
      </w:r>
    </w:p>
    <w:p>
      <w:pPr>
        <w:widowControl w:val="0"/>
        <w:spacing w:before="0" w:after="60" w:line="240" w:lineRule="auto"/>
        <w:ind w:firstLine="709"/>
        <w:jc w:val="both"/>
      </w:pPr>
      <w:r>
        <w:rPr>
          <w:rFonts w:ascii="Times New Roman" w:hAnsi="Times New Roman"/>
          <w:sz w:val="28"/>
          <w:szCs w:val="28"/>
        </w:rPr>
        <w:t xml:space="preserve">1. Разработаны ФБУН «Ростовский НИИ микробиологии и паразитологии» Роспотребнадзора (Т.И. Твердохлебова, Л.Л. Димидова, О.С. Оксенюк, И.В. Хуторянина, М.П. Черникова, В.В. Агафонова, О.С. Думбадзе); ФБУН «Тюменский НИИ краевой инфекционной патологии» Роспотребнадзора (Т.Ф. Степанова, М.И. Беляева, Р.В. Кошкарев, С.А. Кротов); ФБУН «Хабаровский НИИ эпидемиологии и микробиологии» Роспотребнадзора (О.Е. Троценко, А.Г. Драгомерецкая); Институтом медицинской паразитологии, тропических и трансмиссивных заболеваний им. Е.И. Марциновского Первого МГМУ им. И.М. Сеченова (В.П. Сергиев, А.Н. Лукашев, О.П. Зеля, Е.Н. Морозов, Л.Ф. Морозова, Н.А. Турбабина, В.Д. Завойкин); ФГБУ «ЦСП» ФМБА России (С.М. Юдин, Ю.А. Рахманин, М.М. Асланова, А.В. Загайнова, Д.В. Ракитина, Т.Р. Мания); ФГБОУ ДПО РМАНПО Минздрава России (Т.В. Гололобова, Т.И. Авдюхина, А.А. Андросов, В.М. Ракова); ФНЦГ им. Ф.Ф. Эрисмана Роспотребнадзора (Ю.В. Демина, Н.И. Еремеева, А.В. Ильякова, А.С. Старикова, В.А. Новикова, Ф.А. Мукабенова); ФБУЗ «Федеральный центр гигиены и эпидемиологии» Роспотребнадзора (М.В. Зароченцев); ФБУЗ «Центр гигиены и эпидемиологии в г. Москва» Роспотребнадзора (Н.И. Тимошенко, М.В. Касаткина); Управлением Роспотребнадзора по Ростовской области (Е.В. Ковалев, Е.Г. Ерганова, Н.В. Леоненко, Г.В. Портнова); Управлением Роспотребнадзора по Карачаево-Черкесской Республике (С.В. Бескакотов, К.Х. Болатчиев); ФБУЗ «Центр гигиены и эпидемиологии в Ростовской области» Роспотребнадзора (Г.В. Карпущенко, Г.В. Стрельникова); ФБУЗ «Центр гигиены и эпидемиологии в Ханты-Мансийском автономном округе» Роспотребнадзора (Н.А. Остапенко, О.В. Моськина).</w:t>
      </w:r>
    </w:p>
    <w:p>
      <w:pPr>
        <w:widowControl w:val="0"/>
        <w:spacing w:before="0" w:after="60" w:line="240" w:lineRule="auto"/>
        <w:ind w:firstLine="709"/>
        <w:jc w:val="both"/>
      </w:pPr>
      <w:r>
        <w:rPr>
          <w:rFonts w:ascii="Times New Roman" w:hAnsi="Times New Roman"/>
          <w:sz w:val="28"/>
          <w:szCs w:val="28"/>
        </w:rPr>
        <w:t xml:space="preserve">2. Утверждены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А.Ю. Поповой «01» сентября 2026 г.</w:t>
      </w:r>
    </w:p>
    <w:p>
      <w:pPr>
        <w:widowControl w:val="0"/>
        <w:spacing w:before="0" w:after="60" w:line="240" w:lineRule="auto"/>
        <w:ind w:firstLine="709"/>
        <w:jc w:val="both"/>
      </w:pPr>
      <w:r>
        <w:rPr>
          <w:rFonts w:ascii="Times New Roman" w:hAnsi="Times New Roman"/>
          <w:sz w:val="28"/>
          <w:szCs w:val="28"/>
        </w:rPr>
        <w:t xml:space="preserve">3. МУК 4.2.____-26 введены взамен МУК 4.2.2661-10 «Методы санитарно-паразитологических исследований», утверждённых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23.07.2010, и МУК 4.2.2314-08 «Методы санитарно-паразитологического анализа воды», утверждённых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18.01.2008.</w:t>
      </w:r>
    </w:p>
    <w:p>
      <w:pPr>
        <w:widowControl w:val="0"/>
        <w:spacing w:before="0" w:after="60" w:line="240" w:lineRule="auto"/>
        <w:ind w:firstLine="709"/>
        <w:jc w:val="both"/>
      </w:pPr>
      <w:r>
        <w:rPr>
          <w:rFonts w:ascii="Times New Roman" w:hAnsi="Times New Roman"/>
          <w:sz w:val="28"/>
          <w:szCs w:val="28"/>
        </w:rPr>
        <w:t xml:space="preserve">Не применяются на территории Российской Федерации: пункты 3.1–3.7 и приложения 11–13 МУК 4.2.1884-04 «Санитарно-микробиологический и санитарно-паразитологический анализ воды поверхностных водных объектов» (в редакции МУК 4.2.2793-10, МУК 4.2.3691-21, МУК 4.2.3721-21); пункты 4, 5, 9.4, 13 и приложение 1 МУК 4.2.2959-11 «Методы санитарно-микробиологического и санитарно-паразитологического анализа прибрежных вод морей в местах водопользования населения».</w:t>
      </w:r>
    </w:p>
    <w:p>
      <w:pPr>
        <w:widowControl w:val="0"/>
        <w:spacing w:before="0" w:after="60" w:line="240" w:lineRule="auto"/>
        <w:ind w:firstLine="709"/>
        <w:jc w:val="both"/>
      </w:pPr>
      <w:r>
        <w:rPr>
          <w:rFonts w:ascii="Times New Roman" w:hAnsi="Times New Roman"/>
          <w:sz w:val="28"/>
          <w:szCs w:val="28"/>
        </w:rPr>
        <w:t xml:space="preserve">Пункты 6.6–6.9 и 7.1–7.8 МУК 4.2.796-99 (МУК 4.2.2661-10) в части методов для навоза, навозных стоков, твёрдых бытовых отходов, снега, травы и сена, пыли и воздуха, моллюсков, испытания овицидов и протистоцидной активности продолжают применяться до утверждения соответствующих положений настоящих МУК.</w:t>
      </w:r>
    </w:p>
    <w:p>
      <w:pPr>
        <w:widowControl w:val="0"/>
        <w:spacing w:before="0" w:after="60" w:line="240" w:lineRule="auto"/>
        <w:ind w:firstLine="709"/>
        <w:jc w:val="both"/>
      </w:pPr>
      <w:r>
        <w:rPr>
          <w:rFonts w:ascii="Times New Roman" w:hAnsi="Times New Roman"/>
          <w:sz w:val="28"/>
          <w:szCs w:val="28"/>
        </w:rPr>
        <w:t xml:space="preserve">Методические рекомендации по использованию прозрачных аналитических трековых мембран для санитарно-паразитологических исследований воды (утверждены заместителем Главного государственного санитарного врача Российской Федерации 26.06.2003) применяются без обозначения «МУК» (регистрационный номер не присвоен).</w:t>
      </w:r>
    </w:p>
    <w:tbl>
      <w:tblPr>
        <w:tblW w:w="0" w:type="auto"/>
        <w:tblLayout w:type="fixed"/>
        <w:tblCellMar>
          <w:left w:w="57" w:type="dxa"/>
          <w:right w:w="57" w:type="dxa"/>
        </w:tblCellMar>
      </w:tblPr>
      <w:tblGrid>
        <w:gridCol w:w="9026"/>
      </w:tblGrid>
      <w:tr>
        <w:tc>
          <w:tcPr>
            <w:tcW w:w="0" w:type="auto"/>
          </w:tcPr>
          <w:p>
            <w:pPr>
              <w:spacing w:before="20" w:after="20" w:line="204" w:lineRule="auto"/>
              <w:ind w:firstLine="0"/>
              <w:jc w:val="left"/>
            </w:pPr>
            <w:rPr>
              <w:sz w:val="24"/>
            </w:rPr>
            <w:r>
              <w:rPr>
                <w:rFonts w:ascii="Times New Roman" w:hAnsi="Times New Roman"/>
                <w:sz w:val="24"/>
              </w:rPr>
              <w:t xml:space="preserve">УТВЕРЖДАЮ Руководитель Федеральной службы по надзору в сфере защиты прав потребителей и благополучия человека, Главный государственный санитарный врач Российской Федерации А. Ю. Попова «____»___________2026 г.</w:t>
            </w:r>
          </w:p>
        </w:tc>
      </w:tr>
    </w:tbl>
    <w:p>
      <w:pPr>
        <w:spacing w:after="60"/>
      </w:pPr>
    </w:p>
    <w:p>
      <w:pPr>
        <w:pStyle w:val="ConsPlusTitle"/>
        <w:contextualSpacing/>
        <w:jc w:val="center"/>
      </w:pPr>
      <w:r>
        <w:rPr>
          <w:rFonts w:ascii="Times New Roman" w:hAnsi="Times New Roman"/>
          <w:sz w:val="28"/>
          <w:szCs w:val="28"/>
        </w:rPr>
        <w:t xml:space="preserve">4.2. ПРОФИЛАКТИКА ПАРАЗИТАРНЫХ БОЛЕЗНЕЙ</w:t>
      </w:r>
    </w:p>
    <w:p>
      <w:pPr>
        <w:pStyle w:val="ConsPlusTitle"/>
        <w:contextualSpacing/>
        <w:jc w:val="center"/>
      </w:pPr>
      <w:r>
        <w:rPr>
          <w:rFonts w:ascii="Times New Roman" w:hAnsi="Times New Roman"/>
          <w:sz w:val="28"/>
          <w:szCs w:val="28"/>
        </w:rPr>
        <w:t xml:space="preserve">МЕТОДЫ САНИТАРНО-ПАРАЗИТОЛОГИЧЕСКИХ ИССЛЕДОВАНИЙ ОБЪЕКТОВ ВНЕШНЕЙ СРЕДЫ</w:t>
      </w:r>
    </w:p>
    <w:p>
      <w:pPr>
        <w:pStyle w:val="ConsPlusTitle"/>
        <w:contextualSpacing/>
        <w:jc w:val="center"/>
      </w:pPr>
      <w:r>
        <w:rPr>
          <w:rFonts w:ascii="Times New Roman" w:hAnsi="Times New Roman"/>
          <w:sz w:val="28"/>
          <w:szCs w:val="28"/>
        </w:rPr>
        <w:t xml:space="preserve">Методические указания</w:t>
      </w:r>
    </w:p>
    <w:p>
      <w:pPr>
        <w:pStyle w:val="ConsPlusTitle"/>
        <w:contextualSpacing/>
        <w:jc w:val="center"/>
      </w:pPr>
      <w:r>
        <w:rPr>
          <w:rFonts w:ascii="Times New Roman" w:hAnsi="Times New Roman"/>
          <w:sz w:val="28"/>
          <w:szCs w:val="28"/>
        </w:rPr>
        <w:t xml:space="preserve">МУК 4.2.____-26</w:t>
      </w:r>
    </w:p>
    <w:p>
      <w:pPr>
        <w:widowControl w:val="0"/>
        <w:keepNext/>
        <w:keepLines/>
        <w:spacing w:before="360" w:after="120"/>
        <w:jc w:val="center"/>
        <w:outlineLvl w:val="0"/>
      </w:pPr>
      <w:r>
        <w:rPr>
          <w:rFonts w:ascii="Times New Roman" w:hAnsi="Times New Roman"/>
          <w:sz w:val="28"/>
          <w:szCs w:val="28"/>
        </w:rPr>
        <w:t xml:space="preserve">I. ОБЛАСТЬ ПРИМЕНЕНИЯ</w:t>
      </w:r>
    </w:p>
    <w:p>
      <w:pPr>
        <w:widowControl w:val="0"/>
        <w:spacing w:before="0" w:after="60" w:line="240" w:lineRule="auto"/>
        <w:ind w:firstLine="709"/>
        <w:jc w:val="both"/>
      </w:pPr>
      <w:r>
        <w:rPr>
          <w:rFonts w:ascii="Times New Roman" w:hAnsi="Times New Roman"/>
          <w:sz w:val="28"/>
          <w:szCs w:val="28"/>
        </w:rPr>
        <w:t xml:space="preserve">1. Настоящие методические указания (далее – МУК) определяют методы лабораторного контроля объектов внешней среды по санитарно-паразитологическим показателям в соответствии с санитарно-эпидемиологическими требованиями</w:t>
      </w:r>
      <w:r>
        <w:rPr>
          <w:rFonts w:ascii="Times New Roman" w:hAnsi="Times New Roman"/>
          <w:sz w:val="28"/>
          <w:vertAlign w:val="superscript"/>
        </w:rPr>
        <w:t xml:space="preserve">[1]</w:t>
      </w:r>
      <w:r>
        <w:rPr>
          <w:rFonts w:ascii="Times New Roman" w:hAnsi="Times New Roman"/>
          <w:sz w:val="28"/>
          <w:szCs w:val="28"/>
        </w:rPr>
        <w:t xml:space="preserve">, а также методическими документами</w:t>
      </w:r>
      <w:r>
        <w:rPr>
          <w:rFonts w:ascii="Times New Roman" w:hAnsi="Times New Roman"/>
          <w:sz w:val="28"/>
          <w:vertAlign w:val="superscript"/>
        </w:rPr>
        <w:t xml:space="preserve">[2]</w:t>
      </w:r>
      <w:r>
        <w:rPr>
          <w:rFonts w:ascii="Times New Roman" w:hAnsi="Times New Roman"/>
          <w:sz w:val="28"/>
          <w:szCs w:val="28"/>
        </w:rPr>
        <w:t xml:space="preserve">.</w:t>
      </w:r>
    </w:p>
    <w:p>
      <w:pPr>
        <w:widowControl w:val="0"/>
        <w:spacing w:before="0" w:after="60" w:line="240" w:lineRule="auto"/>
        <w:ind w:firstLine="709"/>
        <w:jc w:val="both"/>
      </w:pPr>
      <w:r>
        <w:rPr>
          <w:rFonts w:ascii="Times New Roman" w:hAnsi="Times New Roman"/>
          <w:sz w:val="28"/>
          <w:szCs w:val="28"/>
        </w:rPr>
        <w:t xml:space="preserve">К объектам внешней среды, на которые распространяются МУК, относятся:</w:t>
      </w:r>
    </w:p>
    <w:p>
      <w:pPr>
        <w:widowControl w:val="0"/>
        <w:spacing w:before="0" w:after="60" w:line="240" w:lineRule="auto"/>
        <w:ind w:firstLine="709"/>
        <w:jc w:val="both"/>
      </w:pPr>
      <w:r>
        <w:rPr>
          <w:rFonts w:ascii="Times New Roman" w:hAnsi="Times New Roman"/>
          <w:sz w:val="28"/>
          <w:szCs w:val="28"/>
        </w:rPr>
        <w:t xml:space="preserve">— почва, песок;</w:t>
      </w:r>
    </w:p>
    <w:p>
      <w:pPr>
        <w:widowControl w:val="0"/>
        <w:spacing w:before="0" w:after="60" w:line="240" w:lineRule="auto"/>
        <w:ind w:firstLine="709"/>
        <w:jc w:val="both"/>
      </w:pPr>
      <w:r>
        <w:rPr>
          <w:rFonts w:ascii="Times New Roman" w:hAnsi="Times New Roman"/>
          <w:sz w:val="28"/>
          <w:szCs w:val="28"/>
        </w:rPr>
        <w:t xml:space="preserve">— вода систем централизованного и нецентрализованного питьевого водоснабжения, упакованная питьевая вода;</w:t>
      </w:r>
    </w:p>
    <w:p>
      <w:pPr>
        <w:widowControl w:val="0"/>
        <w:spacing w:before="0" w:after="60" w:line="240" w:lineRule="auto"/>
        <w:ind w:firstLine="709"/>
        <w:jc w:val="both"/>
      </w:pPr>
      <w:r>
        <w:rPr>
          <w:rFonts w:ascii="Times New Roman" w:hAnsi="Times New Roman"/>
          <w:sz w:val="28"/>
          <w:szCs w:val="28"/>
        </w:rPr>
        <w:t xml:space="preserve">— вода поверхностных водных объектов, морская вода;</w:t>
      </w:r>
    </w:p>
    <w:p>
      <w:pPr>
        <w:widowControl w:val="0"/>
        <w:spacing w:before="0" w:after="60" w:line="240" w:lineRule="auto"/>
        <w:ind w:firstLine="709"/>
        <w:jc w:val="both"/>
      </w:pPr>
      <w:r>
        <w:rPr>
          <w:rFonts w:ascii="Times New Roman" w:hAnsi="Times New Roman"/>
          <w:sz w:val="28"/>
          <w:szCs w:val="28"/>
        </w:rPr>
        <w:t xml:space="preserve">— вода плавательных бассейнов и аквапарков;</w:t>
      </w:r>
    </w:p>
    <w:p>
      <w:pPr>
        <w:widowControl w:val="0"/>
        <w:spacing w:before="0" w:after="60" w:line="240" w:lineRule="auto"/>
        <w:ind w:firstLine="709"/>
        <w:jc w:val="both"/>
      </w:pPr>
      <w:r>
        <w:rPr>
          <w:rFonts w:ascii="Times New Roman" w:hAnsi="Times New Roman"/>
          <w:sz w:val="28"/>
          <w:szCs w:val="28"/>
        </w:rPr>
        <w:t xml:space="preserve">— сточные воды и их осадки, в том числе сточные воды животноводческих, птицеводческих и звероводческих комплексов (ферм) до и после очистных сооружений и их осадки;</w:t>
      </w:r>
    </w:p>
    <w:p>
      <w:pPr>
        <w:widowControl w:val="0"/>
        <w:spacing w:before="0" w:after="60" w:line="240" w:lineRule="auto"/>
        <w:ind w:firstLine="709"/>
        <w:jc w:val="both"/>
      </w:pPr>
      <w:r>
        <w:rPr>
          <w:rFonts w:ascii="Times New Roman" w:hAnsi="Times New Roman"/>
          <w:sz w:val="28"/>
          <w:szCs w:val="28"/>
        </w:rPr>
        <w:t xml:space="preserve">— донные отложения;</w:t>
      </w:r>
    </w:p>
    <w:p>
      <w:pPr>
        <w:widowControl w:val="0"/>
        <w:spacing w:before="0" w:after="60" w:line="240" w:lineRule="auto"/>
        <w:ind w:firstLine="709"/>
        <w:jc w:val="both"/>
      </w:pPr>
      <w:r>
        <w:rPr>
          <w:rFonts w:ascii="Times New Roman" w:hAnsi="Times New Roman"/>
          <w:sz w:val="28"/>
          <w:szCs w:val="28"/>
        </w:rPr>
        <w:t xml:space="preserve">— навоз и помёт: твёрдый (подстилочный), полужидкий и бесподстилочный (жидкий), обезвоженный, сухой, а также жидкая и твёрдая фракции навоза после сепарации, навозные (пометные) стоки, иловая смесь, осадки навозохранилищ, навозоотстойников, отстойников-накопителей и приёмных резервуаров, подстилка из животноводческих и птицеводческих помещений;</w:t>
      </w:r>
    </w:p>
    <w:p>
      <w:pPr>
        <w:widowControl w:val="0"/>
        <w:spacing w:before="0" w:after="60" w:line="240" w:lineRule="auto"/>
        <w:ind w:firstLine="709"/>
        <w:jc w:val="both"/>
      </w:pPr>
      <w:r>
        <w:rPr>
          <w:rFonts w:ascii="Times New Roman" w:hAnsi="Times New Roman"/>
          <w:sz w:val="28"/>
          <w:szCs w:val="28"/>
        </w:rPr>
        <w:t xml:space="preserve">— органические удобрения, производимые на основе отходов животноводства и осадков сточных вод: компосты, биоперегной, биогумус;</w:t>
      </w:r>
    </w:p>
    <w:p>
      <w:pPr>
        <w:widowControl w:val="0"/>
        <w:spacing w:before="0" w:after="60" w:line="240" w:lineRule="auto"/>
        <w:ind w:firstLine="709"/>
        <w:jc w:val="both"/>
      </w:pPr>
      <w:r>
        <w:rPr>
          <w:rFonts w:ascii="Times New Roman" w:hAnsi="Times New Roman"/>
          <w:sz w:val="28"/>
          <w:szCs w:val="28"/>
        </w:rPr>
        <w:t xml:space="preserve">— почвы территорий, удобряемых навозом, помётом, осадками сточных вод и компостами на их основе, в том числе почвы полей орошения, пастбищ, территорий животноводческих объектов, а также тепличные грунты;</w:t>
      </w:r>
    </w:p>
    <w:p>
      <w:pPr>
        <w:widowControl w:val="0"/>
        <w:spacing w:before="0" w:after="60" w:line="240" w:lineRule="auto"/>
        <w:ind w:firstLine="709"/>
        <w:jc w:val="both"/>
      </w:pPr>
      <w:r>
        <w:rPr>
          <w:rFonts w:ascii="Times New Roman" w:hAnsi="Times New Roman"/>
          <w:sz w:val="28"/>
          <w:szCs w:val="28"/>
        </w:rPr>
        <w:t xml:space="preserve">— смывы с рук и поверхностей предметов.</w:t>
      </w:r>
    </w:p>
    <w:p>
      <w:pPr>
        <w:widowControl w:val="0"/>
        <w:spacing w:before="0" w:after="60" w:line="240" w:lineRule="auto"/>
        <w:ind w:firstLine="709"/>
        <w:jc w:val="both"/>
      </w:pPr>
      <w:r>
        <w:rPr>
          <w:rFonts w:ascii="Times New Roman" w:hAnsi="Times New Roman"/>
          <w:sz w:val="28"/>
          <w:szCs w:val="28"/>
        </w:rPr>
        <w:t xml:space="preserve">2. МУК применяют при:</w:t>
      </w:r>
    </w:p>
    <w:p>
      <w:pPr>
        <w:widowControl w:val="0"/>
        <w:spacing w:before="0" w:after="60" w:line="240" w:lineRule="auto"/>
        <w:ind w:firstLine="709"/>
        <w:jc w:val="both"/>
      </w:pPr>
      <w:r>
        <w:rPr>
          <w:rFonts w:ascii="Times New Roman" w:hAnsi="Times New Roman"/>
          <w:sz w:val="28"/>
          <w:szCs w:val="28"/>
        </w:rPr>
        <w:t xml:space="preserve">— государственном санитарно-эпидемиологическом надзоре, социально-гигиеническом мониторинге и санитарно-эпидемиологической экспертизе;</w:t>
      </w:r>
    </w:p>
    <w:p>
      <w:pPr>
        <w:widowControl w:val="0"/>
        <w:spacing w:before="0" w:after="60" w:line="240" w:lineRule="auto"/>
        <w:ind w:firstLine="709"/>
        <w:jc w:val="both"/>
      </w:pPr>
      <w:r>
        <w:rPr>
          <w:rFonts w:ascii="Times New Roman" w:hAnsi="Times New Roman"/>
          <w:sz w:val="28"/>
          <w:szCs w:val="28"/>
        </w:rPr>
        <w:t xml:space="preserve">— производственном контроле на очистных сооружениях канализации и на очистных сооружениях животноводческих (птицеводческих) комплексов и ферм, включая контроль эффективности дегельминтизации, дезинвазии и обеззараживания сточных вод, их осадков, навоза, помёта и навозных стоков;</w:t>
      </w:r>
    </w:p>
    <w:p>
      <w:pPr>
        <w:widowControl w:val="0"/>
        <w:spacing w:before="0" w:after="60" w:line="240" w:lineRule="auto"/>
        <w:ind w:firstLine="709"/>
        <w:jc w:val="both"/>
      </w:pPr>
      <w:r>
        <w:rPr>
          <w:rFonts w:ascii="Times New Roman" w:hAnsi="Times New Roman"/>
          <w:sz w:val="28"/>
          <w:szCs w:val="28"/>
        </w:rPr>
        <w:t xml:space="preserve">— подтверждении обезвреживания навоза, помёта и осадков сточных вод перед их внесением в почву в качестве удобрений и перед использованием для орошения;</w:t>
      </w:r>
    </w:p>
    <w:p>
      <w:pPr>
        <w:widowControl w:val="0"/>
        <w:spacing w:before="0" w:after="60" w:line="240" w:lineRule="auto"/>
        <w:ind w:firstLine="709"/>
        <w:jc w:val="both"/>
      </w:pPr>
      <w:r>
        <w:rPr>
          <w:rFonts w:ascii="Times New Roman" w:hAnsi="Times New Roman"/>
          <w:sz w:val="28"/>
          <w:szCs w:val="28"/>
        </w:rPr>
        <w:t xml:space="preserve">— оценке качества органических удобрений, производимых на основе отходов животноводства (классификация «чистые/загрязнённые»);</w:t>
      </w:r>
    </w:p>
    <w:p>
      <w:pPr>
        <w:widowControl w:val="0"/>
        <w:spacing w:before="0" w:after="60" w:line="240" w:lineRule="auto"/>
        <w:ind w:firstLine="709"/>
        <w:jc w:val="both"/>
      </w:pPr>
      <w:r>
        <w:rPr>
          <w:rFonts w:ascii="Times New Roman" w:hAnsi="Times New Roman"/>
          <w:sz w:val="28"/>
          <w:szCs w:val="28"/>
        </w:rPr>
        <w:t xml:space="preserve">— санитарно-паразитологическом обследовании территорий, объектов и учреждений при расследовании случаев и вспышек паразитарных болезней;</w:t>
      </w:r>
    </w:p>
    <w:p>
      <w:pPr>
        <w:widowControl w:val="0"/>
        <w:spacing w:before="0" w:after="60" w:line="240" w:lineRule="auto"/>
        <w:ind w:firstLine="709"/>
        <w:jc w:val="both"/>
      </w:pPr>
      <w:r>
        <w:rPr>
          <w:rFonts w:ascii="Times New Roman" w:hAnsi="Times New Roman"/>
          <w:sz w:val="28"/>
          <w:szCs w:val="28"/>
        </w:rPr>
        <w:t xml:space="preserve">— испытаниях (сертификационных, приёмочных) приборов и установок обеззараживания и подготовки проб.</w:t>
      </w:r>
    </w:p>
    <w:p>
      <w:pPr>
        <w:widowControl w:val="0"/>
        <w:spacing w:before="0" w:after="60" w:line="240" w:lineRule="auto"/>
        <w:ind w:firstLine="709"/>
        <w:jc w:val="both"/>
      </w:pPr>
      <w:r>
        <w:rPr>
          <w:rFonts w:ascii="Times New Roman" w:hAnsi="Times New Roman"/>
          <w:sz w:val="28"/>
          <w:szCs w:val="28"/>
        </w:rPr>
        <w:t xml:space="preserve">3. МУК предназначены для применения в аккредитованных испытательных лабораториях (центрах), паразитологических лабораториях органов и организаций Роспотребнадзора, производственных лабораториях животноводческих и птицеводческих комплексов (ферм), очистных сооружений и организаций, осуществляющих обращение с органическими удобрениями, а также научных организаций.</w:t>
      </w:r>
    </w:p>
    <w:p>
      <w:pPr>
        <w:widowControl w:val="0"/>
        <w:spacing w:before="0" w:after="60" w:line="240" w:lineRule="auto"/>
        <w:ind w:firstLine="709"/>
        <w:jc w:val="both"/>
      </w:pPr>
      <w:r>
        <w:rPr>
          <w:rFonts w:ascii="Times New Roman" w:hAnsi="Times New Roman"/>
          <w:sz w:val="28"/>
          <w:szCs w:val="28"/>
        </w:rPr>
        <w:t xml:space="preserve">4. МУК носят рекомендательный характер. Положения МУК, воспроизводящие обязательные требования санитарно-эпидемиологических правил и нормативов, применяются в части, не противоречащей указанным требованиям.</w:t>
      </w:r>
    </w:p>
    <w:p>
      <w:pPr>
        <w:widowControl w:val="0"/>
        <w:spacing w:before="0" w:after="60" w:line="240" w:lineRule="auto"/>
        <w:ind w:firstLine="709"/>
        <w:jc w:val="both"/>
      </w:pPr>
      <w:r>
        <w:rPr>
          <w:rFonts w:ascii="Times New Roman" w:hAnsi="Times New Roman"/>
          <w:sz w:val="28"/>
          <w:szCs w:val="28"/>
        </w:rPr>
        <w:t xml:space="preserve">5. Показатели санитарно-паразитологического исследования (перечень определяемых объектов: жизнеспособные яйца гельминтов, цисты патогенных кишечных простейших, ооцисты криптоспоридий, личинки синантропных мух), масса (объём) проб и кратность исследований приведены в приложении 36 к СанПиН 3.3686-21. В отношении навоза, помёта и навозных стоков, а также сточных вод животноводческих (птицеводческих) комплексов и ферм позиции в приложении 36 к СанПиН 3.3686-21 отсутствуют; при этом пункт 3382 СанПиН 3.3686-21 устанавливает обязательность санитарно-паразитологических исследований при контроле эффективности дезинвазии, пункт 3384 — обязательность производственного контроля сточных вод и их осадков на очистных сооружениях животноводческих комплексов и ферм по паразитологическим показателям, пункт 3385 — запрет внесения в почву необезвреженных навоза и помёта, а пункт 269 СанПиН 2.1.3684-21 — требование обеззараживания навоза и помёта до отсутствия возбудителей инфекционных и паразитарных болезней.</w:t>
      </w:r>
    </w:p>
    <w:p>
      <w:pPr>
        <w:widowControl w:val="0"/>
        <w:spacing w:before="0" w:after="60" w:line="240" w:lineRule="auto"/>
        <w:ind w:firstLine="709"/>
        <w:jc w:val="both"/>
      </w:pPr>
      <w:r>
        <w:rPr>
          <w:rFonts w:ascii="Times New Roman" w:hAnsi="Times New Roman"/>
          <w:sz w:val="28"/>
          <w:szCs w:val="28"/>
        </w:rPr>
        <w:t xml:space="preserve">Порядок отбора проб, масса (объём) точечных, объединённых и лабораторных проб навоза, помёта, навозных стоков и органических удобрений на их основе, методы их исследования, количественного учёта и определения жизнеспособности возбудителей, а также критерии оценки («не обнаружено»; классификация органических удобрений «чистые» и «загрязнённые») установлены настоящими МУК на основе действующих национальных стандартов — ГОСТ Р 57782-2017, ГОСТ Р 58487-2019, ГОСТ Р 54001-2010 и ГОСТ Р 58138 — и применяются в части, соответствующей указанным стандартам. Число проб и кратность исследований для объектов, позиции по которым в приложении 36 к СанПиН 3.3686-21 отсутствуют, приведены в пунктах 3.4.1–3.4.10, 4.9.1–4.9.11 и в приложении 7 (рекомендуемом) настоящих МУК, носят рекомендательный характер и применяются до внесения соответствующих изменений в приложение 36 к СанПиН 3.3686-21.</w:t>
      </w:r>
    </w:p>
    <w:p>
      <w:pPr>
        <w:widowControl w:val="0"/>
        <w:spacing w:before="0" w:after="60" w:line="240" w:lineRule="auto"/>
        <w:ind w:firstLine="709"/>
        <w:jc w:val="both"/>
      </w:pPr>
      <w:r>
        <w:rPr>
          <w:rFonts w:ascii="Times New Roman" w:hAnsi="Times New Roman"/>
          <w:sz w:val="28"/>
          <w:szCs w:val="28"/>
        </w:rPr>
        <w:t xml:space="preserve">6. При исследовании навоза, помёта и органических удобрений на их основе определяют возбудителей паразитарных болезней, общих для человека и животных (Ascaris spp., Toxocara spp., Trichocephalus spp., Taenia spp./онкосферы тениид, Cryptosporidium spp., Lamblia intestinalis, Balantidium coli (Balantioides coli)), а при производственном контроле на животноводческих объектах дополнительно учитывают видоспецифичных возбудителей инвазий животных (Oesophagostomum spp., Strongyloides spp., Moniezia spp., Eimeria spp., Buxtonella spp.) с обязательным указанием видовой принадлежности в протоколе исследования.</w:t>
      </w:r>
    </w:p>
    <w:p>
      <w:pPr>
        <w:widowControl w:val="0"/>
        <w:keepNext/>
        <w:keepLines/>
        <w:spacing w:before="360" w:after="120"/>
        <w:jc w:val="center"/>
        <w:outlineLvl w:val="0"/>
      </w:pPr>
      <w:r>
        <w:rPr>
          <w:rFonts w:ascii="Times New Roman" w:hAnsi="Times New Roman"/>
          <w:sz w:val="28"/>
          <w:szCs w:val="28"/>
        </w:rPr>
        <w:t xml:space="preserve">II. ОБЩИЕ ПОЛОЖЕНИЯ</w:t>
      </w:r>
    </w:p>
    <w:p>
      <w:pPr>
        <w:widowControl w:val="0"/>
        <w:spacing w:before="0" w:after="60" w:line="240" w:lineRule="auto"/>
        <w:ind w:firstLine="709"/>
        <w:jc w:val="both"/>
      </w:pPr>
      <w:r>
        <w:rPr>
          <w:rFonts w:ascii="Times New Roman" w:hAnsi="Times New Roman"/>
          <w:sz w:val="28"/>
          <w:szCs w:val="28"/>
        </w:rPr>
        <w:t xml:space="preserve">1. Основными возбудителями паразитарных болезней в Российской Федерации, являются: Ascaris lumbricoides, Strongyloides stercoralis, Trichuris trichiura, Toxocara canis; Enterobius vermicularis, Hymenolepis nana, Opisthorchis felineus, Dibothriocephalus spp. (syn. Diphyllobothrium), Taenia saginata, Taenia solium, Lamblia intestinalis, Cryptosporidium parvum, и ряд других, яйца и личинки, цисты и ооцисты которых определяются в пробах из объектов внешней среды.</w:t>
      </w:r>
    </w:p>
    <w:p>
      <w:pPr>
        <w:widowControl w:val="0"/>
        <w:spacing w:before="0" w:after="60" w:line="240" w:lineRule="auto"/>
        <w:ind w:firstLine="709"/>
        <w:jc w:val="both"/>
      </w:pPr>
      <w:r>
        <w:rPr>
          <w:rFonts w:ascii="Times New Roman" w:hAnsi="Times New Roman"/>
          <w:sz w:val="28"/>
          <w:szCs w:val="28"/>
        </w:rPr>
        <w:t xml:space="preserve">2. Возбудители паразитарных болезней попадают в объекты внешней среды с необеззараженными нечистотами, неочищенными сточными водами и их осадками, а также с экскрементами животных и больных паразитарными заболеваниями людей.</w:t>
      </w:r>
    </w:p>
    <w:p>
      <w:pPr>
        <w:widowControl w:val="0"/>
        <w:spacing w:before="0" w:after="60" w:line="240" w:lineRule="auto"/>
        <w:ind w:firstLine="709"/>
        <w:jc w:val="both"/>
      </w:pPr>
      <w:r>
        <w:rPr>
          <w:rFonts w:ascii="Times New Roman" w:hAnsi="Times New Roman"/>
          <w:sz w:val="28"/>
          <w:szCs w:val="28"/>
        </w:rPr>
        <w:t xml:space="preserve">3. Опасность заражения для человека представляют жизнеспособные яйца и инвазионные стадии личинок гельминтов, жизнеспособные цисты патогенных простейших и ооцисты криптоспоридий.</w:t>
      </w:r>
    </w:p>
    <w:p>
      <w:pPr>
        <w:widowControl w:val="0"/>
        <w:keepNext/>
        <w:keepLines/>
        <w:spacing w:before="360" w:after="120"/>
        <w:jc w:val="center"/>
        <w:outlineLvl w:val="0"/>
      </w:pPr>
      <w:r>
        <w:rPr>
          <w:rFonts w:ascii="Times New Roman" w:hAnsi="Times New Roman"/>
          <w:sz w:val="28"/>
          <w:szCs w:val="28"/>
        </w:rPr>
        <w:t xml:space="preserve">III. ОТБОР, ХРАНЕНИЕ И ПОДГОТОВКА К ИССЛЕДОВАНИЮ ПРОБ ОБЪЕКТОВ ВНЕШНЕЙ СРЕДЫ</w:t>
      </w:r>
    </w:p>
    <w:p>
      <w:pPr>
        <w:widowControl w:val="0"/>
        <w:spacing w:before="0" w:after="60" w:line="240" w:lineRule="auto"/>
        <w:ind w:firstLine="709"/>
        <w:jc w:val="both"/>
      </w:pPr>
      <w:r>
        <w:rPr>
          <w:rFonts w:ascii="Times New Roman" w:hAnsi="Times New Roman"/>
          <w:sz w:val="28"/>
          <w:szCs w:val="28"/>
        </w:rPr>
        <w:t xml:space="preserve">Отбор проб объектов внешней среды (почва, песок, вода систем централизованного и нецентрализованного питьевого водоснабжения, поверхностных водных объектов, морская вода, вода плавательных бассейнов и аквапарков, сточные воды и их осадки, донные отложения, смывы с рук и предметов) осуществляется для исследования по паразитологическим показателям.</w:t>
      </w:r>
    </w:p>
    <w:p>
      <w:pPr>
        <w:widowControl w:val="0"/>
        <w:spacing w:before="0" w:after="60" w:line="240" w:lineRule="auto"/>
        <w:ind w:firstLine="709"/>
        <w:jc w:val="both"/>
      </w:pPr>
      <w:r>
        <w:rPr>
          <w:rFonts w:ascii="Times New Roman" w:hAnsi="Times New Roman"/>
          <w:sz w:val="28"/>
          <w:szCs w:val="28"/>
        </w:rPr>
        <w:t xml:space="preserve">При транспортировке применяют меры к сохранности проб для предотвращения их опрокидывания, загрязнения и самопроизвольного открытия. Пробы транспортируют в маркированных контейнерах; пробы воды дополнительно упаковывают в непромокаемые (полиэтиленовые) пакеты или ящики, предназначенные для транспортировки проб.</w:t>
      </w:r>
    </w:p>
    <w:p>
      <w:pPr>
        <w:widowControl w:val="0"/>
        <w:spacing w:before="0" w:after="60" w:line="240" w:lineRule="auto"/>
        <w:ind w:firstLine="709"/>
        <w:jc w:val="both"/>
      </w:pPr>
      <w:r>
        <w:rPr>
          <w:rFonts w:ascii="Times New Roman" w:hAnsi="Times New Roman"/>
          <w:sz w:val="28"/>
          <w:szCs w:val="28"/>
        </w:rPr>
        <w:t xml:space="preserve">3.1. Отбор проб почвы, песка, донных отложений, осадков сточных вод</w:t>
      </w:r>
    </w:p>
    <w:p>
      <w:pPr>
        <w:widowControl w:val="0"/>
        <w:spacing w:before="0" w:after="60" w:line="240" w:lineRule="auto"/>
        <w:ind w:firstLine="709"/>
        <w:jc w:val="both"/>
      </w:pPr>
      <w:r>
        <w:rPr>
          <w:rFonts w:ascii="Times New Roman" w:hAnsi="Times New Roman"/>
          <w:sz w:val="28"/>
          <w:szCs w:val="28"/>
        </w:rPr>
        <w:t xml:space="preserve">3.1.1. (частота) санитарно-паразитологического исследования зависит от цели лабораторного контроля. Емкости с пробами маркируют в соответствии с актом отбора проб с указанием места отбора, даты, глубины, характера исследуемого участка, и доставляют в лабораторию в течение 24 ч после отбора. Периодичность (кратность) санитарно-паразитологического исследования навоза, помёта, навозных стоков и органических удобрений на их основе, а также масса (объём) и число отбираемых проб приведены в пункте 3.4.9 и в приложении 7 (рекомендуемом).</w:t>
      </w:r>
    </w:p>
    <w:p>
      <w:pPr>
        <w:widowControl w:val="0"/>
        <w:spacing w:before="0" w:after="60" w:line="240" w:lineRule="auto"/>
        <w:ind w:firstLine="709"/>
        <w:jc w:val="both"/>
      </w:pPr>
      <w:r>
        <w:rPr>
          <w:rFonts w:ascii="Times New Roman" w:hAnsi="Times New Roman"/>
          <w:sz w:val="28"/>
          <w:szCs w:val="28"/>
        </w:rPr>
        <w:t xml:space="preserve">3.1.2. Отбор проб почвы (песка) производят (проводят) на пробных площадках (размером 10 × 10 м на сельскохозяйственных угодьях и не более 5 × 5 м на территориях детских, лечебно-профилактических учреждений, игровых площадок и зон рекреации) обследуемой территории. Количество пробных площадок определяется с учетом эпидемиологической значимости объекта и его общей площади. Объединенная проба массой не менее 200 г состоит из 10 точечных проб каждая массой не менее 20 г. Точечные пробы отбирают на пробной площадке методом конверта, по диагонали, или одним из способов:</w:t>
      </w:r>
    </w:p>
    <w:p>
      <w:pPr>
        <w:widowControl w:val="0"/>
        <w:spacing w:before="0" w:after="60" w:line="240" w:lineRule="auto"/>
        <w:ind w:firstLine="709"/>
        <w:jc w:val="both"/>
      </w:pPr>
      <w:r>
        <w:rPr>
          <w:rFonts w:ascii="Times New Roman" w:hAnsi="Times New Roman"/>
          <w:sz w:val="28"/>
          <w:szCs w:val="28"/>
        </w:rPr>
        <w:t xml:space="preserve">- Случайный отбор. На территории выбирают случайные места для отбора, берут отдельные образцы и перемешивают их вместе.</w:t>
      </w:r>
    </w:p>
    <w:p>
      <w:pPr>
        <w:widowControl w:val="0"/>
        <w:spacing w:before="0" w:after="60" w:line="240" w:lineRule="auto"/>
        <w:ind w:firstLine="709"/>
        <w:jc w:val="both"/>
      </w:pPr>
      <w:r>
        <w:rPr>
          <w:rFonts w:ascii="Times New Roman" w:hAnsi="Times New Roman"/>
          <w:sz w:val="28"/>
          <w:szCs w:val="28"/>
        </w:rPr>
        <w:t xml:space="preserve">- Метод ячеек. Территорию делят на ячейки, в каждой из них берут несколько точечных образцов, которые затем смешивают, чтобы получить один для этой ячейки.</w:t>
      </w:r>
    </w:p>
    <w:p>
      <w:pPr>
        <w:widowControl w:val="0"/>
        <w:spacing w:before="0" w:after="60" w:line="240" w:lineRule="auto"/>
        <w:ind w:firstLine="709"/>
        <w:jc w:val="both"/>
      </w:pPr>
      <w:r>
        <w:rPr>
          <w:rFonts w:ascii="Times New Roman" w:hAnsi="Times New Roman"/>
          <w:sz w:val="28"/>
          <w:szCs w:val="28"/>
        </w:rPr>
        <w:t xml:space="preserve">- Сплошной контроль. Со всей площади равномерно отбирают единичные пробы, из которых готовят объединённую пробу.</w:t>
      </w:r>
    </w:p>
    <w:p>
      <w:pPr>
        <w:widowControl w:val="0"/>
        <w:spacing w:before="0" w:after="60" w:line="240" w:lineRule="auto"/>
        <w:ind w:firstLine="709"/>
        <w:jc w:val="both"/>
      </w:pPr>
      <w:r>
        <w:rPr>
          <w:rFonts w:ascii="Times New Roman" w:hAnsi="Times New Roman"/>
          <w:sz w:val="28"/>
          <w:szCs w:val="28"/>
        </w:rPr>
        <w:t xml:space="preserve">- Выборочный контроль. На обследуемом участке выделяют пробные площадки с учётом расположения источника загрязнения почвы, особенностей рельефа, розы ветров. Места выборки закладывают так, чтобы не допустить искажения результатов анализа с таким расчетом, чтобы каждая проба представляла собой часть почвы, типичной для генетических горизонтов или слоев данного типа.</w:t>
      </w:r>
    </w:p>
    <w:p>
      <w:pPr>
        <w:widowControl w:val="0"/>
        <w:spacing w:before="0" w:after="60" w:line="240" w:lineRule="auto"/>
        <w:ind w:firstLine="709"/>
        <w:jc w:val="both"/>
      </w:pPr>
      <w:r>
        <w:rPr>
          <w:rFonts w:ascii="Times New Roman" w:hAnsi="Times New Roman"/>
          <w:sz w:val="28"/>
          <w:szCs w:val="28"/>
        </w:rPr>
        <w:t xml:space="preserve">Пробы отбирают ножом, совком или шпателем из прикопок или почвенным буром (Некрасова) послойно с глубины 0–5 см и 5–10 см (по ГОСТ 17.4.4.02-2017, пункт 5.7); при необходимости отбор проб проводят из более глубоких слоёв (40–60 см) послойно с указанием глубины отбора в протоколе. 10 точечных проб объединяют и помещают в одну пластиковую емкость с крышкой или пластиковый пакет.</w:t>
      </w:r>
    </w:p>
    <w:p>
      <w:pPr>
        <w:widowControl w:val="0"/>
        <w:spacing w:before="0" w:after="60" w:line="240" w:lineRule="auto"/>
        <w:ind w:firstLine="709"/>
        <w:jc w:val="both"/>
      </w:pPr>
      <w:r>
        <w:rPr>
          <w:rFonts w:ascii="Times New Roman" w:hAnsi="Times New Roman"/>
          <w:sz w:val="28"/>
          <w:szCs w:val="28"/>
        </w:rPr>
        <w:t xml:space="preserve">3.1.3. Исследование проб почвы проводят в день доставки их в лабораторию. При невозможности немедленного проведения исследований пробы почвы хранят в холодильной камере при температуре плюс (5 ± 2) °C. Для исследования на цисты патогенных простейших почву без обработки хранят не более 2 суток; на яйца биогельминтов – до 7 суток, а на яйца геогельминтов – не более 30 суток при хранении при (5 ± 2) °С с консервантом (п. 3.1.4); без консерванта — не более 48 ч.</w:t>
      </w:r>
    </w:p>
    <w:p>
      <w:pPr>
        <w:widowControl w:val="0"/>
        <w:spacing w:before="0" w:after="60" w:line="240" w:lineRule="auto"/>
        <w:ind w:firstLine="709"/>
        <w:jc w:val="both"/>
      </w:pPr>
      <w:r>
        <w:rPr>
          <w:rFonts w:ascii="Times New Roman" w:hAnsi="Times New Roman"/>
          <w:sz w:val="28"/>
          <w:szCs w:val="28"/>
        </w:rPr>
        <w:t xml:space="preserve">3.1.4. При необходимости хранения свыше 48 ч (до 30 суток) и необязательности определения жизнеспособности паразитарных возбудителей, пробы почвы пересыпают в емкость и применяют один из консервирующих растворов:</w:t>
      </w:r>
    </w:p>
    <w:p>
      <w:pPr>
        <w:widowControl w:val="0"/>
        <w:spacing w:before="0" w:after="60" w:line="240" w:lineRule="auto"/>
        <w:ind w:firstLine="709"/>
        <w:jc w:val="both"/>
      </w:pPr>
      <w:r>
        <w:rPr>
          <w:rFonts w:ascii="Times New Roman" w:hAnsi="Times New Roman"/>
          <w:sz w:val="28"/>
          <w:szCs w:val="28"/>
        </w:rPr>
        <w:t xml:space="preserve">жидкость Барбагалло: 3 мл 40 %-го формалина на 97 мл 0,9 %-го раствора натрия хлорида (рабочая концентрация формальдегида 1,2 %); альтернативный рецепт — 30 мл 40 %-го формалина, 8,5 г NaCl, вода до 1 л;</w:t>
      </w:r>
    </w:p>
    <w:p>
      <w:pPr>
        <w:widowControl w:val="0"/>
        <w:spacing w:before="0" w:after="60" w:line="240" w:lineRule="auto"/>
        <w:ind w:firstLine="709"/>
        <w:jc w:val="both"/>
      </w:pPr>
      <w:r>
        <w:rPr>
          <w:rFonts w:ascii="Times New Roman" w:hAnsi="Times New Roman"/>
          <w:sz w:val="28"/>
          <w:szCs w:val="28"/>
        </w:rPr>
        <w:t xml:space="preserve">раствор формалина 4%;</w:t>
      </w:r>
    </w:p>
    <w:p>
      <w:pPr>
        <w:widowControl w:val="0"/>
        <w:spacing w:before="0" w:after="60" w:line="240" w:lineRule="auto"/>
        <w:ind w:firstLine="709"/>
        <w:jc w:val="both"/>
      </w:pPr>
      <w:r>
        <w:rPr>
          <w:rFonts w:ascii="Times New Roman" w:hAnsi="Times New Roman"/>
          <w:sz w:val="28"/>
          <w:szCs w:val="28"/>
        </w:rPr>
        <w:t xml:space="preserve">раствор уксусной кислоты 3 – 10%;</w:t>
      </w:r>
    </w:p>
    <w:p>
      <w:pPr>
        <w:widowControl w:val="0"/>
        <w:spacing w:before="0" w:after="60" w:line="240" w:lineRule="auto"/>
        <w:ind w:firstLine="709"/>
        <w:jc w:val="both"/>
      </w:pPr>
      <w:r>
        <w:rPr>
          <w:rFonts w:ascii="Times New Roman" w:hAnsi="Times New Roman"/>
          <w:sz w:val="28"/>
          <w:szCs w:val="28"/>
        </w:rPr>
        <w:t xml:space="preserve">3% раствор соляной кислоты.</w:t>
      </w:r>
    </w:p>
    <w:p>
      <w:pPr>
        <w:widowControl w:val="0"/>
        <w:spacing w:before="0" w:after="60" w:line="240" w:lineRule="auto"/>
        <w:ind w:firstLine="709"/>
        <w:jc w:val="both"/>
      </w:pPr>
      <w:r>
        <w:rPr>
          <w:rFonts w:ascii="Times New Roman" w:hAnsi="Times New Roman"/>
          <w:sz w:val="28"/>
          <w:szCs w:val="28"/>
        </w:rPr>
        <w:t xml:space="preserve">Консервант добавляют к осадку в соотношении 1:2 и хранят в холодильнике при температуре плюс (5 ± 2) °C не более 30 суток (с консервантом).</w:t>
      </w:r>
    </w:p>
    <w:p>
      <w:pPr>
        <w:widowControl w:val="0"/>
        <w:spacing w:before="0" w:after="60" w:line="240" w:lineRule="auto"/>
        <w:ind w:firstLine="709"/>
        <w:jc w:val="both"/>
      </w:pPr>
      <w:r>
        <w:rPr>
          <w:rFonts w:ascii="Times New Roman" w:hAnsi="Times New Roman"/>
          <w:sz w:val="28"/>
          <w:szCs w:val="28"/>
        </w:rPr>
        <w:t xml:space="preserve">3.1.5. Отбор проб донных отложений проводят из поверхностных водоемов выше, ниже и непосредственно в месте сброса в них сточных вод. Для отбора проб применяют системы пробоотборников: дночерпатели, драги и трубки различных конструкций. Отбор проб донных отложений ручным или механизированным способом проводят с берега или с плавсредств. Отобранные пробы массой 200 г помещают в широкогорлые емкости с крышками. Пробы можно хранить в холодильнике при температуре плюс (5 ± 2) °C не более 7 суток.</w:t>
      </w:r>
    </w:p>
    <w:p>
      <w:pPr>
        <w:widowControl w:val="0"/>
        <w:spacing w:before="0" w:after="60" w:line="240" w:lineRule="auto"/>
        <w:ind w:firstLine="709"/>
        <w:jc w:val="both"/>
      </w:pPr>
      <w:r>
        <w:rPr>
          <w:rFonts w:ascii="Times New Roman" w:hAnsi="Times New Roman"/>
          <w:sz w:val="28"/>
          <w:szCs w:val="28"/>
        </w:rPr>
        <w:t xml:space="preserve">3.1.6. Отбор проб «сырых» (97 – 98% влажности) осадков сточных вод из первичных и вторичных отстойников, а также с иловых площадок очистных сооружений в объеме 200 мл проводят с помощью черпака или кружки отдельными порциями и сливают в широкогорлые сосуды с притертыми или завинчивающимися крышками. Пробы можно хранить в холодильнике при температуре плюс (5 ± 2) °C не более 7 суток.</w:t>
      </w:r>
    </w:p>
    <w:p>
      <w:pPr>
        <w:widowControl w:val="0"/>
        <w:spacing w:before="0" w:after="60" w:line="240" w:lineRule="auto"/>
        <w:ind w:firstLine="709"/>
        <w:jc w:val="both"/>
      </w:pPr>
      <w:r>
        <w:rPr>
          <w:rFonts w:ascii="Times New Roman" w:hAnsi="Times New Roman"/>
          <w:sz w:val="28"/>
          <w:szCs w:val="28"/>
        </w:rPr>
        <w:t xml:space="preserve">3.1.7. Отбор проб обезвоженных (до 70% влажности) осадков сточных вод производят с 4 – 5 мест иловых площадок (2 – 3-летнего выдерживания осадка), компостных буртов совком или лопатой навесками по 50 г; объединяют в одну пробу массой не менее 200 г и помещают в пластиковую емкость с крышкой или пластиковый пакет. Пробы можно хранить в холодильнике при температуре плюс (5 ± 2) °C не более 7 суток.</w:t>
      </w:r>
    </w:p>
    <w:p>
      <w:pPr>
        <w:widowControl w:val="0"/>
        <w:spacing w:before="0" w:after="60" w:line="240" w:lineRule="auto"/>
        <w:ind w:firstLine="709"/>
        <w:jc w:val="both"/>
      </w:pPr>
      <w:r>
        <w:rPr>
          <w:rFonts w:ascii="Times New Roman" w:hAnsi="Times New Roman"/>
          <w:sz w:val="28"/>
          <w:szCs w:val="28"/>
        </w:rPr>
        <w:t xml:space="preserve">3.2. Отбор проб различных видов вод</w:t>
      </w:r>
    </w:p>
    <w:p>
      <w:pPr>
        <w:widowControl w:val="0"/>
        <w:spacing w:before="0" w:after="60" w:line="240" w:lineRule="auto"/>
        <w:ind w:firstLine="709"/>
        <w:jc w:val="both"/>
      </w:pPr>
      <w:r>
        <w:rPr>
          <w:rFonts w:ascii="Times New Roman" w:hAnsi="Times New Roman"/>
          <w:sz w:val="28"/>
          <w:szCs w:val="28"/>
        </w:rPr>
        <w:t xml:space="preserve">3.2.1. Отбор проб различных видов вод с объекта (точка отбора пробы воды) проводят несколькими способами:</w:t>
      </w:r>
    </w:p>
    <w:p>
      <w:pPr>
        <w:widowControl w:val="0"/>
        <w:spacing w:before="0" w:after="60" w:line="240" w:lineRule="auto"/>
        <w:ind w:firstLine="709"/>
        <w:jc w:val="both"/>
      </w:pPr>
      <w:r>
        <w:rPr>
          <w:rFonts w:ascii="Times New Roman" w:hAnsi="Times New Roman"/>
          <w:sz w:val="28"/>
          <w:szCs w:val="28"/>
        </w:rPr>
        <w:t xml:space="preserve">с каждой точки отбора пробы воды обследуемого объекта непосредственно в закрывающиеся емкости (фляги, бутыли, канистры и т. п.) с общим объемом пробы от 10 до 50 дм3 (л), в зависимости от типа отбираемых вод и доставкой этих объемов для исследования в лабораторию;</w:t>
      </w:r>
    </w:p>
    <w:p>
      <w:pPr>
        <w:widowControl w:val="0"/>
        <w:spacing w:before="0" w:after="60" w:line="240" w:lineRule="auto"/>
        <w:ind w:firstLine="709"/>
        <w:jc w:val="both"/>
      </w:pPr>
      <w:r>
        <w:rPr>
          <w:rFonts w:ascii="Times New Roman" w:hAnsi="Times New Roman"/>
          <w:sz w:val="28"/>
          <w:szCs w:val="28"/>
        </w:rPr>
        <w:t xml:space="preserve">с последующим концентрированием отобранных проб воды с применением коагулянтов: сульфата алюминия, сульфата железа, сульфата меди (приложение 2 к настоящим МУК рекомендуемое);</w:t>
      </w:r>
    </w:p>
    <w:p>
      <w:pPr>
        <w:widowControl w:val="0"/>
        <w:spacing w:before="0" w:after="60" w:line="240" w:lineRule="auto"/>
        <w:ind w:firstLine="709"/>
        <w:jc w:val="both"/>
      </w:pPr>
      <w:r>
        <w:rPr>
          <w:rFonts w:ascii="Times New Roman" w:hAnsi="Times New Roman"/>
          <w:sz w:val="28"/>
          <w:szCs w:val="28"/>
        </w:rPr>
        <w:t xml:space="preserve">с помощью фильтровальных приборов на объектах водозабора и доставкой на исследование в лабораторию концентрированного осадка на мембранных или порошковых фильтрах (приложение 2 к настоящим МУК рекомендуемое).</w:t>
      </w:r>
    </w:p>
    <w:p>
      <w:pPr>
        <w:widowControl w:val="0"/>
        <w:spacing w:before="0" w:after="60" w:line="240" w:lineRule="auto"/>
        <w:ind w:firstLine="709"/>
        <w:jc w:val="both"/>
      </w:pPr>
      <w:r>
        <w:rPr>
          <w:rFonts w:ascii="Times New Roman" w:hAnsi="Times New Roman"/>
          <w:sz w:val="28"/>
          <w:szCs w:val="28"/>
        </w:rPr>
        <w:t xml:space="preserve">3.2.2. При исследовании воды из распределительной сети пробу питьевой воды (объем пробы – 50 дм3 (л) отбирают без предварительного спуска воды непосредственно из водопроводного крана с применением гибких шлангов, водораспределительных сеток, насадок. При отборе проб воды с концентрированием осадка на фильтрах применяют насадки аппаратов напорного фильтрования, напор воды при этом регулируют с таким расчетом, чтобы он был достаточным для фильтрации через мембранные фильтры (МФАС-СПА или АТМ).</w:t>
      </w:r>
    </w:p>
    <w:p>
      <w:pPr>
        <w:widowControl w:val="0"/>
        <w:spacing w:before="0" w:after="60" w:line="240" w:lineRule="auto"/>
        <w:ind w:firstLine="709"/>
        <w:jc w:val="both"/>
      </w:pPr>
      <w:r>
        <w:rPr>
          <w:rFonts w:ascii="Times New Roman" w:hAnsi="Times New Roman"/>
          <w:sz w:val="28"/>
          <w:szCs w:val="28"/>
        </w:rPr>
        <w:t xml:space="preserve">3.2.3. Отбор пробы воды водоочистных станций хозяйственно-питьевого водоснабжения проводят перед подачей в распределительную сеть из крана с применением гибких шлангов, водораспределительных сеток, насадок. Объем пробы – 50 дм3 (л). Из систем нецентрализованного питьевого водоснабжения отбирают пробы воды объемом 50 дм3 (л).</w:t>
      </w:r>
    </w:p>
    <w:p>
      <w:pPr>
        <w:widowControl w:val="0"/>
        <w:spacing w:before="0" w:after="60" w:line="240" w:lineRule="auto"/>
        <w:ind w:firstLine="709"/>
        <w:jc w:val="both"/>
      </w:pPr>
      <w:r>
        <w:rPr>
          <w:rFonts w:ascii="Times New Roman" w:hAnsi="Times New Roman"/>
          <w:sz w:val="28"/>
          <w:szCs w:val="28"/>
        </w:rPr>
        <w:t xml:space="preserve">3.2.4. Отбор проб воды питьевой на объектах транспорта (железнодорожном, водном, автобусном) осуществляют в точках водоразбора. Объем пробы – 50 дм3 (л).</w:t>
      </w:r>
    </w:p>
    <w:p>
      <w:pPr>
        <w:widowControl w:val="0"/>
        <w:spacing w:before="0" w:after="60" w:line="240" w:lineRule="auto"/>
        <w:ind w:firstLine="709"/>
        <w:jc w:val="both"/>
      </w:pPr>
      <w:r>
        <w:rPr>
          <w:rFonts w:ascii="Times New Roman" w:hAnsi="Times New Roman"/>
          <w:sz w:val="28"/>
          <w:szCs w:val="28"/>
        </w:rPr>
        <w:t xml:space="preserve">3.2.5. Пробы воды природных биотопов (вода поверхностных водоемов, прибрежные воды морей и рекреационных зон), воды плавательных бассейнов и аквапарков, а также поливные воды в емкостях отбирают с поверхностного и глубинного слоев емкостями 1,5 – 2,0 дм3 (л) с интервалом 5 мин или при помощи фильтровальных приборов в следующих объемах: в водоемах – 25 дм3 (л); в бассейнах и аквапарках – 50 дм3 (л).</w:t>
      </w:r>
    </w:p>
    <w:p>
      <w:pPr>
        <w:widowControl w:val="0"/>
        <w:spacing w:before="0" w:after="60" w:line="240" w:lineRule="auto"/>
        <w:ind w:firstLine="709"/>
        <w:jc w:val="both"/>
      </w:pPr>
      <w:r>
        <w:rPr>
          <w:rFonts w:ascii="Times New Roman" w:hAnsi="Times New Roman"/>
          <w:sz w:val="28"/>
          <w:szCs w:val="28"/>
        </w:rPr>
        <w:t xml:space="preserve">3.2.6. Отбор проб сточных вод проводят в местах до проведения очистки (при необходимости расчета эффективности дегельминтизации и дезинвазии) и в местах после проведения очистки. При расчёте эффективности пробы «до» и «после» отбирают одномоментно (разница не более 30 мин) при сопоставимом расходе, не менее 5 пар; эффективность дегельминтизации рассчитывают по формуле Э = (1 − ИПЗпосле / ИПЗдо) × 100 %</w:t>
      </w:r>
    </w:p>
    <w:p>
      <w:pPr>
        <w:widowControl w:val="0"/>
        <w:spacing w:before="0" w:after="60" w:line="240" w:lineRule="auto"/>
        <w:ind w:firstLine="709"/>
        <w:jc w:val="both"/>
      </w:pPr>
      <w:r>
        <w:rPr>
          <w:rFonts w:ascii="Times New Roman" w:hAnsi="Times New Roman"/>
          <w:sz w:val="28"/>
          <w:szCs w:val="28"/>
        </w:rPr>
        <w:t xml:space="preserve">3.2.7. Объем пробы сточных вод до проведения очистки – 10 дм3 (л) сточных вод после очистки – 25 дм3 (л). Отбор проб сточных вод проводят при помощи фильтровальных приборов или емкостей 200 см3– 500 см3 (мл). Отдельные порции сточных вод сливают в широкогорлые емкости, соответствующего объема.</w:t>
      </w:r>
    </w:p>
    <w:p>
      <w:pPr>
        <w:widowControl w:val="0"/>
        <w:spacing w:before="0" w:after="60" w:line="240" w:lineRule="auto"/>
        <w:ind w:firstLine="709"/>
        <w:jc w:val="both"/>
      </w:pPr>
      <w:r>
        <w:rPr>
          <w:rFonts w:ascii="Times New Roman" w:hAnsi="Times New Roman"/>
          <w:sz w:val="28"/>
          <w:szCs w:val="28"/>
        </w:rPr>
        <w:t xml:space="preserve">3.2.8. Емкости с пробами воды маркируют в соответствии с актом отбора проб и доставляют в лабораторию в течение 24 ч после отбора. Допускается хранение проб рекреационных и сточных вод до начала исследований в течение 48 ч при температуре плюс 15 – 25°С. Концентраты проб можно хранить в холодильнике при температуре плюс (5 ± 2)°С не более 3 суток при (2–8) °С. Пробы воды (питьевой, бассейнов и аквапарков), не прошедшие предварительную обработку, хранят при комнатной температуре плюс 15 – 20°С не более двух суток. При отсутствии необходимости определения жизнеспособности возбудителей паразитозов в пробе, допускается хранение концентратов проб воды в течение одного месяца при добавлении в него раствора формальдегида с таким расчетом, чтобы концентрация его в суспензии составила 2%.</w:t>
      </w:r>
    </w:p>
    <w:p>
      <w:pPr>
        <w:widowControl w:val="0"/>
        <w:spacing w:before="0" w:after="60" w:line="240" w:lineRule="auto"/>
        <w:ind w:firstLine="709"/>
        <w:jc w:val="both"/>
      </w:pPr>
      <w:r>
        <w:rPr>
          <w:rFonts w:ascii="Times New Roman" w:hAnsi="Times New Roman"/>
          <w:sz w:val="28"/>
          <w:szCs w:val="28"/>
        </w:rPr>
        <w:t xml:space="preserve">3.3. Отбор проб смывов с поверхностей предметов</w:t>
      </w:r>
    </w:p>
    <w:p>
      <w:pPr>
        <w:widowControl w:val="0"/>
        <w:spacing w:before="0" w:after="60" w:line="240" w:lineRule="auto"/>
        <w:ind w:firstLine="709"/>
        <w:jc w:val="both"/>
      </w:pPr>
      <w:r>
        <w:rPr>
          <w:rFonts w:ascii="Times New Roman" w:hAnsi="Times New Roman"/>
          <w:sz w:val="28"/>
          <w:szCs w:val="28"/>
        </w:rPr>
        <w:t xml:space="preserve">3.3.1. Пробы смывов отбирают с оборудования, инвентаря, предметов обихода, инструментов, спецодежды, игрушек, поручней, а также с рук детей и персонала организаций.</w:t>
      </w:r>
    </w:p>
    <w:p>
      <w:pPr>
        <w:widowControl w:val="0"/>
        <w:spacing w:before="0" w:after="60" w:line="240" w:lineRule="auto"/>
        <w:ind w:firstLine="709"/>
        <w:jc w:val="both"/>
      </w:pPr>
      <w:r>
        <w:rPr>
          <w:rFonts w:ascii="Times New Roman" w:hAnsi="Times New Roman"/>
          <w:sz w:val="28"/>
          <w:szCs w:val="28"/>
        </w:rPr>
        <w:t xml:space="preserve">3.3.2. Для отбора проб смывов применяют кисточки из натурального или искусственного сырья, зонд-тампоны или тампоны, покрытые капроном, для отбора, транспортировки и хранения проб, смоченные в 1% растворе натрия гидроксида, или в 10% растворе глицерина. В центрифужные пробирки наливают до половины объема 10% раствор глицерина. Для каждой группы предметов берут отдельную пробирку и кисточку или зонд-тампон, которые нумеруют (номер кисточки или зонд-тампона и пробирки должны совпадать). В одну пробу (в пробирку) собирают смывы с нескольких однородных предметов. Раствор 1 %-й NaOH — только при определении яиц гельминтов; для цист простейших и личинок — 0,9 %-й раствор натрия хлорида; при последующем определении жизнеспособности — только 0,9 %-й NaCl</w:t>
      </w:r>
    </w:p>
    <w:p>
      <w:pPr>
        <w:widowControl w:val="0"/>
        <w:spacing w:before="0" w:after="60" w:line="240" w:lineRule="auto"/>
        <w:ind w:firstLine="709"/>
        <w:jc w:val="both"/>
      </w:pPr>
      <w:r>
        <w:rPr>
          <w:rFonts w:ascii="Times New Roman" w:hAnsi="Times New Roman"/>
          <w:sz w:val="28"/>
          <w:szCs w:val="28"/>
        </w:rPr>
        <w:t xml:space="preserve">3.3.3. При взятии проб смывов с поверхностей кисточкой или зонд-тампоном, смоченных в растворе, многократно и с нажимом проводят по поверхности однородных предметов обследуемого объекта (стулья, столы, подоконники, ручки дверей и др.). Кисточку или зонд-тампон в процессе отбора тщательно ополаскивают в пробирке и вновь делают смывы с поверхности предметов. Площадь исследуемой поверхности для одной пробы смывов составляет не менее 0,25 м2 (0,5 × 0,5 м); для одной пробы смывов с однородных предметов обрабатывают не менее 10 предметов (например, тарелки, игрушки, ручки дверей и пр.). После отбора смывов пробирки, с вложенными в них кисточками или зонд-тампонами, в штативах доставляются в лабораторию в течение 24 ч. Маркировку целесообразно проводить не для каждой отдельной пробирки, а списком для штатива.</w:t>
      </w:r>
    </w:p>
    <w:p>
      <w:pPr>
        <w:widowControl w:val="0"/>
        <w:spacing w:before="0" w:after="60" w:line="240" w:lineRule="auto"/>
        <w:ind w:firstLine="709"/>
        <w:jc w:val="both"/>
      </w:pPr>
      <w:r>
        <w:rPr>
          <w:rFonts w:ascii="Times New Roman" w:hAnsi="Times New Roman"/>
          <w:sz w:val="28"/>
          <w:szCs w:val="28"/>
        </w:rPr>
        <w:t xml:space="preserve">3.3.4. При взятии проб смывов с рук, кисточкой или зонд-тампоном, смоченных в растворе, протирают ладонные поверхности обеих рук, проводя не менее 5 раз по каждой ладони и пальцам, межпальцевую область, ногти и подногтевое пространство. После отбора смывов пробирки, с вложенными в них кисточками или зонд-тампонами, в штативах доставляются в лабораторию в течение 24 ч. Допускается хранение проб смывов с рук до начала исследований в течение 48 ч при температуре плюс 5°С.</w:t>
      </w:r>
    </w:p>
    <w:p>
      <w:pPr>
        <w:widowControl w:val="0"/>
        <w:spacing w:before="0" w:after="60" w:line="240" w:lineRule="auto"/>
        <w:ind w:firstLine="709"/>
        <w:jc w:val="both"/>
      </w:pPr>
      <w:r>
        <w:rPr>
          <w:rFonts w:ascii="Times New Roman" w:hAnsi="Times New Roman"/>
          <w:sz w:val="28"/>
          <w:szCs w:val="28"/>
        </w:rPr>
        <w:t xml:space="preserve">3.3.5. Регистрация проб объектов внешней среды. Каждая проба, направляемая на исследование в лабораторию, сопровождается актом отбора проб, где указываются: наименование предприятия, организации (заявителя); наименование пробы (образца); объём (масса) пробы; метод отбора пробы; нормативные документы на оценку объекта испытания; место отбора пробы; ФИО, должность отобравшего пробу; ФИО присутствующего при отборе пробы; дату и время отбора пробы; дату и время доставки пробы в лабораторию; дополнительные сведения (цель исследований и др. при необходимости), а также: площадь смыва; тип и объём элюента; номер фильтра и объём фильтрования; тип флотационного раствора и его измеренную плотность; наличие и вид консерванта</w:t>
      </w:r>
    </w:p>
    <w:p>
      <w:pPr>
        <w:widowControl w:val="0"/>
        <w:spacing w:before="0" w:after="60" w:line="240" w:lineRule="auto"/>
        <w:ind w:firstLine="709"/>
        <w:jc w:val="both"/>
      </w:pPr>
      <w:r>
        <w:rPr>
          <w:rFonts w:ascii="Times New Roman" w:hAnsi="Times New Roman"/>
          <w:sz w:val="28"/>
          <w:szCs w:val="28"/>
        </w:rPr>
        <w:t xml:space="preserve">3.4. Отбор, хранение и подготовка к исследованию проб навоза, помёта и навозных стоков</w:t>
      </w:r>
    </w:p>
    <w:p>
      <w:pPr>
        <w:widowControl w:val="0"/>
        <w:spacing w:before="0" w:after="60" w:line="240" w:lineRule="auto"/>
        <w:ind w:firstLine="709"/>
        <w:jc w:val="both"/>
      </w:pPr>
      <w:r>
        <w:rPr>
          <w:rFonts w:ascii="Times New Roman" w:hAnsi="Times New Roman"/>
          <w:sz w:val="28"/>
          <w:szCs w:val="28"/>
        </w:rPr>
        <w:t xml:space="preserve">3.4.1. Санитарно-паразитологическому исследованию подлежат:</w:t>
      </w:r>
    </w:p>
    <w:p>
      <w:pPr>
        <w:widowControl w:val="0"/>
        <w:spacing w:before="0" w:after="60" w:line="240" w:lineRule="auto"/>
        <w:ind w:firstLine="709"/>
        <w:jc w:val="both"/>
      </w:pPr>
      <w:r>
        <w:rPr>
          <w:rFonts w:ascii="Times New Roman" w:hAnsi="Times New Roman"/>
          <w:sz w:val="28"/>
          <w:szCs w:val="28"/>
        </w:rPr>
        <w:t xml:space="preserve">— навоз твёрдый (подстилочный) крупного рогатого скота, свиней, овец, коз, лошадей и других видов животных;</w:t>
      </w:r>
    </w:p>
    <w:p>
      <w:pPr>
        <w:widowControl w:val="0"/>
        <w:spacing w:before="0" w:after="60" w:line="240" w:lineRule="auto"/>
        <w:ind w:firstLine="709"/>
        <w:jc w:val="both"/>
      </w:pPr>
      <w:r>
        <w:rPr>
          <w:rFonts w:ascii="Times New Roman" w:hAnsi="Times New Roman"/>
          <w:sz w:val="28"/>
          <w:szCs w:val="28"/>
        </w:rPr>
        <w:t xml:space="preserve">— навоз жидкий (бесподстилочный), полужидкий, помёт бесподстилочный и его жидкая и твёрдая фракции после сепарации;</w:t>
      </w:r>
    </w:p>
    <w:p>
      <w:pPr>
        <w:widowControl w:val="0"/>
        <w:spacing w:before="0" w:after="60" w:line="240" w:lineRule="auto"/>
        <w:ind w:firstLine="709"/>
        <w:jc w:val="both"/>
      </w:pPr>
      <w:r>
        <w:rPr>
          <w:rFonts w:ascii="Times New Roman" w:hAnsi="Times New Roman"/>
          <w:sz w:val="28"/>
          <w:szCs w:val="28"/>
        </w:rPr>
        <w:t xml:space="preserve">— помёт птичий (кур, индеек, уток, гусей и других видов птиц), в том числе подстилочный и бесподстилочный;</w:t>
      </w:r>
    </w:p>
    <w:p>
      <w:pPr>
        <w:widowControl w:val="0"/>
        <w:spacing w:before="0" w:after="60" w:line="240" w:lineRule="auto"/>
        <w:ind w:firstLine="709"/>
        <w:jc w:val="both"/>
      </w:pPr>
      <w:r>
        <w:rPr>
          <w:rFonts w:ascii="Times New Roman" w:hAnsi="Times New Roman"/>
          <w:sz w:val="28"/>
          <w:szCs w:val="28"/>
        </w:rPr>
        <w:t xml:space="preserve">— навозные (пометные) стоки, сточные воды животноводческих и птицеводческих комплексов (ферм) до и после очистных сооружений, иловая смесь;</w:t>
      </w:r>
    </w:p>
    <w:p>
      <w:pPr>
        <w:widowControl w:val="0"/>
        <w:spacing w:before="0" w:after="60" w:line="240" w:lineRule="auto"/>
        <w:ind w:firstLine="709"/>
        <w:jc w:val="both"/>
      </w:pPr>
      <w:r>
        <w:rPr>
          <w:rFonts w:ascii="Times New Roman" w:hAnsi="Times New Roman"/>
          <w:sz w:val="28"/>
          <w:szCs w:val="28"/>
        </w:rPr>
        <w:t xml:space="preserve">— осадки навозохранилищ, навозоотстойников, отстойников-накопителей, приёмных резервуаров и прудов-накопителей;</w:t>
      </w:r>
    </w:p>
    <w:p>
      <w:pPr>
        <w:widowControl w:val="0"/>
        <w:spacing w:before="0" w:after="60" w:line="240" w:lineRule="auto"/>
        <w:ind w:firstLine="709"/>
        <w:jc w:val="both"/>
      </w:pPr>
      <w:r>
        <w:rPr>
          <w:rFonts w:ascii="Times New Roman" w:hAnsi="Times New Roman"/>
          <w:sz w:val="28"/>
          <w:szCs w:val="28"/>
        </w:rPr>
        <w:t xml:space="preserve">— подстилка из животноводческих и птицеводческих помещений;</w:t>
      </w:r>
    </w:p>
    <w:p>
      <w:pPr>
        <w:widowControl w:val="0"/>
        <w:spacing w:before="0" w:after="60" w:line="240" w:lineRule="auto"/>
        <w:ind w:firstLine="709"/>
        <w:jc w:val="both"/>
      </w:pPr>
      <w:r>
        <w:rPr>
          <w:rFonts w:ascii="Times New Roman" w:hAnsi="Times New Roman"/>
          <w:sz w:val="28"/>
          <w:szCs w:val="28"/>
        </w:rPr>
        <w:t xml:space="preserve">— органические удобрения на основе навоза, помёта и осадков сточных вод: компосты, биоперегной, биогумус, сухой навоз;</w:t>
      </w:r>
    </w:p>
    <w:p>
      <w:pPr>
        <w:widowControl w:val="0"/>
        <w:spacing w:before="0" w:after="60" w:line="240" w:lineRule="auto"/>
        <w:ind w:firstLine="709"/>
        <w:jc w:val="both"/>
      </w:pPr>
      <w:r>
        <w:rPr>
          <w:rFonts w:ascii="Times New Roman" w:hAnsi="Times New Roman"/>
          <w:sz w:val="28"/>
          <w:szCs w:val="28"/>
        </w:rPr>
        <w:t xml:space="preserve">— почвы территорий, удобряемых указанными отходами и удобрениями, тепличные грунты (исследуют по п. 4.1 и п. 4.9.11).</w:t>
      </w:r>
    </w:p>
    <w:p>
      <w:pPr>
        <w:widowControl w:val="0"/>
        <w:spacing w:before="0" w:after="60" w:line="240" w:lineRule="auto"/>
        <w:ind w:firstLine="709"/>
        <w:jc w:val="both"/>
      </w:pPr>
      <w:r>
        <w:rPr>
          <w:rFonts w:ascii="Times New Roman" w:hAnsi="Times New Roman"/>
          <w:sz w:val="28"/>
          <w:szCs w:val="28"/>
        </w:rPr>
        <w:t xml:space="preserve">Отбор проб жидкого навоза при ветеринарно-санитарной оценке — дополнительно с учётом ГОСТ 26074.</w:t>
      </w:r>
    </w:p>
    <w:p>
      <w:pPr>
        <w:widowControl w:val="0"/>
        <w:spacing w:before="0" w:after="60" w:line="240" w:lineRule="auto"/>
        <w:ind w:firstLine="709"/>
        <w:jc w:val="both"/>
      </w:pPr>
      <w:r>
        <w:rPr>
          <w:rFonts w:ascii="Times New Roman" w:hAnsi="Times New Roman"/>
          <w:sz w:val="28"/>
          <w:szCs w:val="28"/>
        </w:rPr>
        <w:t xml:space="preserve">3.4.2. Отбор проб проводят в местах образования, накопления, обработки и использования отходов животноводства: в животноводческих помещениях (из каналов гидросмыва, из подстилки), на площадках и в помещениях для хранения и компостирования (бурты, штабеля, компостеры), в навозохранилищах и навозоотстойниках (открытых и закрытых), в отстойниках-накопителях и приёмных резервуарах сооружений по обработке бесподстилочного навоза (помёта), на сепараторах и установках обезвоживания, на очистных сооружениях животноводческих комплексов (на входе и на выходе), в транспортных средствах (цистерны, разливочно-раздаточные устройства машин для внесения удобрений, навозоразбрасыватели), а также на полях и оросительных участках — до и после внесения удобрений.</w:t>
      </w:r>
    </w:p>
    <w:p>
      <w:pPr>
        <w:widowControl w:val="0"/>
        <w:spacing w:before="0" w:after="60" w:line="240" w:lineRule="auto"/>
        <w:ind w:firstLine="709"/>
        <w:jc w:val="both"/>
      </w:pPr>
      <w:r>
        <w:rPr>
          <w:rFonts w:ascii="Times New Roman" w:hAnsi="Times New Roman"/>
          <w:sz w:val="28"/>
          <w:szCs w:val="28"/>
        </w:rPr>
        <w:t xml:space="preserve">Точечные пробы отбирают не менее чем из трёх точек (мест) партии органического удобрения на разных участках технологической линии производства, хранения и применения удобрения. Число точек отбора и схему размещения точечных проб определяют с учётом технологии накопления и обезвреживания, массы (объёма) партии и цели исследования (производственный контроль, контроль эффективности дезинвазии, паспортизация удобрения, расследование случаев паразитарных болезней).</w:t>
      </w:r>
    </w:p>
    <w:p>
      <w:pPr>
        <w:widowControl w:val="0"/>
        <w:spacing w:before="0" w:after="60" w:line="240" w:lineRule="auto"/>
        <w:ind w:firstLine="709"/>
        <w:jc w:val="both"/>
      </w:pPr>
      <w:r>
        <w:rPr>
          <w:rFonts w:ascii="Times New Roman" w:hAnsi="Times New Roman"/>
          <w:sz w:val="28"/>
          <w:szCs w:val="28"/>
        </w:rPr>
        <w:t xml:space="preserve">3.4.3. Навоз твёрдый (подстилочный), помёт подстилочный, сухой навоз, твёрдая фракция бесподстилочного навоза, компосты, биоперегной, биогумус.</w:t>
      </w:r>
    </w:p>
    <w:p>
      <w:pPr>
        <w:widowControl w:val="0"/>
        <w:spacing w:before="0" w:after="60" w:line="240" w:lineRule="auto"/>
        <w:ind w:firstLine="709"/>
        <w:jc w:val="both"/>
      </w:pPr>
      <w:r>
        <w:rPr>
          <w:rFonts w:ascii="Times New Roman" w:hAnsi="Times New Roman"/>
          <w:sz w:val="28"/>
          <w:szCs w:val="28"/>
        </w:rPr>
        <w:t xml:space="preserve">Точечные пробы отбирают из верхнего, среднего и нижнего слоёв штабелей и буртов. Предварительно по всей длине штабеля (бурта) намечают сечения, из которых планируется отбор проб. Глубина отбора проб из каждого слоя — не менее 20 см; точечные пробы отбирают из пяти точек каждого слоя. Масса одной точечной пробы — не менее 100 г. При отборе проб используют почвенные пробоотборники (щупы, буры), лопаты, совки, шпатели; точечные пробы помещают в вёдра (ёмкости). Рекомендуемое распределение точек: по диагонали либо методом «конверта» (четыре точки по углам и одна в центре) для каждого слоя.</w:t>
      </w:r>
    </w:p>
    <w:p>
      <w:pPr>
        <w:widowControl w:val="0"/>
        <w:spacing w:before="0" w:after="60" w:line="240" w:lineRule="auto"/>
        <w:ind w:firstLine="709"/>
        <w:jc w:val="both"/>
      </w:pPr>
      <w:r>
        <w:rPr>
          <w:rFonts w:ascii="Times New Roman" w:hAnsi="Times New Roman"/>
          <w:sz w:val="28"/>
          <w:szCs w:val="28"/>
        </w:rPr>
        <w:t xml:space="preserve">Точечные пробы составляют из материала с удалением посторонних механических включений с высокой удельной массой (камни, стекло, щебень, металл и пр.) и с низкой удельной массой (щепа, перо, верёвки, шпагат, остатки подстилки и корма); наличие и характер удалённых включений фиксируют в акте отбора проб.</w:t>
      </w:r>
    </w:p>
    <w:p>
      <w:pPr>
        <w:widowControl w:val="0"/>
        <w:spacing w:before="0" w:after="60" w:line="240" w:lineRule="auto"/>
        <w:ind w:firstLine="709"/>
        <w:jc w:val="both"/>
      </w:pPr>
      <w:r>
        <w:rPr>
          <w:rFonts w:ascii="Times New Roman" w:hAnsi="Times New Roman"/>
          <w:sz w:val="28"/>
          <w:szCs w:val="28"/>
        </w:rPr>
        <w:t xml:space="preserve">Из точечных проб составляют объединённую пробу, которую высыпают на клеёнку, полиэтиленовую плёнку, кальку или обёрточную бумагу, тщательно перемешивают и сокращают методом квартования до лабораторной пробы:</w:t>
      </w:r>
    </w:p>
    <w:p>
      <w:pPr>
        <w:widowControl w:val="0"/>
        <w:spacing w:before="0" w:after="60" w:line="240" w:lineRule="auto"/>
        <w:ind w:firstLine="709"/>
        <w:jc w:val="both"/>
      </w:pPr>
      <w:r>
        <w:rPr>
          <w:rFonts w:ascii="Times New Roman" w:hAnsi="Times New Roman"/>
          <w:sz w:val="28"/>
          <w:szCs w:val="28"/>
        </w:rPr>
        <w:t xml:space="preserve">— массой не менее 2 кг — при проведении комплекса анализов безопасности и качества органического удобрения (по ГОСТ Р 58487-2019, п. 7.1.2);</w:t>
      </w:r>
    </w:p>
    <w:p>
      <w:pPr>
        <w:widowControl w:val="0"/>
        <w:spacing w:before="0" w:after="60" w:line="240" w:lineRule="auto"/>
        <w:ind w:firstLine="709"/>
        <w:jc w:val="both"/>
      </w:pPr>
      <w:r>
        <w:rPr>
          <w:rFonts w:ascii="Times New Roman" w:hAnsi="Times New Roman"/>
          <w:sz w:val="28"/>
          <w:szCs w:val="28"/>
        </w:rPr>
        <w:t xml:space="preserve">— массой не более 1 кг — при проведении только паразитологического анализа (по ГОСТ Р 57782-2017, п. 6.2.2).</w:t>
      </w:r>
    </w:p>
    <w:p>
      <w:pPr>
        <w:widowControl w:val="0"/>
        <w:spacing w:before="0" w:after="60" w:line="240" w:lineRule="auto"/>
        <w:ind w:firstLine="709"/>
        <w:jc w:val="both"/>
      </w:pPr>
      <w:r>
        <w:rPr>
          <w:rFonts w:ascii="Times New Roman" w:hAnsi="Times New Roman"/>
          <w:sz w:val="28"/>
          <w:szCs w:val="28"/>
        </w:rPr>
        <w:t xml:space="preserve">При совместном отборе проб для паразитологического и иных видов анализа лабораторную пробу готовят массой не менее 2 кг, а для санитарно-паразитологического исследования методом квартования отбирают часть массой не более 1 кг.</w:t>
      </w:r>
    </w:p>
    <w:p>
      <w:pPr>
        <w:widowControl w:val="0"/>
        <w:spacing w:before="0" w:after="60" w:line="240" w:lineRule="auto"/>
        <w:ind w:firstLine="709"/>
        <w:jc w:val="both"/>
      </w:pPr>
      <w:r>
        <w:rPr>
          <w:rFonts w:ascii="Times New Roman" w:hAnsi="Times New Roman"/>
          <w:sz w:val="28"/>
          <w:szCs w:val="28"/>
        </w:rPr>
        <w:t xml:space="preserve">Лабораторную пробу помещают в полиэтиленовый мешок (пакет), снабжают этикеткой, тщательно изолированной от удобрения, на которой указывают: вид удобрения; обозначение настоящих МУК; место отбора пробы; дату отбора пробы; номер объединённой пробы; количество точечных проб; массу (объём) удобрения, от которого отобрана проба; массу пробы; фамилию и подпись ответственного за отбор проб. Дополнительно указывают: вид животных; точку отбора (зона, слой, глубина); время отбора; температуру материала; применённый консервант (при наличии); цель исследования.</w:t>
      </w:r>
    </w:p>
    <w:p>
      <w:pPr>
        <w:widowControl w:val="0"/>
        <w:spacing w:before="0" w:after="60" w:line="240" w:lineRule="auto"/>
        <w:ind w:firstLine="709"/>
        <w:jc w:val="both"/>
      </w:pPr>
      <w:r>
        <w:rPr>
          <w:rFonts w:ascii="Times New Roman" w:hAnsi="Times New Roman"/>
          <w:sz w:val="28"/>
          <w:szCs w:val="28"/>
        </w:rPr>
        <w:t xml:space="preserve">Анализируемые пробы для проведения конкретного вида паразитологического анализа готовят из лабораторной пробы методом квартования (п. 3.4.8). Масса анализируемой навески зависит от применяемого метода: 50–100 г — при исследовании на яйца гельминтов (п. 4.9.2); 3 г — при исследовании на цисты и ооцисты простейших (п. 4.9.5-а, 4.9.5-б); 1 г — при количественном учёте ооцист и цист (п. 4.9.7).</w:t>
      </w:r>
    </w:p>
    <w:p>
      <w:pPr>
        <w:widowControl w:val="0"/>
        <w:spacing w:before="0" w:after="60" w:line="240" w:lineRule="auto"/>
        <w:ind w:firstLine="709"/>
        <w:jc w:val="both"/>
      </w:pPr>
      <w:r>
        <w:rPr>
          <w:rFonts w:ascii="Times New Roman" w:hAnsi="Times New Roman"/>
          <w:sz w:val="28"/>
          <w:szCs w:val="28"/>
        </w:rPr>
        <w:t xml:space="preserve">Одновременно с отбором пробы измеряют температуру материала в бурте (в трёх слоях) и указывают её в акте отбора проб; при контроле эффективности компостирования температуру фиксируют ежедневно.</w:t>
      </w:r>
    </w:p>
    <w:p>
      <w:pPr>
        <w:widowControl w:val="0"/>
        <w:spacing w:before="0" w:after="60" w:line="240" w:lineRule="auto"/>
        <w:ind w:firstLine="709"/>
        <w:jc w:val="both"/>
      </w:pPr>
      <w:r>
        <w:rPr>
          <w:rFonts w:ascii="Times New Roman" w:hAnsi="Times New Roman"/>
          <w:sz w:val="28"/>
          <w:szCs w:val="28"/>
        </w:rPr>
        <w:t xml:space="preserve">После отбора проб почвенные пробоотборники, лопаты, совки, шпатели и вёдра тщательно очищают от остатков удобрений, моют и дезинфицируют кипящей водой в течение 20 мин.</w:t>
      </w:r>
    </w:p>
    <w:p>
      <w:pPr>
        <w:widowControl w:val="0"/>
        <w:spacing w:before="0" w:after="60" w:line="240" w:lineRule="auto"/>
        <w:ind w:firstLine="709"/>
        <w:jc w:val="both"/>
      </w:pPr>
      <w:r>
        <w:rPr>
          <w:rFonts w:ascii="Times New Roman" w:hAnsi="Times New Roman"/>
          <w:sz w:val="28"/>
          <w:szCs w:val="28"/>
        </w:rPr>
        <w:t xml:space="preserve">3.4.4. Навоз обезвоженный, осадки навозохранилищ и навозоотстойников, подстилка (влажность до 70%).</w:t>
      </w:r>
    </w:p>
    <w:p>
      <w:pPr>
        <w:widowControl w:val="0"/>
        <w:spacing w:before="0" w:after="60" w:line="240" w:lineRule="auto"/>
        <w:ind w:firstLine="709"/>
        <w:jc w:val="both"/>
      </w:pPr>
      <w:r>
        <w:rPr>
          <w:rFonts w:ascii="Times New Roman" w:hAnsi="Times New Roman"/>
          <w:sz w:val="28"/>
          <w:szCs w:val="28"/>
        </w:rPr>
        <w:t xml:space="preserve">Отбор точечных проб, составление объединённой и лабораторной проб — по п. 3.4.3 (щупом, совком, лопатой или пробоотборником с 4–5 мест площадки, бурта либо из разных зон накопителя). Анализируемая масса для исследования — 0,2 кг на каждую точку контроля (при производственном контроле — 2 пробы: до и после обеззараживания); при исследовании на яйца гельминтов допускается увеличение анализируемой навески до 50–100 г по п. 4.9.2. Хранение и консервация — по п. 3.4.7.</w:t>
      </w:r>
    </w:p>
    <w:p>
      <w:pPr>
        <w:widowControl w:val="0"/>
        <w:spacing w:before="0" w:after="60" w:line="240" w:lineRule="auto"/>
        <w:ind w:firstLine="709"/>
        <w:jc w:val="both"/>
      </w:pPr>
      <w:r>
        <w:rPr>
          <w:rFonts w:ascii="Times New Roman" w:hAnsi="Times New Roman"/>
          <w:sz w:val="28"/>
          <w:szCs w:val="28"/>
        </w:rPr>
        <w:t xml:space="preserve">При проведении совместных микробиологических и ветеринарно-санитарных испытаний лабораторные пробы твердых видов органических удобрений просеивают через сито с ячейками диаметром 3 мм и сокращают до массы 0,5 кг методом квартования (по ГОСТ Р 58487-2019, п. 7.4.1).</w:t>
      </w:r>
    </w:p>
    <w:p>
      <w:pPr>
        <w:widowControl w:val="0"/>
        <w:spacing w:before="0" w:after="60" w:line="240" w:lineRule="auto"/>
        <w:ind w:firstLine="709"/>
        <w:jc w:val="both"/>
      </w:pPr>
      <w:r>
        <w:rPr>
          <w:rFonts w:ascii="Times New Roman" w:hAnsi="Times New Roman"/>
          <w:sz w:val="28"/>
          <w:szCs w:val="28"/>
        </w:rPr>
        <w:t xml:space="preserve">3.4.5. Навоз жидкий и полужидкий (бесподстилочный), помёт бесподстилочный, навозные (пометные) стоки, жидкая фракция после сепарации, сточные воды животноводческих комплексов, иловая смесь.</w:t>
      </w:r>
    </w:p>
    <w:p>
      <w:pPr>
        <w:widowControl w:val="0"/>
        <w:spacing w:before="0" w:after="60" w:line="240" w:lineRule="auto"/>
        <w:ind w:firstLine="709"/>
        <w:jc w:val="both"/>
      </w:pPr>
      <w:r>
        <w:rPr>
          <w:rFonts w:ascii="Times New Roman" w:hAnsi="Times New Roman"/>
          <w:sz w:val="28"/>
          <w:szCs w:val="28"/>
        </w:rPr>
        <w:t xml:space="preserve">Основной режим отбора. Перед отбором проб бесподстилочный навоз (помёт) тщательно перемешивают механическими или пневматическими устройствами в течение 30 мин. Точечные пробы отбирают пробоотборником конструкции А.А. Черепанова либо пробоотборником типа ПВК-1 с разной глубины навозо(помето)хранилища, отстойников-накопителей, приёмных резервуаров сооружений по обработке бесподстилочного навоза (помёта). Объём точечной пробы — не менее 1 дм³; количество точечных проб — не менее восьми. Допускается отбор точечных проб непосредственно из цистерны машины для транспортирования и внесения удобрений либо из её разливочно-раздаточного устройства — после тщательного перемешивания удобрения, в том же объёме и количестве.</w:t>
      </w:r>
    </w:p>
    <w:p>
      <w:pPr>
        <w:widowControl w:val="0"/>
        <w:spacing w:before="0" w:after="60" w:line="240" w:lineRule="auto"/>
        <w:ind w:firstLine="709"/>
        <w:jc w:val="both"/>
      </w:pPr>
      <w:r>
        <w:rPr>
          <w:rFonts w:ascii="Times New Roman" w:hAnsi="Times New Roman"/>
          <w:sz w:val="28"/>
          <w:szCs w:val="28"/>
        </w:rPr>
        <w:t xml:space="preserve">При послойном отборе из накопителей без перемешивания точечные пробы отбирают не менее чем из трёх горизонтов: поверхностного (0–10 см от поверхности), среднего и придонного (10–20 см от дна), с обязательной отметкой в акте отбора проб о неприменении перемешивания.</w:t>
      </w:r>
    </w:p>
    <w:p>
      <w:pPr>
        <w:widowControl w:val="0"/>
        <w:spacing w:before="0" w:after="60" w:line="240" w:lineRule="auto"/>
        <w:ind w:firstLine="709"/>
        <w:jc w:val="both"/>
      </w:pPr>
      <w:r>
        <w:rPr>
          <w:rFonts w:ascii="Times New Roman" w:hAnsi="Times New Roman"/>
          <w:sz w:val="28"/>
          <w:szCs w:val="28"/>
        </w:rPr>
        <w:t xml:space="preserve">Точечные пробы сразу после отбора сливают в ведро либо ёмкость и тщательно перемешивают. Из полученной объединённой пробы пробоотборником отбирают лабораторные пробы, которые помещают в герметично закрывающиеся ёмкости вместимостью не менее 1 дм³ каждая.</w:t>
      </w:r>
    </w:p>
    <w:p>
      <w:pPr>
        <w:widowControl w:val="0"/>
        <w:spacing w:before="0" w:after="60" w:line="240" w:lineRule="auto"/>
        <w:ind w:firstLine="709"/>
        <w:jc w:val="both"/>
      </w:pPr>
      <w:r>
        <w:rPr>
          <w:rFonts w:ascii="Times New Roman" w:hAnsi="Times New Roman"/>
          <w:sz w:val="28"/>
          <w:szCs w:val="28"/>
        </w:rPr>
        <w:t xml:space="preserve">При исследовании на ооцисты и цисты простейших лабораторную пробу объёмом 1 дм³ готовят по схеме последовательных фильтратов: объединённую пробу отстаивают не менее 30 мин; образовавшиеся осадок и надосадочную фракцию (фильтрат 1) разделяют, фильтрат 1 сливают в отдельную ёмкость; осадок переносят на двойной марлевый фильтр и промывают водой; полученный фильтрат 2 отстаивают 30 мин; надосадочную фракцию (фильтрат 3) объединяют с фильтратом 1 и отстаивают 30 мин; сливают (удаляют) 2/3 верхнего слоя отстоявшейся надосадочной фракции; оставшуюся часть надосадочной фракции объединяют с осадками. Полученную лабораторную пробу объёмом 1 дм³ помещают в герметично закрывающуюся ёмкость.</w:t>
      </w:r>
    </w:p>
    <w:p>
      <w:pPr>
        <w:widowControl w:val="0"/>
        <w:spacing w:before="0" w:after="60" w:line="240" w:lineRule="auto"/>
        <w:ind w:firstLine="709"/>
        <w:jc w:val="both"/>
      </w:pPr>
      <w:r>
        <w:rPr>
          <w:rFonts w:ascii="Times New Roman" w:hAnsi="Times New Roman"/>
          <w:sz w:val="28"/>
          <w:szCs w:val="28"/>
        </w:rPr>
        <w:t xml:space="preserve">Допустимый ограниченный режим. При отсутствии пробоотборника конструкции А.А. Черепанова (типа ПВК-1) и условий для перемешивания содержимого накопителя точечные пробы допускается отбирать отдельными порциями объёмом 0,1–0,2 дм³ из 5–10 точек послойно (черпаком, кружкой, пробоотборником батометрического типа или щупом из нейтрального материала) с составлением объединённой пробы объёмом 1,0 дм³ (режим МУК 4.2.2661-10, п. 8.1). Применение ограниченного режима допускается только при невозможности применения основного; факт применения, объём и число точечных проб указывают в акте отбора проб и в протоколе исследования, кратность исследований при этом увеличивают.</w:t>
      </w:r>
    </w:p>
    <w:p>
      <w:pPr>
        <w:widowControl w:val="0"/>
        <w:spacing w:before="0" w:after="60" w:line="240" w:lineRule="auto"/>
        <w:ind w:firstLine="709"/>
        <w:jc w:val="both"/>
      </w:pPr>
      <w:r>
        <w:rPr>
          <w:rFonts w:ascii="Times New Roman" w:hAnsi="Times New Roman"/>
          <w:sz w:val="28"/>
          <w:szCs w:val="28"/>
        </w:rPr>
        <w:t xml:space="preserve">Концентрирование. При необходимости концентрирования (исследование по п. 4.9.3, 4.9.5-ж, 4.9.5-з, п. 4.7, п. 4.8) отбирают объединённую пробу объёмом 5,0–10,0 дм³ (для стоков до очистки) либо 25 дм³ (для стоков после очистки — по аналогии с п. 3.2.7 настоящих МУК).</w:t>
      </w:r>
    </w:p>
    <w:p>
      <w:pPr>
        <w:widowControl w:val="0"/>
        <w:spacing w:before="0" w:after="60" w:line="240" w:lineRule="auto"/>
        <w:ind w:firstLine="709"/>
        <w:jc w:val="both"/>
      </w:pPr>
      <w:r>
        <w:rPr>
          <w:rFonts w:ascii="Times New Roman" w:hAnsi="Times New Roman"/>
          <w:sz w:val="28"/>
          <w:szCs w:val="28"/>
        </w:rPr>
        <w:t xml:space="preserve">Осадок, полученный после отстаивания, рассматривают как отдельную пробу и исследуют по п. 4.9.3; объём осадка указывают в протоколе в см³.</w:t>
      </w:r>
    </w:p>
    <w:p>
      <w:pPr>
        <w:widowControl w:val="0"/>
        <w:spacing w:before="0" w:after="60" w:line="240" w:lineRule="auto"/>
        <w:ind w:firstLine="709"/>
        <w:jc w:val="both"/>
      </w:pPr>
      <w:r>
        <w:rPr>
          <w:rFonts w:ascii="Times New Roman" w:hAnsi="Times New Roman"/>
          <w:sz w:val="28"/>
          <w:szCs w:val="28"/>
        </w:rPr>
        <w:t xml:space="preserve">После отбора проб пробоотборники и вёдра тщательно очищают от остатков удобрений, дезинфицируют кипячением в воде в течение 20 мин, после кипячения обрабатывают дезинфицирующими растворами или этиловым спиртом.</w:t>
      </w:r>
    </w:p>
    <w:p>
      <w:pPr>
        <w:widowControl w:val="0"/>
        <w:spacing w:before="0" w:after="60" w:line="240" w:lineRule="auto"/>
        <w:ind w:firstLine="709"/>
        <w:jc w:val="both"/>
      </w:pPr>
      <w:r>
        <w:rPr>
          <w:rFonts w:ascii="Times New Roman" w:hAnsi="Times New Roman"/>
          <w:sz w:val="28"/>
          <w:szCs w:val="28"/>
        </w:rPr>
        <w:t xml:space="preserve">3.4.6. Тара. Пробы помещают в широкогорлые ёмкости из нейтрального материала (полиэтилен, полипропилен, стекло), пригодные для последующего обеззараживания, с притёртыми или завинчивающимися крышками: для жидкого навоза, помёта и стоков — вместимостью не менее 1 дм³ (ёмкости 1,0; 5,0; 10,0 дм³; канистры и вёдра вместимостью до 80 дм³); для твёрдого навоза, помёта и компостов — в полиэтиленовые мешки (пакеты) либо в контейнеры вместимостью, обеспечивающей размещение лабораторной пробы (0,5–2,0 дм³), с двойной упаковкой. Лабораторные пробы, предназначенные для хранения, помещают в полиэтиленовые пакеты либо в стеклянные банки с притёртой крышкой.</w:t>
      </w:r>
    </w:p>
    <w:p>
      <w:pPr>
        <w:widowControl w:val="0"/>
        <w:spacing w:before="0" w:after="60" w:line="240" w:lineRule="auto"/>
        <w:ind w:firstLine="709"/>
        <w:jc w:val="both"/>
      </w:pPr>
      <w:r>
        <w:rPr>
          <w:rFonts w:ascii="Times New Roman" w:hAnsi="Times New Roman"/>
          <w:sz w:val="28"/>
          <w:szCs w:val="28"/>
        </w:rPr>
        <w:t xml:space="preserve">Ёмкости маркируют в соответствии с п. 3.4.3 и актом отбора проб. Транспортную упаковку (ящики с гнёздами для стандартной посуды) применяют для доставки лабораторных проб жидкого навоза и стоков.</w:t>
      </w:r>
    </w:p>
    <w:p>
      <w:pPr>
        <w:widowControl w:val="0"/>
        <w:spacing w:before="0" w:after="60" w:line="240" w:lineRule="auto"/>
        <w:ind w:firstLine="709"/>
        <w:jc w:val="both"/>
      </w:pPr>
      <w:r>
        <w:rPr>
          <w:rFonts w:ascii="Times New Roman" w:hAnsi="Times New Roman"/>
          <w:sz w:val="28"/>
          <w:szCs w:val="28"/>
        </w:rPr>
        <w:t xml:space="preserve">3.4.7. Транспортировка, хранение и консервация.</w:t>
      </w:r>
    </w:p>
    <w:p>
      <w:pPr>
        <w:widowControl w:val="0"/>
        <w:spacing w:before="0" w:after="60" w:line="240" w:lineRule="auto"/>
        <w:ind w:firstLine="709"/>
        <w:jc w:val="both"/>
      </w:pPr>
      <w:r>
        <w:rPr>
          <w:rFonts w:ascii="Times New Roman" w:hAnsi="Times New Roman"/>
          <w:sz w:val="28"/>
          <w:szCs w:val="28"/>
        </w:rPr>
        <w:t xml:space="preserve">Упакованные лабораторные пробы, снабжённые этикетками и сопроводительной документацией (заявкой на проведение анализов), доставляют в лабораторию в день их отбора; транспортируют в ящиках, обеспечивающих сохранность проб, либо в сумке-холодильнике. В процессе транспортирования и хранения принимают меры по предупреждению загрязнения проб.</w:t>
      </w:r>
    </w:p>
    <w:p>
      <w:pPr>
        <w:widowControl w:val="0"/>
        <w:spacing w:before="0" w:after="60" w:line="240" w:lineRule="auto"/>
        <w:ind w:firstLine="709"/>
        <w:jc w:val="both"/>
      </w:pPr>
      <w:r>
        <w:rPr>
          <w:rFonts w:ascii="Times New Roman" w:hAnsi="Times New Roman"/>
          <w:sz w:val="28"/>
          <w:szCs w:val="28"/>
        </w:rPr>
        <w:t xml:space="preserve">Паразитологический анализ лабораторных проб проводят сразу после их доставки в лабораторию (в день доставки).</w:t>
      </w:r>
    </w:p>
    <w:p>
      <w:pPr>
        <w:widowControl w:val="0"/>
        <w:spacing w:before="0" w:after="60" w:line="240" w:lineRule="auto"/>
        <w:ind w:firstLine="709"/>
        <w:jc w:val="both"/>
      </w:pPr>
      <w:r>
        <w:rPr>
          <w:rFonts w:ascii="Times New Roman" w:hAnsi="Times New Roman"/>
          <w:sz w:val="28"/>
          <w:szCs w:val="28"/>
        </w:rPr>
        <w:t xml:space="preserve">При невозможности немедленного проведения анализа:</w:t>
      </w:r>
    </w:p>
    <w:p>
      <w:pPr>
        <w:widowControl w:val="0"/>
        <w:spacing w:before="0" w:after="60" w:line="240" w:lineRule="auto"/>
        <w:ind w:firstLine="709"/>
        <w:jc w:val="both"/>
      </w:pPr>
      <w:r>
        <w:rPr>
          <w:rFonts w:ascii="Times New Roman" w:hAnsi="Times New Roman"/>
          <w:sz w:val="28"/>
          <w:szCs w:val="28"/>
        </w:rPr>
        <w:t xml:space="preserve">— лабораторные пробы твёрдых видов органических удобрений хранят в холодильнике при температуре не выше 5 °C не более одного месяца, предварительно определив влажность удобрения по ГОСТ 26713, либо при температуре от 0 °C до 20 °C в течение 2 сут, предварительно добавив в лабораторную пробу три–пять капель толуола по ГОСТ 5789;</w:t>
      </w:r>
    </w:p>
    <w:p>
      <w:pPr>
        <w:widowControl w:val="0"/>
        <w:spacing w:before="0" w:after="60" w:line="240" w:lineRule="auto"/>
        <w:ind w:firstLine="709"/>
        <w:jc w:val="both"/>
      </w:pPr>
      <w:r>
        <w:rPr>
          <w:rFonts w:ascii="Times New Roman" w:hAnsi="Times New Roman"/>
          <w:sz w:val="28"/>
          <w:szCs w:val="28"/>
        </w:rPr>
        <w:t xml:space="preserve">— лабораторные пробы жидкого (бесподстилочного) навоза, помёта и навозных стоков хранят в холодильнике при температуре от 3 °C до 4 °C; при необходимости хранения более одного месяца применяют консервирующее средство, предварительно добавив в пробу три–пять капель толуола по ГОСТ 5789 либо консервирующее средство по ГОСТ Р 54001.</w:t>
      </w:r>
    </w:p>
    <w:p>
      <w:pPr>
        <w:widowControl w:val="0"/>
        <w:spacing w:before="0" w:after="60" w:line="240" w:lineRule="auto"/>
        <w:ind w:firstLine="709"/>
        <w:jc w:val="both"/>
      </w:pPr>
      <w:r>
        <w:rPr>
          <w:rFonts w:ascii="Times New Roman" w:hAnsi="Times New Roman"/>
          <w:sz w:val="28"/>
          <w:szCs w:val="28"/>
        </w:rPr>
        <w:t xml:space="preserve">Лабораторные пробы, предназначенные для гельминтологической оценки, а также для споруляции ооцист паразитических простейших аэрируют и увлажняют один раз в неделю: пробы вынимают из холодильника и оставляют открытыми на 3 ч при комнатной температуре, увлажняя водой по мере потери влаги, после чего вновь помещают для хранения в холодильник.</w:t>
      </w:r>
    </w:p>
    <w:p>
      <w:pPr>
        <w:widowControl w:val="0"/>
        <w:spacing w:before="0" w:after="60" w:line="240" w:lineRule="auto"/>
        <w:ind w:firstLine="709"/>
        <w:jc w:val="both"/>
      </w:pPr>
      <w:r>
        <w:rPr>
          <w:rFonts w:ascii="Times New Roman" w:hAnsi="Times New Roman"/>
          <w:sz w:val="28"/>
          <w:szCs w:val="28"/>
        </w:rPr>
        <w:t xml:space="preserve">При необходимости хранения лабораторных проб более одного месяца применяют консервирующие средства: удобрение пересыпают в кристаллизатор, заливают жидкостью Барбагалло (раствор формалина с массовой долей 3%, приготовленный на изотоническом растворе натрия хлорида с массовой долей 0,85%; приготовление — по п. 3.1.4 настоящих МУК и по ГОСТ Р 54001) или раствором соляной кислоты с массовой долей 3% (приготовление — приложение 3), после чего помещают в холодильник. В этом случае определение жизнеспособности возбудителей не проводят, о чём делают отметку в протоколе.</w:t>
      </w:r>
    </w:p>
    <w:p>
      <w:pPr>
        <w:widowControl w:val="0"/>
        <w:spacing w:before="0" w:after="60" w:line="240" w:lineRule="auto"/>
        <w:ind w:firstLine="709"/>
        <w:jc w:val="both"/>
      </w:pPr>
      <w:r>
        <w:rPr>
          <w:rFonts w:ascii="Times New Roman" w:hAnsi="Times New Roman"/>
          <w:sz w:val="28"/>
          <w:szCs w:val="28"/>
        </w:rPr>
        <w:t xml:space="preserve">Замораживание проб, предназначенных для определения жизнеспособности яиц гельминтов, цист и ооцист простейших, не допускается.</w:t>
      </w:r>
    </w:p>
    <w:p>
      <w:pPr>
        <w:widowControl w:val="0"/>
        <w:spacing w:before="0" w:after="60" w:line="240" w:lineRule="auto"/>
        <w:ind w:firstLine="709"/>
        <w:jc w:val="both"/>
      </w:pPr>
      <w:r>
        <w:rPr>
          <w:rFonts w:ascii="Times New Roman" w:hAnsi="Times New Roman"/>
          <w:sz w:val="28"/>
          <w:szCs w:val="28"/>
        </w:rPr>
        <w:t xml:space="preserve">Консервант, его количество, температура и фактический срок хранения указывают в акте отбора проб и в протоколе исследования.</w:t>
      </w:r>
    </w:p>
    <w:p>
      <w:pPr>
        <w:widowControl w:val="0"/>
        <w:spacing w:before="0" w:after="60" w:line="240" w:lineRule="auto"/>
        <w:ind w:firstLine="709"/>
        <w:jc w:val="both"/>
      </w:pPr>
      <w:r>
        <w:rPr>
          <w:rFonts w:ascii="Times New Roman" w:hAnsi="Times New Roman"/>
          <w:sz w:val="28"/>
          <w:szCs w:val="28"/>
        </w:rPr>
        <w:t xml:space="preserve">3.4.8. Подготовка проб к исследованию.</w:t>
      </w:r>
    </w:p>
    <w:p>
      <w:pPr>
        <w:widowControl w:val="0"/>
        <w:spacing w:before="0" w:after="60" w:line="240" w:lineRule="auto"/>
        <w:ind w:firstLine="709"/>
        <w:jc w:val="both"/>
      </w:pPr>
      <w:r>
        <w:rPr>
          <w:rFonts w:ascii="Times New Roman" w:hAnsi="Times New Roman"/>
          <w:sz w:val="28"/>
          <w:szCs w:val="28"/>
        </w:rPr>
        <w:t xml:space="preserve">Анализируемые пробы готовят из лабораторной пробы методом квартования (п. 3.4.3).</w:t>
      </w:r>
    </w:p>
    <w:p>
      <w:pPr>
        <w:widowControl w:val="0"/>
        <w:spacing w:before="0" w:after="60" w:line="240" w:lineRule="auto"/>
        <w:ind w:firstLine="709"/>
        <w:jc w:val="both"/>
      </w:pPr>
      <w:r>
        <w:rPr>
          <w:rFonts w:ascii="Times New Roman" w:hAnsi="Times New Roman"/>
          <w:sz w:val="28"/>
          <w:szCs w:val="28"/>
        </w:rPr>
        <w:t xml:space="preserve">Твёрдый навоз, помёт и компосты: пробу гомогенизируют, удаляют остатки подстилки, корма и посторонние включения, при необходимости растирают в фарфоровой ступке пестиком с добавлением дистиллированной воды до кашицеобразной массы и просеивают через сито с ячейками 3 мм (при исследовании по п. 4.9.5-а — через ситечко с ячейками 0,25–0,3 мм; при количественном учёте по п. 4.9.7 — через сито в ходе приготовления суспензии).</w:t>
      </w:r>
    </w:p>
    <w:p>
      <w:pPr>
        <w:widowControl w:val="0"/>
        <w:spacing w:before="0" w:after="60" w:line="240" w:lineRule="auto"/>
        <w:ind w:firstLine="709"/>
        <w:jc w:val="both"/>
      </w:pPr>
      <w:r>
        <w:rPr>
          <w:rFonts w:ascii="Times New Roman" w:hAnsi="Times New Roman"/>
          <w:sz w:val="28"/>
          <w:szCs w:val="28"/>
        </w:rPr>
        <w:t xml:space="preserve">Жидкий навоз, стоки и жидкую фракцию: подготовку проводят по схеме последовательных фильтратов (п. 3.4.5) либо пробу отстаивают 30–60 мин (при объёме пробы свыше 1 дм³ — до 2 ч), надосадочную жидкость сливают (сифоном, не доводя до осадка 1,5–2,0 см), осадок промывают дистиллированной водой с последующим отстаиванием и удалением грубых включений через двойной марлевый фильтр. Первичное промывание осадка допускается проводить на месте отбора проб.</w:t>
      </w:r>
    </w:p>
    <w:p>
      <w:pPr>
        <w:widowControl w:val="0"/>
        <w:spacing w:before="0" w:after="60" w:line="240" w:lineRule="auto"/>
        <w:ind w:firstLine="709"/>
        <w:jc w:val="both"/>
      </w:pPr>
      <w:r>
        <w:rPr>
          <w:rFonts w:ascii="Times New Roman" w:hAnsi="Times New Roman"/>
          <w:sz w:val="28"/>
          <w:szCs w:val="28"/>
        </w:rPr>
        <w:t xml:space="preserve">Почвы территорий, удобряемых органическими удобрениями, и тепличные грунты: пробы помещают в банки с крышкой либо в целлофановые (полиэтиленовые) пакеты; каждая проба снабжается этикеткой с указанием места отбора, даты, глубины и характера исследуемого участка (в тени или под солнцем, состав почвы, наличие растительности и др.). В лаборатории пробы помещают в холодильник либо каждую из них пересыпают в кристаллизатор и заливают жидкостью Барбагалло. Исследование на ооцисты и цисты простейших — по п. 4.9.11 (навеска 25 г).</w:t>
      </w:r>
    </w:p>
    <w:p>
      <w:pPr>
        <w:widowControl w:val="0"/>
        <w:spacing w:before="0" w:after="60" w:line="240" w:lineRule="auto"/>
        <w:ind w:firstLine="709"/>
        <w:jc w:val="both"/>
      </w:pPr>
      <w:r>
        <w:rPr>
          <w:rFonts w:ascii="Times New Roman" w:hAnsi="Times New Roman"/>
          <w:sz w:val="28"/>
          <w:szCs w:val="28"/>
        </w:rPr>
        <w:t xml:space="preserve">Влажность пробы определяют по ГОСТ 26713; результаты количественного учёта пересчитывают на массу (объём) материала данной влажности.</w:t>
      </w:r>
    </w:p>
    <w:p>
      <w:pPr>
        <w:widowControl w:val="0"/>
        <w:spacing w:before="0" w:after="60" w:line="240" w:lineRule="auto"/>
        <w:ind w:firstLine="709"/>
        <w:jc w:val="both"/>
      </w:pPr>
      <w:r>
        <w:rPr>
          <w:rFonts w:ascii="Times New Roman" w:hAnsi="Times New Roman"/>
          <w:sz w:val="28"/>
          <w:szCs w:val="28"/>
        </w:rPr>
        <w:t xml:space="preserve">3.4.9. Масса (объём) проб, число проб и кратность исследований приведены в таблице 3.4.</w:t>
      </w:r>
    </w:p>
    <w:p>
      <w:pPr>
        <w:pStyle w:val="Zagtab"/>
      </w:pPr>
      <w:r>
        <w:rPr>
          <w:rFonts w:ascii="Times New Roman" w:hAnsi="Times New Roman"/>
          <w:sz w:val="28"/>
          <w:szCs w:val="28"/>
        </w:rPr>
        <w:t xml:space="preserve">Таблица 3.4 — Масса (объём) проб, число проб и кратность санитарно-паразитологических исследований навоза, помёта и навозных стоков</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1289"/>
        <w:gridCol w:w="1289"/>
        <w:gridCol w:w="1289"/>
        <w:gridCol w:w="1289"/>
        <w:gridCol w:w="1289"/>
        <w:gridCol w:w="1289"/>
        <w:gridCol w:w="1289"/>
      </w:tblGrid>
      <w:tr>
        <w:tc>
          <w:tcPr>
            <w:tcW w:w="0" w:type="auto"/>
          </w:tcPr>
          <w:p>
            <w:pPr>
              <w:pStyle w:val="TablCenter"/>
              <w:rPr>
                <w:b/>
              </w:rPr>
            </w:pPr>
            <w:r>
              <w:rPr>
                <w:rFonts w:ascii="Times New Roman" w:hAnsi="Times New Roman"/>
                <w:b/>
                <w:sz w:val="28"/>
                <w:szCs w:val="28"/>
              </w:rPr>
              <w:t xml:space="preserve">№</w:t>
            </w:r>
          </w:p>
        </w:tc>
        <w:tc>
          <w:tcPr>
            <w:tcW w:w="0" w:type="auto"/>
          </w:tcPr>
          <w:p>
            <w:pPr>
              <w:pStyle w:val="TablCenter"/>
              <w:rPr>
                <w:b/>
              </w:rPr>
            </w:pPr>
            <w:r>
              <w:rPr>
                <w:rFonts w:ascii="Times New Roman" w:hAnsi="Times New Roman"/>
                <w:b/>
                <w:sz w:val="28"/>
                <w:szCs w:val="28"/>
              </w:rPr>
              <w:t xml:space="preserve">Объект исследования</w:t>
            </w:r>
          </w:p>
        </w:tc>
        <w:tc>
          <w:tcPr>
            <w:tcW w:w="0" w:type="auto"/>
          </w:tcPr>
          <w:p>
            <w:pPr>
              <w:pStyle w:val="TablCenter"/>
              <w:rPr>
                <w:b/>
              </w:rPr>
            </w:pPr>
            <w:r>
              <w:rPr>
                <w:rFonts w:ascii="Times New Roman" w:hAnsi="Times New Roman"/>
                <w:b/>
                <w:sz w:val="28"/>
                <w:szCs w:val="28"/>
              </w:rPr>
              <w:t xml:space="preserve">Определяемые показатели</w:t>
            </w:r>
          </w:p>
        </w:tc>
        <w:tc>
          <w:tcPr>
            <w:tcW w:w="0" w:type="auto"/>
          </w:tcPr>
          <w:p>
            <w:pPr>
              <w:pStyle w:val="TablCenter"/>
              <w:rPr>
                <w:b/>
              </w:rPr>
            </w:pPr>
            <w:r>
              <w:rPr>
                <w:rFonts w:ascii="Times New Roman" w:hAnsi="Times New Roman"/>
                <w:b/>
                <w:sz w:val="28"/>
                <w:szCs w:val="28"/>
              </w:rPr>
              <w:t xml:space="preserve">Масса (объём) пробы</w:t>
            </w:r>
          </w:p>
        </w:tc>
        <w:tc>
          <w:tcPr>
            <w:tcW w:w="0" w:type="auto"/>
          </w:tcPr>
          <w:p>
            <w:pPr>
              <w:pStyle w:val="TablCenter"/>
              <w:rPr>
                <w:b/>
              </w:rPr>
            </w:pPr>
            <w:r>
              <w:rPr>
                <w:rFonts w:ascii="Times New Roman" w:hAnsi="Times New Roman"/>
                <w:b/>
                <w:sz w:val="28"/>
                <w:szCs w:val="28"/>
              </w:rPr>
              <w:t xml:space="preserve">Число проб на объект</w:t>
            </w:r>
          </w:p>
        </w:tc>
        <w:tc>
          <w:tcPr>
            <w:tcW w:w="0" w:type="auto"/>
          </w:tcPr>
          <w:p>
            <w:pPr>
              <w:pStyle w:val="TablCenter"/>
              <w:rPr>
                <w:b/>
              </w:rPr>
            </w:pPr>
            <w:r>
              <w:rPr>
                <w:rFonts w:ascii="Times New Roman" w:hAnsi="Times New Roman"/>
                <w:b/>
                <w:sz w:val="28"/>
                <w:szCs w:val="28"/>
              </w:rPr>
              <w:t xml:space="preserve">Кратность исследований</w:t>
            </w:r>
          </w:p>
        </w:tc>
        <w:tc>
          <w:tcPr>
            <w:tcW w:w="0" w:type="auto"/>
          </w:tcPr>
          <w:p>
            <w:pPr>
              <w:pStyle w:val="TablCenter"/>
              <w:rPr>
                <w:b/>
              </w:rPr>
            </w:pPr>
            <w:r>
              <w:rPr>
                <w:rFonts w:ascii="Times New Roman" w:hAnsi="Times New Roman"/>
                <w:b/>
                <w:sz w:val="28"/>
                <w:szCs w:val="28"/>
              </w:rPr>
              <w:t xml:space="preserve">Основание / статус</w:t>
            </w:r>
          </w:p>
        </w:tc>
      </w:tr>
      <w:tr>
        <w:tc>
          <w:tcPr>
            <w:tcW w:w="0" w:type="auto"/>
          </w:tcPr>
          <w:p>
            <w:pPr>
              <w:pStyle w:val="TablCenter"/>
            </w:pPr>
            <w:r>
              <w:rPr>
                <w:rFonts w:ascii="Times New Roman" w:hAnsi="Times New Roman"/>
                <w:sz w:val="28"/>
                <w:szCs w:val="28"/>
              </w:rPr>
              <w:t xml:space="preserve">1</w:t>
            </w:r>
          </w:p>
        </w:tc>
        <w:tc>
          <w:tcPr>
            <w:tcW w:w="0" w:type="auto"/>
          </w:tcPr>
          <w:p>
            <w:pPr>
              <w:pStyle w:val="TablCenter"/>
            </w:pPr>
            <w:r>
              <w:rPr>
                <w:rFonts w:ascii="Times New Roman" w:hAnsi="Times New Roman"/>
                <w:sz w:val="28"/>
                <w:szCs w:val="28"/>
              </w:rPr>
              <w:t xml:space="preserve">Навоз жидкий, полужидкий (бесподстилочный), помёт бесподстилочный, навозные (пометные) стоки, жидкая фракция, иловая смесь</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Точечная проба — не менее 1 дм³, число точечных проб — не менее 8 (после перемешивания 30 мин); лабораторная проба — 1 дм³ (по схеме фильтратов) либо не менее 1 дм³ в каждой герметичной ёмкости</w:t>
            </w:r>
          </w:p>
        </w:tc>
        <w:tc>
          <w:tcPr>
            <w:tcW w:w="0" w:type="auto"/>
          </w:tcPr>
          <w:p>
            <w:pPr>
              <w:pStyle w:val="TablCenter"/>
            </w:pPr>
            <w:r>
              <w:rPr>
                <w:rFonts w:ascii="Times New Roman" w:hAnsi="Times New Roman"/>
                <w:sz w:val="28"/>
                <w:szCs w:val="28"/>
              </w:rPr>
              <w:t xml:space="preserve">2 (до и после обеззараживания)</w:t>
            </w:r>
          </w:p>
        </w:tc>
        <w:tc>
          <w:tcPr>
            <w:tcW w:w="0" w:type="auto"/>
          </w:tcPr>
          <w:p>
            <w:pPr>
              <w:pStyle w:val="TablCenter"/>
            </w:pPr>
            <w:r>
              <w:rPr>
                <w:rFonts w:ascii="Times New Roman" w:hAnsi="Times New Roman"/>
                <w:sz w:val="28"/>
                <w:szCs w:val="28"/>
              </w:rPr>
              <w:t xml:space="preserve">2 раза в год</w:t>
            </w:r>
          </w:p>
        </w:tc>
        <w:tc>
          <w:tcPr>
            <w:tcW w:w="0" w:type="auto"/>
          </w:tcPr>
          <w:p>
            <w:pPr>
              <w:pStyle w:val="TablCenter"/>
            </w:pPr>
            <w:r>
              <w:rPr>
                <w:rFonts w:ascii="Times New Roman" w:hAnsi="Times New Roman"/>
                <w:sz w:val="28"/>
                <w:szCs w:val="28"/>
              </w:rPr>
              <w:t xml:space="preserve">Масса (объём): ГОСТ Р 57782-2017 §6.3.1–6.3.3, ГОСТ Р 58487-2019 §8.1–8.3 — действующий. Кратность: Приложение к СанПиН 3.2.3215-14 (утратило силу 01.09.2021), МУК 4.2.2661-10 §8.1 — рекомендуемый</w:t>
            </w:r>
          </w:p>
        </w:tc>
      </w:tr>
      <w:tr>
        <w:tc>
          <w:tcPr>
            <w:tcW w:w="0" w:type="auto"/>
          </w:tcPr>
          <w:p>
            <w:pPr>
              <w:pStyle w:val="TablCenter"/>
            </w:pPr>
            <w:r>
              <w:rPr>
                <w:rFonts w:ascii="Times New Roman" w:hAnsi="Times New Roman"/>
                <w:sz w:val="28"/>
                <w:szCs w:val="28"/>
              </w:rPr>
              <w:t xml:space="preserve">2</w:t>
            </w:r>
          </w:p>
        </w:tc>
        <w:tc>
          <w:tcPr>
            <w:tcW w:w="0" w:type="auto"/>
          </w:tcPr>
          <w:p>
            <w:pPr>
              <w:pStyle w:val="TablCenter"/>
            </w:pPr>
            <w:r>
              <w:rPr>
                <w:rFonts w:ascii="Times New Roman" w:hAnsi="Times New Roman"/>
                <w:sz w:val="28"/>
                <w:szCs w:val="28"/>
              </w:rPr>
              <w:t xml:space="preserve">Навоз твёрдый (подстилочный), помёт птичий подстилочный, сухой навоз, твёрдая фракция</w:t>
            </w:r>
          </w:p>
        </w:tc>
        <w:tc>
          <w:tcPr>
            <w:tcW w:w="0" w:type="auto"/>
          </w:tcPr>
          <w:p>
            <w:pPr>
              <w:pStyle w:val="TablCenter"/>
            </w:pPr>
            <w:r>
              <w:rPr>
                <w:rFonts w:ascii="Times New Roman" w:hAnsi="Times New Roman"/>
                <w:sz w:val="28"/>
                <w:szCs w:val="28"/>
              </w:rPr>
              <w:t xml:space="preserve">1, 2, 3, 4</w:t>
            </w:r>
          </w:p>
        </w:tc>
        <w:tc>
          <w:tcPr>
            <w:tcW w:w="0" w:type="auto"/>
          </w:tcPr>
          <w:p>
            <w:pPr>
              <w:pStyle w:val="TablCenter"/>
            </w:pPr>
            <w:r>
              <w:rPr>
                <w:rFonts w:ascii="Times New Roman" w:hAnsi="Times New Roman"/>
                <w:sz w:val="28"/>
                <w:szCs w:val="28"/>
              </w:rPr>
              <w:t xml:space="preserve">Точечная — не менее 100 г из 5 точек каждого из 3 слоёв (глубина отбора не менее 20 см); лабораторная — не менее 2 кг (комплексный анализ) либо не более 1 кг (только паразитологический анализ); анализируемая навеска 50–100 г (яйца гельминтов), 3 г (цисты и ооцисты), 1 г (количественный учёт)</w:t>
            </w:r>
          </w:p>
        </w:tc>
        <w:tc>
          <w:tcPr>
            <w:tcW w:w="0" w:type="auto"/>
          </w:tcPr>
          <w:p>
            <w:pPr>
              <w:pStyle w:val="TablCenter"/>
            </w:pPr>
            <w:r>
              <w:rPr>
                <w:rFonts w:ascii="Times New Roman" w:hAnsi="Times New Roman"/>
                <w:sz w:val="28"/>
                <w:szCs w:val="28"/>
              </w:rPr>
              <w:t xml:space="preserve">2</w:t>
            </w:r>
          </w:p>
        </w:tc>
        <w:tc>
          <w:tcPr>
            <w:tcW w:w="0" w:type="auto"/>
          </w:tcPr>
          <w:p>
            <w:pPr>
              <w:pStyle w:val="TablCenter"/>
            </w:pPr>
            <w:r>
              <w:rPr>
                <w:rFonts w:ascii="Times New Roman" w:hAnsi="Times New Roman"/>
                <w:sz w:val="28"/>
                <w:szCs w:val="28"/>
              </w:rPr>
              <w:t xml:space="preserve">2 раза в год</w:t>
            </w:r>
          </w:p>
        </w:tc>
        <w:tc>
          <w:tcPr>
            <w:tcW w:w="0" w:type="auto"/>
          </w:tcPr>
          <w:p>
            <w:pPr>
              <w:pStyle w:val="TablCenter"/>
            </w:pPr>
            <w:r>
              <w:rPr>
                <w:rFonts w:ascii="Times New Roman" w:hAnsi="Times New Roman"/>
                <w:sz w:val="28"/>
                <w:szCs w:val="28"/>
              </w:rPr>
              <w:t xml:space="preserve">ГОСТ Р 58487-2019 §7.1.1–7.1.2, §7.1.6; ГОСТ Р 57782-2017 §6.2.1–6.2.2, §6.2.6, §8.2.1, §9.1 — действующий по массе; кратность — Приложение к СанПиН 3.2.3215-14 — рекомендуемый</w:t>
            </w:r>
          </w:p>
        </w:tc>
      </w:tr>
      <w:tr>
        <w:tc>
          <w:tcPr>
            <w:tcW w:w="0" w:type="auto"/>
          </w:tcPr>
          <w:p>
            <w:pPr>
              <w:pStyle w:val="TablCenter"/>
            </w:pPr>
            <w:r>
              <w:rPr>
                <w:rFonts w:ascii="Times New Roman" w:hAnsi="Times New Roman"/>
                <w:sz w:val="28"/>
                <w:szCs w:val="28"/>
              </w:rPr>
              <w:t xml:space="preserve">3</w:t>
            </w:r>
          </w:p>
        </w:tc>
        <w:tc>
          <w:tcPr>
            <w:tcW w:w="0" w:type="auto"/>
          </w:tcPr>
          <w:p>
            <w:pPr>
              <w:pStyle w:val="TablCenter"/>
            </w:pPr>
            <w:r>
              <w:rPr>
                <w:rFonts w:ascii="Times New Roman" w:hAnsi="Times New Roman"/>
                <w:sz w:val="28"/>
                <w:szCs w:val="28"/>
              </w:rPr>
              <w:t xml:space="preserve">Навоз обезвоженный, осадки навозохранилищ и навозоотстойников, подстилка</w:t>
            </w:r>
          </w:p>
        </w:tc>
        <w:tc>
          <w:tcPr>
            <w:tcW w:w="0" w:type="auto"/>
          </w:tcPr>
          <w:p>
            <w:pPr>
              <w:pStyle w:val="TablCenter"/>
            </w:pPr>
            <w:r>
              <w:rPr>
                <w:rFonts w:ascii="Times New Roman" w:hAnsi="Times New Roman"/>
                <w:sz w:val="28"/>
                <w:szCs w:val="28"/>
              </w:rPr>
              <w:t xml:space="preserve">1, 2, 3, 4</w:t>
            </w:r>
          </w:p>
        </w:tc>
        <w:tc>
          <w:tcPr>
            <w:tcW w:w="0" w:type="auto"/>
          </w:tcPr>
          <w:p>
            <w:pPr>
              <w:pStyle w:val="TablCenter"/>
            </w:pPr>
            <w:r>
              <w:rPr>
                <w:rFonts w:ascii="Times New Roman" w:hAnsi="Times New Roman"/>
                <w:sz w:val="28"/>
                <w:szCs w:val="28"/>
              </w:rPr>
              <w:t xml:space="preserve">Отбор — по позиции 2; анализируемая масса — 0,2 кг (при исследовании на яйца гельминтов — до 50–100 г)</w:t>
            </w:r>
          </w:p>
        </w:tc>
        <w:tc>
          <w:tcPr>
            <w:tcW w:w="0" w:type="auto"/>
          </w:tcPr>
          <w:p>
            <w:pPr>
              <w:pStyle w:val="TablCenter"/>
            </w:pPr>
            <w:r>
              <w:rPr>
                <w:rFonts w:ascii="Times New Roman" w:hAnsi="Times New Roman"/>
                <w:sz w:val="28"/>
                <w:szCs w:val="28"/>
              </w:rPr>
              <w:t xml:space="preserve">2 (до и после обеззараживания)</w:t>
            </w:r>
          </w:p>
        </w:tc>
        <w:tc>
          <w:tcPr>
            <w:tcW w:w="0" w:type="auto"/>
          </w:tcPr>
          <w:p>
            <w:pPr>
              <w:pStyle w:val="TablCenter"/>
            </w:pPr>
            <w:r>
              <w:rPr>
                <w:rFonts w:ascii="Times New Roman" w:hAnsi="Times New Roman"/>
                <w:sz w:val="28"/>
                <w:szCs w:val="28"/>
              </w:rPr>
              <w:t xml:space="preserve">2 раза в год</w:t>
            </w:r>
          </w:p>
        </w:tc>
        <w:tc>
          <w:tcPr>
            <w:tcW w:w="0" w:type="auto"/>
          </w:tcPr>
          <w:p>
            <w:pPr>
              <w:pStyle w:val="TablCenter"/>
            </w:pPr>
            <w:r>
              <w:rPr>
                <w:rFonts w:ascii="Times New Roman" w:hAnsi="Times New Roman"/>
                <w:sz w:val="28"/>
                <w:szCs w:val="28"/>
              </w:rPr>
              <w:t xml:space="preserve">Анализируемая масса: МУК 4.2.796-99 («обезвоженных осадков и навоза — 200 г»), Приложение к СанПиН 3.2.3215-14 — рекомендуемый; отбор — ГОСТ Р 58487-2019 §7.1, §7.4.1 — действующий</w:t>
            </w:r>
          </w:p>
        </w:tc>
      </w:tr>
      <w:tr>
        <w:tc>
          <w:tcPr>
            <w:tcW w:w="0" w:type="auto"/>
          </w:tcPr>
          <w:p>
            <w:pPr>
              <w:pStyle w:val="TablCenter"/>
            </w:pPr>
            <w:r>
              <w:rPr>
                <w:rFonts w:ascii="Times New Roman" w:hAnsi="Times New Roman"/>
                <w:sz w:val="28"/>
                <w:szCs w:val="28"/>
              </w:rPr>
              <w:t xml:space="preserve">4</w:t>
            </w:r>
          </w:p>
        </w:tc>
        <w:tc>
          <w:tcPr>
            <w:tcW w:w="0" w:type="auto"/>
          </w:tcPr>
          <w:p>
            <w:pPr>
              <w:pStyle w:val="TablCenter"/>
            </w:pPr>
            <w:r>
              <w:rPr>
                <w:rFonts w:ascii="Times New Roman" w:hAnsi="Times New Roman"/>
                <w:sz w:val="28"/>
                <w:szCs w:val="28"/>
              </w:rPr>
              <w:t xml:space="preserve">Компосты, биоперегной, биогумус на основе навоза, помёта и осадков</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как по позиции 2 (анализируемая навеска 50–100 г; 3 г; 1 г)</w:t>
            </w:r>
          </w:p>
        </w:tc>
        <w:tc>
          <w:tcPr>
            <w:tcW w:w="0" w:type="auto"/>
          </w:tcPr>
          <w:p>
            <w:pPr>
              <w:pStyle w:val="TablCenter"/>
            </w:pPr>
            <w:r>
              <w:rPr>
                <w:rFonts w:ascii="Times New Roman" w:hAnsi="Times New Roman"/>
                <w:sz w:val="28"/>
                <w:szCs w:val="28"/>
              </w:rPr>
              <w:t xml:space="preserve">1–2 (по числу буртов/партий)</w:t>
            </w:r>
          </w:p>
        </w:tc>
        <w:tc>
          <w:tcPr>
            <w:tcW w:w="0" w:type="auto"/>
          </w:tcPr>
          <w:p>
            <w:pPr>
              <w:pStyle w:val="TablCenter"/>
            </w:pPr>
            <w:r>
              <w:rPr>
                <w:rFonts w:ascii="Times New Roman" w:hAnsi="Times New Roman"/>
                <w:sz w:val="28"/>
                <w:szCs w:val="28"/>
              </w:rPr>
              <w:t xml:space="preserve">После завершения цикла компостирования и перед применением (реализацией); при производственном контроле — не реже 1 раза в квартал</w:t>
            </w:r>
          </w:p>
        </w:tc>
        <w:tc>
          <w:tcPr>
            <w:tcW w:w="0" w:type="auto"/>
          </w:tcPr>
          <w:p>
            <w:pPr>
              <w:pStyle w:val="TablCenter"/>
            </w:pPr>
            <w:r>
              <w:rPr>
                <w:rFonts w:ascii="Times New Roman" w:hAnsi="Times New Roman"/>
                <w:sz w:val="28"/>
                <w:szCs w:val="28"/>
              </w:rPr>
              <w:t xml:space="preserve">ГОСТ Р 57782-2017 §3.3, §6.2.1, §8.3.1; ГОСТ Р 54001-2010 — действующий по критерию и массе, рекомендуемый по кратности</w:t>
            </w:r>
          </w:p>
        </w:tc>
      </w:tr>
      <w:tr>
        <w:tc>
          <w:tcPr>
            <w:tcW w:w="0" w:type="auto"/>
          </w:tcPr>
          <w:p>
            <w:pPr>
              <w:pStyle w:val="TablCenter"/>
            </w:pPr>
            <w:r>
              <w:rPr>
                <w:rFonts w:ascii="Times New Roman" w:hAnsi="Times New Roman"/>
                <w:sz w:val="28"/>
                <w:szCs w:val="28"/>
              </w:rPr>
              <w:t xml:space="preserve">5</w:t>
            </w:r>
          </w:p>
        </w:tc>
        <w:tc>
          <w:tcPr>
            <w:tcW w:w="0" w:type="auto"/>
          </w:tcPr>
          <w:p>
            <w:pPr>
              <w:pStyle w:val="TablCenter"/>
            </w:pPr>
            <w:r>
              <w:rPr>
                <w:rFonts w:ascii="Times New Roman" w:hAnsi="Times New Roman"/>
                <w:sz w:val="28"/>
                <w:szCs w:val="28"/>
              </w:rPr>
              <w:t xml:space="preserve">Сточные воды животноводческих (птицеводческих) комплексов и ферм до очистки</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10 дм³ (п. 3.2.7) либо 1,0 дм³ с исследованием осадка</w:t>
            </w:r>
          </w:p>
        </w:tc>
        <w:tc>
          <w:tcPr>
            <w:tcW w:w="0" w:type="auto"/>
          </w:tcPr>
          <w:p>
            <w:pPr>
              <w:pStyle w:val="TablCenter"/>
            </w:pPr>
            <w:r>
              <w:rPr>
                <w:rFonts w:ascii="Times New Roman" w:hAnsi="Times New Roman"/>
                <w:sz w:val="28"/>
                <w:szCs w:val="28"/>
              </w:rPr>
              <w:t xml:space="preserve">2–3</w:t>
            </w:r>
          </w:p>
        </w:tc>
        <w:tc>
          <w:tcPr>
            <w:tcW w:w="0" w:type="auto"/>
          </w:tcPr>
          <w:p>
            <w:pPr>
              <w:pStyle w:val="TablCenter"/>
            </w:pPr>
            <w:r>
              <w:rPr>
                <w:rFonts w:ascii="Times New Roman" w:hAnsi="Times New Roman"/>
                <w:sz w:val="28"/>
                <w:szCs w:val="28"/>
              </w:rPr>
              <w:t xml:space="preserve">1–2 раза в год</w:t>
            </w:r>
          </w:p>
        </w:tc>
        <w:tc>
          <w:tcPr>
            <w:tcW w:w="0" w:type="auto"/>
          </w:tcPr>
          <w:p>
            <w:pPr>
              <w:pStyle w:val="TablCenter"/>
            </w:pPr>
            <w:r>
              <w:rPr>
                <w:rFonts w:ascii="Times New Roman" w:hAnsi="Times New Roman"/>
                <w:sz w:val="28"/>
                <w:szCs w:val="28"/>
              </w:rPr>
              <w:t xml:space="preserve">СанПиН 3.3686-21 п. 3384; МУК 4.2.796-99 табл. 1 поз. 9 (1 раз в год, 2–3 пробы) — действующий по обязательности, рекомендуемый по объёму</w:t>
            </w:r>
          </w:p>
        </w:tc>
      </w:tr>
      <w:tr>
        <w:tc>
          <w:tcPr>
            <w:tcW w:w="0" w:type="auto"/>
          </w:tcPr>
          <w:p>
            <w:pPr>
              <w:pStyle w:val="TablCenter"/>
            </w:pPr>
            <w:r>
              <w:rPr>
                <w:rFonts w:ascii="Times New Roman" w:hAnsi="Times New Roman"/>
                <w:sz w:val="28"/>
                <w:szCs w:val="28"/>
              </w:rPr>
              <w:t xml:space="preserve">6</w:t>
            </w:r>
          </w:p>
        </w:tc>
        <w:tc>
          <w:tcPr>
            <w:tcW w:w="0" w:type="auto"/>
          </w:tcPr>
          <w:p>
            <w:pPr>
              <w:pStyle w:val="TablCenter"/>
            </w:pPr>
            <w:r>
              <w:rPr>
                <w:rFonts w:ascii="Times New Roman" w:hAnsi="Times New Roman"/>
                <w:sz w:val="28"/>
                <w:szCs w:val="28"/>
              </w:rPr>
              <w:t xml:space="preserve">Сточные воды животноводческих комплексов и ферм после очистки</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25 дм³ (п. 3.2.7)</w:t>
            </w:r>
          </w:p>
        </w:tc>
        <w:tc>
          <w:tcPr>
            <w:tcW w:w="0" w:type="auto"/>
          </w:tcPr>
          <w:p>
            <w:pPr>
              <w:pStyle w:val="TablCenter"/>
            </w:pPr>
            <w:r>
              <w:rPr>
                <w:rFonts w:ascii="Times New Roman" w:hAnsi="Times New Roman"/>
                <w:sz w:val="28"/>
                <w:szCs w:val="28"/>
              </w:rPr>
              <w:t xml:space="preserve">2–3</w:t>
            </w:r>
          </w:p>
        </w:tc>
        <w:tc>
          <w:tcPr>
            <w:tcW w:w="0" w:type="auto"/>
          </w:tcPr>
          <w:p>
            <w:pPr>
              <w:pStyle w:val="TablCenter"/>
            </w:pPr>
            <w:r>
              <w:rPr>
                <w:rFonts w:ascii="Times New Roman" w:hAnsi="Times New Roman"/>
                <w:sz w:val="28"/>
                <w:szCs w:val="28"/>
              </w:rPr>
              <w:t xml:space="preserve">1–2 раза в год</w:t>
            </w:r>
          </w:p>
        </w:tc>
        <w:tc>
          <w:tcPr>
            <w:tcW w:w="0" w:type="auto"/>
          </w:tcPr>
          <w:p>
            <w:pPr>
              <w:pStyle w:val="TablCenter"/>
            </w:pPr>
            <w:r>
              <w:rPr>
                <w:rFonts w:ascii="Times New Roman" w:hAnsi="Times New Roman"/>
                <w:sz w:val="28"/>
                <w:szCs w:val="28"/>
              </w:rPr>
              <w:t xml:space="preserve">то же</w:t>
            </w:r>
          </w:p>
        </w:tc>
      </w:tr>
      <w:tr>
        <w:tc>
          <w:tcPr>
            <w:tcW w:w="0" w:type="auto"/>
          </w:tcPr>
          <w:p>
            <w:pPr>
              <w:pStyle w:val="TablCenter"/>
            </w:pPr>
            <w:r>
              <w:rPr>
                <w:rFonts w:ascii="Times New Roman" w:hAnsi="Times New Roman"/>
                <w:sz w:val="28"/>
                <w:szCs w:val="28"/>
              </w:rPr>
              <w:t xml:space="preserve">7</w:t>
            </w:r>
          </w:p>
        </w:tc>
        <w:tc>
          <w:tcPr>
            <w:tcW w:w="0" w:type="auto"/>
          </w:tcPr>
          <w:p>
            <w:pPr>
              <w:pStyle w:val="TablCenter"/>
            </w:pPr>
            <w:r>
              <w:rPr>
                <w:rFonts w:ascii="Times New Roman" w:hAnsi="Times New Roman"/>
                <w:sz w:val="28"/>
                <w:szCs w:val="28"/>
              </w:rPr>
              <w:t xml:space="preserve">Контроль эффективности дезинвазии (обеззараживания) навоза, помёта и стоков</w:t>
            </w:r>
          </w:p>
        </w:tc>
        <w:tc>
          <w:tcPr>
            <w:tcW w:w="0" w:type="auto"/>
          </w:tcPr>
          <w:p>
            <w:pPr>
              <w:pStyle w:val="TablCenter"/>
            </w:pPr>
            <w:r>
              <w:rPr>
                <w:rFonts w:ascii="Times New Roman" w:hAnsi="Times New Roman"/>
                <w:sz w:val="28"/>
                <w:szCs w:val="28"/>
              </w:rPr>
              <w:t xml:space="preserve">1, 2, 3, 4</w:t>
            </w:r>
          </w:p>
        </w:tc>
        <w:tc>
          <w:tcPr>
            <w:tcW w:w="0" w:type="auto"/>
          </w:tcPr>
          <w:p>
            <w:pPr>
              <w:pStyle w:val="TablCenter"/>
            </w:pPr>
            <w:r>
              <w:rPr>
                <w:rFonts w:ascii="Times New Roman" w:hAnsi="Times New Roman"/>
                <w:sz w:val="28"/>
                <w:szCs w:val="28"/>
              </w:rPr>
              <w:t xml:space="preserve">как по позициям 1–3</w:t>
            </w:r>
          </w:p>
        </w:tc>
        <w:tc>
          <w:tcPr>
            <w:tcW w:w="0" w:type="auto"/>
          </w:tcPr>
          <w:p>
            <w:pPr>
              <w:pStyle w:val="TablCenter"/>
            </w:pPr>
            <w:r>
              <w:rPr>
                <w:rFonts w:ascii="Times New Roman" w:hAnsi="Times New Roman"/>
                <w:sz w:val="28"/>
                <w:szCs w:val="28"/>
              </w:rPr>
              <w:t xml:space="preserve">не менее 3 (по зонам и слоям объекта обеззараживания)</w:t>
            </w:r>
          </w:p>
        </w:tc>
        <w:tc>
          <w:tcPr>
            <w:tcW w:w="0" w:type="auto"/>
          </w:tcPr>
          <w:p>
            <w:pPr>
              <w:pStyle w:val="TablCenter"/>
            </w:pPr>
            <w:r>
              <w:rPr>
                <w:rFonts w:ascii="Times New Roman" w:hAnsi="Times New Roman"/>
                <w:sz w:val="28"/>
                <w:szCs w:val="28"/>
              </w:rPr>
              <w:t xml:space="preserve">1 раз в месяц в период проведения дезинвазии; заключительный контроль — по завершении цикла</w:t>
            </w:r>
          </w:p>
        </w:tc>
        <w:tc>
          <w:tcPr>
            <w:tcW w:w="0" w:type="auto"/>
          </w:tcPr>
          <w:p>
            <w:pPr>
              <w:pStyle w:val="TablCenter"/>
            </w:pPr>
            <w:r>
              <w:rPr>
                <w:rFonts w:ascii="Times New Roman" w:hAnsi="Times New Roman"/>
                <w:sz w:val="28"/>
                <w:szCs w:val="28"/>
              </w:rPr>
              <w:t xml:space="preserve">СанПиН 3.3686-21 п. 3382; СанПиН 2.1.3684-21 п. 269; СанПиН 3.2.3215-14 п. 8.4.5 (1 раз в месяц, утратил силу) — рекомендуемый</w:t>
            </w:r>
          </w:p>
        </w:tc>
      </w:tr>
      <w:tr>
        <w:tc>
          <w:tcPr>
            <w:tcW w:w="0" w:type="auto"/>
          </w:tcPr>
          <w:p>
            <w:pPr>
              <w:pStyle w:val="TablCenter"/>
            </w:pPr>
            <w:r>
              <w:rPr>
                <w:rFonts w:ascii="Times New Roman" w:hAnsi="Times New Roman"/>
                <w:sz w:val="28"/>
                <w:szCs w:val="28"/>
              </w:rPr>
              <w:t xml:space="preserve">8</w:t>
            </w:r>
          </w:p>
        </w:tc>
        <w:tc>
          <w:tcPr>
            <w:tcW w:w="0" w:type="auto"/>
          </w:tcPr>
          <w:p>
            <w:pPr>
              <w:pStyle w:val="TablCenter"/>
            </w:pPr>
            <w:r>
              <w:rPr>
                <w:rFonts w:ascii="Times New Roman" w:hAnsi="Times New Roman"/>
                <w:sz w:val="28"/>
                <w:szCs w:val="28"/>
              </w:rPr>
              <w:t xml:space="preserve">Органические удобрения, реализуемые (вывозимые) за пределы хозяйства; паспортизация удобрения</w:t>
            </w:r>
          </w:p>
        </w:tc>
        <w:tc>
          <w:tcPr>
            <w:tcW w:w="0" w:type="auto"/>
          </w:tcPr>
          <w:p>
            <w:pPr>
              <w:pStyle w:val="TablCenter"/>
            </w:pPr>
            <w:r>
              <w:rPr>
                <w:rFonts w:ascii="Times New Roman" w:hAnsi="Times New Roman"/>
                <w:sz w:val="28"/>
                <w:szCs w:val="28"/>
              </w:rPr>
              <w:t xml:space="preserve">1, 2, 3, 4</w:t>
            </w:r>
          </w:p>
        </w:tc>
        <w:tc>
          <w:tcPr>
            <w:tcW w:w="0" w:type="auto"/>
          </w:tcPr>
          <w:p>
            <w:pPr>
              <w:pStyle w:val="TablCenter"/>
            </w:pPr>
            <w:r>
              <w:rPr>
                <w:rFonts w:ascii="Times New Roman" w:hAnsi="Times New Roman"/>
                <w:sz w:val="28"/>
                <w:szCs w:val="28"/>
              </w:rPr>
              <w:t xml:space="preserve">по позиции 2 (лабораторная проба не менее 2 кг)</w:t>
            </w:r>
          </w:p>
        </w:tc>
        <w:tc>
          <w:tcPr>
            <w:tcW w:w="0" w:type="auto"/>
          </w:tcPr>
          <w:p>
            <w:pPr>
              <w:pStyle w:val="TablCenter"/>
            </w:pPr>
            <w:r>
              <w:rPr>
                <w:rFonts w:ascii="Times New Roman" w:hAnsi="Times New Roman"/>
                <w:sz w:val="28"/>
                <w:szCs w:val="28"/>
              </w:rPr>
              <w:t xml:space="preserve">1 на партию</w:t>
            </w:r>
          </w:p>
        </w:tc>
        <w:tc>
          <w:tcPr>
            <w:tcW w:w="0" w:type="auto"/>
          </w:tcPr>
          <w:p>
            <w:pPr>
              <w:pStyle w:val="TablCenter"/>
            </w:pPr>
            <w:r>
              <w:rPr>
                <w:rFonts w:ascii="Times New Roman" w:hAnsi="Times New Roman"/>
                <w:sz w:val="28"/>
                <w:szCs w:val="28"/>
              </w:rPr>
              <w:t xml:space="preserve">на каждую партию (по заявке)</w:t>
            </w:r>
          </w:p>
        </w:tc>
        <w:tc>
          <w:tcPr>
            <w:tcW w:w="0" w:type="auto"/>
          </w:tcPr>
          <w:p>
            <w:pPr>
              <w:pStyle w:val="TablCenter"/>
            </w:pPr>
            <w:r>
              <w:rPr>
                <w:rFonts w:ascii="Times New Roman" w:hAnsi="Times New Roman"/>
                <w:sz w:val="28"/>
                <w:szCs w:val="28"/>
              </w:rPr>
              <w:t xml:space="preserve">ГОСТ Р 58487-2019 §7.1.2; ГОСТ Р 54001-2010 — действующий</w:t>
            </w:r>
          </w:p>
        </w:tc>
      </w:tr>
      <w:tr>
        <w:tc>
          <w:tcPr>
            <w:tcW w:w="0" w:type="auto"/>
          </w:tcPr>
          <w:p>
            <w:pPr>
              <w:pStyle w:val="TablCenter"/>
            </w:pPr>
            <w:r>
              <w:rPr>
                <w:rFonts w:ascii="Times New Roman" w:hAnsi="Times New Roman"/>
                <w:sz w:val="28"/>
                <w:szCs w:val="28"/>
              </w:rPr>
              <w:t xml:space="preserve">9</w:t>
            </w:r>
          </w:p>
        </w:tc>
        <w:tc>
          <w:tcPr>
            <w:tcW w:w="0" w:type="auto"/>
          </w:tcPr>
          <w:p>
            <w:pPr>
              <w:pStyle w:val="TablCenter"/>
            </w:pPr>
            <w:r>
              <w:rPr>
                <w:rFonts w:ascii="Times New Roman" w:hAnsi="Times New Roman"/>
                <w:sz w:val="28"/>
                <w:szCs w:val="28"/>
              </w:rPr>
              <w:t xml:space="preserve">Почвы территорий, удобряемых навозом, помётом, осадками и компостами; поля орошения; пастбища; территории ферм; тепличные грунты</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≥200 г (п. 3.1.2 настоящих МУК — яйца гельминтов); 25 г (п. 4.9.11 — ооцисты и цисты простейших)</w:t>
            </w:r>
          </w:p>
        </w:tc>
        <w:tc>
          <w:tcPr>
            <w:tcW w:w="0" w:type="auto"/>
          </w:tcPr>
          <w:p>
            <w:pPr>
              <w:pStyle w:val="TablCenter"/>
            </w:pPr>
            <w:r>
              <w:rPr>
                <w:rFonts w:ascii="Times New Roman" w:hAnsi="Times New Roman"/>
                <w:sz w:val="28"/>
                <w:szCs w:val="28"/>
              </w:rPr>
              <w:t xml:space="preserve">2–3 на пробную площадку</w:t>
            </w:r>
          </w:p>
        </w:tc>
        <w:tc>
          <w:tcPr>
            <w:tcW w:w="0" w:type="auto"/>
          </w:tcPr>
          <w:p>
            <w:pPr>
              <w:pStyle w:val="TablCenter"/>
            </w:pPr>
            <w:r>
              <w:rPr>
                <w:rFonts w:ascii="Times New Roman" w:hAnsi="Times New Roman"/>
                <w:sz w:val="28"/>
                <w:szCs w:val="28"/>
              </w:rPr>
              <w:t xml:space="preserve">До и после внесения органических удобрений, далее 1–2 раза в год</w:t>
            </w:r>
          </w:p>
        </w:tc>
        <w:tc>
          <w:tcPr>
            <w:tcW w:w="0" w:type="auto"/>
          </w:tcPr>
          <w:p>
            <w:pPr>
              <w:pStyle w:val="TablCenter"/>
            </w:pPr>
            <w:r>
              <w:rPr>
                <w:rFonts w:ascii="Times New Roman" w:hAnsi="Times New Roman"/>
                <w:sz w:val="28"/>
                <w:szCs w:val="28"/>
              </w:rPr>
              <w:t xml:space="preserve">МУК 4.2.796-99 табл. 1 поз. 6, 7; СанПиН 3.3686-21 п. 3385 и Прил. 36 (почва); ГОСТ Р 57782-2017 §6.4, §12 — действующий по методу, рекомендуемый по привязке к факту удобрения</w:t>
            </w:r>
          </w:p>
        </w:tc>
      </w:tr>
      <w:tr>
        <w:tc>
          <w:tcPr>
            <w:tcW w:w="0" w:type="auto"/>
          </w:tcPr>
          <w:p>
            <w:pPr>
              <w:pStyle w:val="TablCenter"/>
            </w:pPr>
            <w:r>
              <w:rPr>
                <w:rFonts w:ascii="Times New Roman" w:hAnsi="Times New Roman"/>
                <w:sz w:val="28"/>
                <w:szCs w:val="28"/>
              </w:rPr>
              <w:t xml:space="preserve">10</w:t>
            </w:r>
          </w:p>
        </w:tc>
        <w:tc>
          <w:tcPr>
            <w:tcW w:w="0" w:type="auto"/>
          </w:tcPr>
          <w:p>
            <w:pPr>
              <w:pStyle w:val="TablCenter"/>
            </w:pPr>
            <w:r>
              <w:rPr>
                <w:rFonts w:ascii="Times New Roman" w:hAnsi="Times New Roman"/>
                <w:sz w:val="28"/>
                <w:szCs w:val="28"/>
              </w:rPr>
              <w:t xml:space="preserve">Смывы с оборудования, инвентаря, транспорта, спецодежды и рук персонала животноводческих объектов</w:t>
            </w:r>
          </w:p>
        </w:tc>
        <w:tc>
          <w:tcPr>
            <w:tcW w:w="0" w:type="auto"/>
          </w:tcPr>
          <w:p>
            <w:pPr>
              <w:pStyle w:val="TablCenter"/>
            </w:pPr>
            <w:r>
              <w:rPr>
                <w:rFonts w:ascii="Times New Roman" w:hAnsi="Times New Roman"/>
                <w:sz w:val="28"/>
                <w:szCs w:val="28"/>
              </w:rPr>
              <w:t xml:space="preserve">1, 2</w:t>
            </w:r>
          </w:p>
        </w:tc>
        <w:tc>
          <w:tcPr>
            <w:tcW w:w="0" w:type="auto"/>
          </w:tcPr>
          <w:p>
            <w:pPr>
              <w:pStyle w:val="TablCenter"/>
            </w:pPr>
            <w:r>
              <w:rPr>
                <w:rFonts w:ascii="Times New Roman" w:hAnsi="Times New Roman"/>
                <w:sz w:val="28"/>
                <w:szCs w:val="28"/>
              </w:rPr>
              <w:t xml:space="preserve">по п. 3.3</w:t>
            </w:r>
          </w:p>
        </w:tc>
        <w:tc>
          <w:tcPr>
            <w:tcW w:w="0" w:type="auto"/>
          </w:tcPr>
          <w:p>
            <w:pPr>
              <w:pStyle w:val="TablCenter"/>
            </w:pPr>
            <w:r>
              <w:rPr>
                <w:rFonts w:ascii="Times New Roman" w:hAnsi="Times New Roman"/>
                <w:sz w:val="28"/>
                <w:szCs w:val="28"/>
              </w:rPr>
              <w:t xml:space="preserve">20–30 на объект</w:t>
            </w:r>
          </w:p>
        </w:tc>
        <w:tc>
          <w:tcPr>
            <w:tcW w:w="0" w:type="auto"/>
          </w:tcPr>
          <w:p>
            <w:pPr>
              <w:pStyle w:val="TablCenter"/>
            </w:pPr>
            <w:r>
              <w:rPr>
                <w:rFonts w:ascii="Times New Roman" w:hAnsi="Times New Roman"/>
                <w:sz w:val="28"/>
                <w:szCs w:val="28"/>
              </w:rPr>
              <w:t xml:space="preserve">1 раз в год</w:t>
            </w:r>
          </w:p>
        </w:tc>
        <w:tc>
          <w:tcPr>
            <w:tcW w:w="0" w:type="auto"/>
          </w:tcPr>
          <w:p>
            <w:pPr>
              <w:pStyle w:val="TablCenter"/>
            </w:pPr>
            <w:r>
              <w:rPr>
                <w:rFonts w:ascii="Times New Roman" w:hAnsi="Times New Roman"/>
                <w:sz w:val="28"/>
                <w:szCs w:val="28"/>
              </w:rPr>
              <w:t xml:space="preserve">МУК 4.2.796-99 табл. 1 поз. 9; Прил. 36 к СанПиН 3.3686-21 (смывы) — действующий</w:t>
            </w:r>
          </w:p>
        </w:tc>
      </w:tr>
    </w:tbl>
    <w:p>
      <w:pPr>
        <w:spacing w:after="60"/>
      </w:pPr>
    </w:p>
    <w:p>
      <w:pPr>
        <w:widowControl w:val="0"/>
        <w:spacing w:before="0" w:after="60" w:line="240" w:lineRule="auto"/>
        <w:ind w:firstLine="709"/>
        <w:jc w:val="both"/>
      </w:pPr>
      <w:r>
        <w:rPr>
          <w:rFonts w:ascii="Times New Roman" w:hAnsi="Times New Roman"/>
          <w:sz w:val="28"/>
          <w:szCs w:val="28"/>
        </w:rPr>
        <w:t xml:space="preserve">Примечания к таблице 3.4:</w:t>
      </w:r>
    </w:p>
    <w:p>
      <w:pPr>
        <w:widowControl w:val="0"/>
        <w:spacing w:before="0" w:after="60" w:line="240" w:lineRule="auto"/>
        <w:ind w:firstLine="709"/>
        <w:jc w:val="both"/>
      </w:pPr>
      <w:r>
        <w:rPr>
          <w:rFonts w:ascii="Times New Roman" w:hAnsi="Times New Roman"/>
          <w:sz w:val="28"/>
          <w:szCs w:val="28"/>
        </w:rPr>
        <w:t xml:space="preserve">1. Обозначения показателей приняты по приложению 36 к СанПиН 3.3686-21: 1 — жизнеспособные яйца гельминтов; 2 — цисты патогенных кишечных простейших; 3 — ооцисты криптоспоридий; 4 — личинки синантропных мух.</w:t>
      </w:r>
    </w:p>
    <w:p>
      <w:pPr>
        <w:widowControl w:val="0"/>
        <w:spacing w:before="0" w:after="60" w:line="240" w:lineRule="auto"/>
        <w:ind w:firstLine="709"/>
        <w:jc w:val="both"/>
      </w:pPr>
      <w:r>
        <w:rPr>
          <w:rFonts w:ascii="Times New Roman" w:hAnsi="Times New Roman"/>
          <w:sz w:val="28"/>
          <w:szCs w:val="28"/>
        </w:rPr>
        <w:t xml:space="preserve">2. Позиции по навозу, помёту, навозным стокам и объектам животноводческих (птицеводческих) хозяйств в приложении 36 к СанПиН 3.3686-21 отсутствуют; кратность исследований по позициям 1–3, 7 приведена как рекомендуемая и применяется до внесения соответствующих изменений в санитарные правила. Масса (объём) проб по позициям 1, 2, 4, 8, 9 установлена действующими национальными стандартами (ГОСТ Р 57782-2017, ГОСТ Р 58487-2019) и подлежит применению в указанной части. Обязательность производственного контроля на животноводческих комплексах и фермах установлена п. 3384, необходимость санитарно-паразитологических исследований при контроле эффективности дезинвазии — п. 3382, запрет внесения в почву необезвреженных навоза и помёта — п. 3385 СанПиН 3.3686-21; требование обеззараживания до отсутствия возбудителей паразитарных болезней — п. 269 СанПиН 2.1.3684-21.</w:t>
      </w:r>
    </w:p>
    <w:p>
      <w:pPr>
        <w:widowControl w:val="0"/>
        <w:spacing w:before="0" w:after="60" w:line="240" w:lineRule="auto"/>
        <w:ind w:firstLine="709"/>
        <w:jc w:val="both"/>
      </w:pPr>
      <w:r>
        <w:rPr>
          <w:rFonts w:ascii="Times New Roman" w:hAnsi="Times New Roman"/>
          <w:sz w:val="28"/>
          <w:szCs w:val="28"/>
        </w:rPr>
        <w:t xml:space="preserve">3. По эпидемическим показаниям (регистрация случаев и вспышек гельминтозов и кишечных протозоозов, выявление контаминированной партии удобрения, авария на очистных сооружениях, нарушение технологии обеззараживания) кратность исследований увеличивают.</w:t>
      </w:r>
    </w:p>
    <w:p>
      <w:pPr>
        <w:widowControl w:val="0"/>
        <w:spacing w:before="0" w:after="60" w:line="240" w:lineRule="auto"/>
        <w:ind w:firstLine="709"/>
        <w:jc w:val="both"/>
      </w:pPr>
      <w:r>
        <w:rPr>
          <w:rFonts w:ascii="Times New Roman" w:hAnsi="Times New Roman"/>
          <w:sz w:val="28"/>
          <w:szCs w:val="28"/>
        </w:rPr>
        <w:t xml:space="preserve">4. При расхождении формулировок ГОСТ Р 54001-2010 и ГОСТ Р 57782-2017 приоритет имеет ГОСТ Р 57782-2017 (полный текст верифицирован по первоисточнику). Точный титул ГОСТ Р 54001-2010 — «Удобрения органические. Методы гельминтологического анализа» (по перечню нормативных ссылок ГОСТ Р 58487-2019).</w:t>
      </w:r>
    </w:p>
    <w:p>
      <w:pPr>
        <w:widowControl w:val="0"/>
        <w:spacing w:before="0" w:after="60" w:line="240" w:lineRule="auto"/>
        <w:ind w:firstLine="709"/>
        <w:jc w:val="both"/>
      </w:pPr>
      <w:r>
        <w:rPr>
          <w:rFonts w:ascii="Times New Roman" w:hAnsi="Times New Roman"/>
          <w:sz w:val="28"/>
          <w:szCs w:val="28"/>
        </w:rPr>
        <w:t xml:space="preserve">5. Расхождение масс лабораторной пробы в действующих стандартах (не менее 2 кг по ГОСТ Р 58487-2019, п. 7.1.2 — не более 1 кг по ГОСТ Р 57782-2017, п. 6.2.2) разрешено в п. 3.4.3: значение 2 кг относится к этапу отбора и формирования лабораторной пробы удобрения, значение 1 кг — к части лабораторной пробы, направляемой на паразитологический анализ.</w:t>
      </w:r>
    </w:p>
    <w:p>
      <w:pPr>
        <w:widowControl w:val="0"/>
        <w:spacing w:before="0" w:after="60" w:line="240" w:lineRule="auto"/>
        <w:ind w:firstLine="709"/>
        <w:jc w:val="both"/>
      </w:pPr>
      <w:r>
        <w:rPr>
          <w:rFonts w:ascii="Times New Roman" w:hAnsi="Times New Roman"/>
          <w:sz w:val="28"/>
          <w:szCs w:val="28"/>
        </w:rPr>
        <w:t xml:space="preserve">3.4.10. Требования безопасности при отборе проб. Пробы навоза, помёта и навозных стоков относятся к потенциально инфекционному материалу; отбор проб проводят в спецодежде (халат или комбинезон, фартук клеёнчатый, резиновая обувь, перчатки резиновые), при необходимости — в маске и защитных очках. Отбор проб руками без инструментов не допускается. Инвентарь (черпаки, кружки, щупы, совки, шпатели, пробоотборники) после каждого объекта очищают, моют и обеззараживают (дезинфицируют кипящей водой в течение 20 мин, после кипячения обрабатывают дезинфицирующими растворами или этиловым спиртом). Транспортную тару обеззараживают после каждой доставки. По окончании работ персонал соблюдает правила личной гигиены. Отбор проб на объектах, находящихся на карантине по инфекционным болезням животных, проводят по согласованию с ветеринарной службой и с соблюдением установленных ею ограничений.</w:t>
      </w:r>
    </w:p>
    <w:p>
      <w:pPr>
        <w:widowControl w:val="0"/>
        <w:keepNext/>
        <w:keepLines/>
        <w:spacing w:before="360" w:after="120"/>
        <w:jc w:val="center"/>
        <w:outlineLvl w:val="0"/>
      </w:pPr>
      <w:r>
        <w:rPr>
          <w:rFonts w:ascii="Times New Roman" w:hAnsi="Times New Roman"/>
          <w:sz w:val="28"/>
          <w:szCs w:val="28"/>
        </w:rPr>
        <w:t xml:space="preserve">IV. ЛАБОРАТОРНЫЕ МЕТОДЫ ИССЛЕДОВАНИЯ ОБЪЕКТОВ ВНЕШНЕЙ СРЕДЫ НА ЯЙЦА И ЛИЧИНКИ ГЕЛЬМИНТОВ, ЦИСТЫ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4.1. Методы исследования почвы (песка) на яйца гельминтов и цисты (ооцисты) патогенных кишечных простейших</w:t>
      </w:r>
    </w:p>
    <w:p>
      <w:pPr>
        <w:widowControl w:val="0"/>
        <w:spacing w:before="0" w:after="60" w:line="240" w:lineRule="auto"/>
        <w:ind w:firstLine="709"/>
        <w:jc w:val="both"/>
      </w:pPr>
      <w:r>
        <w:rPr>
          <w:rFonts w:ascii="Times New Roman" w:hAnsi="Times New Roman"/>
          <w:sz w:val="28"/>
          <w:szCs w:val="28"/>
        </w:rPr>
        <w:t xml:space="preserve">4.1.1. Исследование почвы (песка) на яйца гельминтов методом Романенко (1996):</w:t>
      </w:r>
    </w:p>
    <w:p>
      <w:pPr>
        <w:widowControl w:val="0"/>
        <w:spacing w:before="0" w:after="60" w:line="240" w:lineRule="auto"/>
        <w:ind w:firstLine="709"/>
        <w:jc w:val="both"/>
      </w:pPr>
      <w:r>
        <w:rPr>
          <w:rFonts w:ascii="Times New Roman" w:hAnsi="Times New Roman"/>
          <w:sz w:val="28"/>
          <w:szCs w:val="28"/>
        </w:rPr>
        <w:t xml:space="preserve">перед исследованием объединенную пробу почвы (песка) рассыпают на бумаге или кальке, или лотке, разминают пестиком крупные комки (при исследовании на яйца гельминтов и цисты патогенных простейших), выбирают из нее корни растений, камни, насекомых, стекло, уголь, кости животных и др. Затем переносят в ступку, растирают пестиком и просеивают через сито с ячейками диаметром около 1 мм.</w:t>
      </w:r>
    </w:p>
    <w:p>
      <w:pPr>
        <w:widowControl w:val="0"/>
        <w:spacing w:before="0" w:after="60" w:line="240" w:lineRule="auto"/>
        <w:ind w:firstLine="709"/>
        <w:jc w:val="both"/>
      </w:pPr>
      <w:r>
        <w:rPr>
          <w:rFonts w:ascii="Times New Roman" w:hAnsi="Times New Roman"/>
          <w:sz w:val="28"/>
          <w:szCs w:val="28"/>
        </w:rPr>
        <w:t xml:space="preserve">из объединенной пробы почвы (песка) отбирают 4 навески по 25 г, помещают их в центрифужные пробирки или стаканы без носика объемом 250 мл. В случае отсутствия таковых можно использовать пробирки или стаканы без носика объемом 80 – 100 мл, но помещать в них следует не более 15 г почвы (песка);</w:t>
      </w:r>
    </w:p>
    <w:p>
      <w:pPr>
        <w:widowControl w:val="0"/>
        <w:spacing w:before="0" w:after="60" w:line="240" w:lineRule="auto"/>
        <w:ind w:firstLine="709"/>
        <w:jc w:val="both"/>
      </w:pPr>
      <w:r>
        <w:rPr>
          <w:rFonts w:ascii="Times New Roman" w:hAnsi="Times New Roman"/>
          <w:sz w:val="28"/>
          <w:szCs w:val="28"/>
        </w:rPr>
        <w:t xml:space="preserve">исследуемые образцы заливают 3% раствором натрия (или калия) гидроокиси (в соотношении 1:1);</w:t>
      </w:r>
    </w:p>
    <w:p>
      <w:pPr>
        <w:widowControl w:val="0"/>
        <w:spacing w:before="0" w:after="60" w:line="240" w:lineRule="auto"/>
        <w:ind w:firstLine="709"/>
        <w:jc w:val="both"/>
      </w:pPr>
      <w:r>
        <w:rPr>
          <w:rFonts w:ascii="Times New Roman" w:hAnsi="Times New Roman"/>
          <w:sz w:val="28"/>
          <w:szCs w:val="28"/>
        </w:rPr>
        <w:t xml:space="preserve">содержимое пробирок тщательно размешивают, отстаивают в течение 20 – 30 мин;</w:t>
      </w:r>
    </w:p>
    <w:p>
      <w:pPr>
        <w:widowControl w:val="0"/>
        <w:spacing w:before="0" w:after="60" w:line="240" w:lineRule="auto"/>
        <w:ind w:firstLine="709"/>
        <w:jc w:val="both"/>
      </w:pPr>
      <w:r>
        <w:rPr>
          <w:rFonts w:ascii="Times New Roman" w:hAnsi="Times New Roman"/>
          <w:sz w:val="28"/>
          <w:szCs w:val="28"/>
        </w:rPr>
        <w:t xml:space="preserve">смесь центрифугируют 5 мин при (120 ± 12) g (≈1000 об/мин при r = 100 мм;</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w:t>
      </w:r>
    </w:p>
    <w:p>
      <w:pPr>
        <w:widowControl w:val="0"/>
        <w:spacing w:before="0" w:after="60" w:line="240" w:lineRule="auto"/>
        <w:ind w:firstLine="709"/>
        <w:jc w:val="both"/>
      </w:pPr>
      <w:r>
        <w:rPr>
          <w:rFonts w:ascii="Times New Roman" w:hAnsi="Times New Roman"/>
          <w:sz w:val="28"/>
          <w:szCs w:val="28"/>
        </w:rPr>
        <w:t xml:space="preserve">к осадку доливают 150 мл чистой воды. промывку проводят трижды; критерий конца промывки — прозрачность надосадочной жидкости, сопоставимая с контрольной пробой воды</w:t>
      </w:r>
    </w:p>
    <w:p>
      <w:pPr>
        <w:widowControl w:val="0"/>
        <w:spacing w:before="0" w:after="60" w:line="240" w:lineRule="auto"/>
        <w:ind w:firstLine="709"/>
        <w:jc w:val="both"/>
      </w:pPr>
      <w:r>
        <w:rPr>
          <w:rFonts w:ascii="Times New Roman" w:hAnsi="Times New Roman"/>
          <w:sz w:val="28"/>
          <w:szCs w:val="28"/>
        </w:rPr>
        <w:t xml:space="preserve">после промывки водой к осадку добавляют насыщенный раствор азотнокислого натрия, плотность 1,38–1,40 г/см³ (измеряют ареометром при (20 ± 2) °С); при обнаружении яиц с ρ &gt; 1,30 (описторхиды, клонорхисы) — насыщенный раствор ZnCl₂ (1,78) (приложение 3 к настоящим МУК): в 250 мл стаканы добавляют по 150 мл насыщенного раствора, в пробирки объемом 80 - 100 мл соответственно 45 - 50 мл, перемешивают и центрифугируют 5 мин при 1000 об/мин.^</w:t>
      </w:r>
    </w:p>
    <w:p>
      <w:pPr>
        <w:widowControl w:val="0"/>
        <w:spacing w:before="0" w:after="60" w:line="240" w:lineRule="auto"/>
        <w:ind w:firstLine="709"/>
        <w:jc w:val="both"/>
      </w:pPr>
      <w:r>
        <w:rPr>
          <w:rFonts w:ascii="Times New Roman" w:hAnsi="Times New Roman"/>
          <w:sz w:val="28"/>
          <w:szCs w:val="28"/>
        </w:rPr>
        <w:t xml:space="preserve">пробирки устанавливают в штатив, доливают насыщенным раствором нитрата натрия, отступая от края пробирок на 2 – 3 мм, и накрывают обезжиренными предметными стеклами. Яйца гельминтов всплывают и концентрируются в поверхностной пленке насыщенного раствора. Для исключения потери поверхностной пленки между краем пробирки и предметным стеклом оставляют пространство шириной не более 10 мм, куда с помощью дозатора или пипетки добавляют насыщенный раствор нитрата натрия до его соприкосновения с нижней стороной стекла, которое осторожно передвигают до полного покрытия центрифужной пробирки;</w:t>
      </w:r>
    </w:p>
    <w:p>
      <w:pPr>
        <w:widowControl w:val="0"/>
        <w:spacing w:before="0" w:after="60" w:line="240" w:lineRule="auto"/>
        <w:ind w:firstLine="709"/>
        <w:jc w:val="both"/>
      </w:pPr>
      <w:r>
        <w:rPr>
          <w:rFonts w:ascii="Times New Roman" w:hAnsi="Times New Roman"/>
          <w:sz w:val="28"/>
          <w:szCs w:val="28"/>
        </w:rPr>
        <w:t xml:space="preserve">через 20 – 25 мин отстаивания стекла снимают, переворачивая нижней поверхностью вверх, а на их место ставят другие (при необходимости и третьи) на 10 мин;</w:t>
      </w:r>
    </w:p>
    <w:p>
      <w:pPr>
        <w:widowControl w:val="0"/>
        <w:spacing w:before="0" w:after="60" w:line="240" w:lineRule="auto"/>
        <w:ind w:firstLine="709"/>
        <w:jc w:val="both"/>
      </w:pPr>
      <w:r>
        <w:rPr>
          <w:rFonts w:ascii="Times New Roman" w:hAnsi="Times New Roman"/>
          <w:sz w:val="28"/>
          <w:szCs w:val="28"/>
        </w:rPr>
        <w:t xml:space="preserve">на предметные стекла с поверхностной пленкой наносят 1 – 2 капли 50% раствора глицерина, накрывают их покровными стеклами, а затем микроскопируют. Приготовленные препараты для микроскопии можно хранить в холодильнике до 7 суток во влажной камере, не допуская подсыхания. При подсыхании препаратов по краям покровных стекол добавляют несколько капель 50% раствора глицерина.</w:t>
      </w:r>
    </w:p>
    <w:p>
      <w:pPr>
        <w:widowControl w:val="0"/>
        <w:spacing w:before="0" w:after="60" w:line="240" w:lineRule="auto"/>
        <w:ind w:firstLine="709"/>
        <w:jc w:val="both"/>
      </w:pPr>
      <w:r>
        <w:rPr>
          <w:rFonts w:ascii="Times New Roman" w:hAnsi="Times New Roman"/>
          <w:sz w:val="28"/>
          <w:szCs w:val="28"/>
        </w:rPr>
        <w:t xml:space="preserve">4.1.2. Исследование почвы (песка) на яйца гельминтов и цисты (ооцисты) патогенных простейших модифицированным методом Романенко по образцу п. 4.1.1 с флотационным концентрированием: суспензию фильтруют через прозрачные аналитические трековые мембраны (АТМ, поры 2,5–3,0 мкм), просматривают всю мембрану; теоретический предел обнаружения (1 объект) — 10 экз./кг, LOD 95 % — 30 экз./кг (табл. 8.1)</w:t>
      </w:r>
    </w:p>
    <w:p>
      <w:pPr>
        <w:widowControl w:val="0"/>
        <w:spacing w:before="0" w:after="60" w:line="240" w:lineRule="auto"/>
        <w:ind w:firstLine="709"/>
        <w:jc w:val="both"/>
      </w:pPr>
      <w:r>
        <w:rPr>
          <w:rFonts w:ascii="Times New Roman" w:hAnsi="Times New Roman"/>
          <w:sz w:val="28"/>
          <w:szCs w:val="28"/>
        </w:rPr>
        <w:t xml:space="preserve">из объединенной пробы почвы (песка) отбирают 4 навески по 25 г, помещают их в центрифужные пробирки или стаканы без носика объемом 250 мл. В случае отсутствия таковых можно использовать пробирки или стаканы без носика объемом 80 – 100 мл, но помещать в них следует не более 15 г почвы (песка);</w:t>
      </w:r>
    </w:p>
    <w:p>
      <w:pPr>
        <w:widowControl w:val="0"/>
        <w:spacing w:before="0" w:after="60" w:line="240" w:lineRule="auto"/>
        <w:ind w:firstLine="709"/>
        <w:jc w:val="both"/>
      </w:pPr>
      <w:r>
        <w:rPr>
          <w:rFonts w:ascii="Times New Roman" w:hAnsi="Times New Roman"/>
          <w:sz w:val="28"/>
          <w:szCs w:val="28"/>
        </w:rPr>
        <w:t xml:space="preserve">исследуемые образцы заливают 3% раствором натрия (или калия) гидроокиси (в соотношении 1:1);</w:t>
      </w:r>
    </w:p>
    <w:p>
      <w:pPr>
        <w:widowControl w:val="0"/>
        <w:spacing w:before="0" w:after="60" w:line="240" w:lineRule="auto"/>
        <w:ind w:firstLine="709"/>
        <w:jc w:val="both"/>
      </w:pPr>
      <w:r>
        <w:rPr>
          <w:rFonts w:ascii="Times New Roman" w:hAnsi="Times New Roman"/>
          <w:sz w:val="28"/>
          <w:szCs w:val="28"/>
        </w:rPr>
        <w:t xml:space="preserve">содержимое пробирок тщательно размешивают, отстаивают в течение 20 – 30 мин;</w:t>
      </w:r>
    </w:p>
    <w:p>
      <w:pPr>
        <w:widowControl w:val="0"/>
        <w:spacing w:before="0" w:after="60" w:line="240" w:lineRule="auto"/>
        <w:ind w:firstLine="709"/>
        <w:jc w:val="both"/>
      </w:pPr>
      <w:r>
        <w:rPr>
          <w:rFonts w:ascii="Times New Roman" w:hAnsi="Times New Roman"/>
          <w:sz w:val="28"/>
          <w:szCs w:val="28"/>
        </w:rPr>
        <w:t xml:space="preserve">смесь центрифугируют 5 мин при 1000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w:t>
      </w:r>
    </w:p>
    <w:p>
      <w:pPr>
        <w:widowControl w:val="0"/>
        <w:spacing w:before="0" w:after="60" w:line="240" w:lineRule="auto"/>
        <w:ind w:firstLine="709"/>
        <w:jc w:val="both"/>
      </w:pPr>
      <w:r>
        <w:rPr>
          <w:rFonts w:ascii="Times New Roman" w:hAnsi="Times New Roman"/>
          <w:sz w:val="28"/>
          <w:szCs w:val="28"/>
        </w:rPr>
        <w:t xml:space="preserve">к осадку доливают 150 мл (в пробирки объемом 80- 100 мл доливают 45-50 мл) чистой воды;</w:t>
      </w:r>
    </w:p>
    <w:p>
      <w:pPr>
        <w:widowControl w:val="0"/>
        <w:spacing w:before="0" w:after="60" w:line="240" w:lineRule="auto"/>
        <w:ind w:firstLine="709"/>
        <w:jc w:val="both"/>
      </w:pPr>
      <w:r>
        <w:rPr>
          <w:rFonts w:ascii="Times New Roman" w:hAnsi="Times New Roman"/>
          <w:sz w:val="28"/>
          <w:szCs w:val="28"/>
        </w:rPr>
        <w:t xml:space="preserve">промывку проводят 2 – 5 раз, до получения чистой надосадочной жидкости;</w:t>
      </w:r>
    </w:p>
    <w:p>
      <w:pPr>
        <w:widowControl w:val="0"/>
        <w:spacing w:before="0" w:after="60" w:line="240" w:lineRule="auto"/>
        <w:ind w:firstLine="709"/>
        <w:jc w:val="both"/>
      </w:pPr>
      <w:r>
        <w:rPr>
          <w:rFonts w:ascii="Times New Roman" w:hAnsi="Times New Roman"/>
          <w:sz w:val="28"/>
          <w:szCs w:val="28"/>
        </w:rPr>
        <w:t xml:space="preserve">после промывки водой к осадку добавляют насыщенный раствор нитрата натрия (плотность 1,38 – 1,40) (приложение 3 к настоящим МУК): в 250 мл стаканы добавляют по 150 мл насыщенного раствора, в пробирки объемом 80 - 100 мл - 45 - 50 мл, соответственно, перемешивают и центрифугируют 5 мин при 1000 об/мин.^</w:t>
      </w:r>
    </w:p>
    <w:p>
      <w:pPr>
        <w:widowControl w:val="0"/>
        <w:spacing w:before="0" w:after="60" w:line="240" w:lineRule="auto"/>
        <w:ind w:firstLine="709"/>
        <w:jc w:val="both"/>
      </w:pPr>
      <w:r>
        <w:rPr>
          <w:rFonts w:ascii="Times New Roman" w:hAnsi="Times New Roman"/>
          <w:sz w:val="28"/>
          <w:szCs w:val="28"/>
        </w:rPr>
        <w:t xml:space="preserve">весь полученный объем надосадочной жидкости (после центрифугирования с насыщенным раствором нитрата натрия) исследуемой пробы переносят в емкость и фильтруют через аналитические трековые мембраны (АТМ) с диаметром пор 2,5 – 3,0 мкм или мембранные фильтры типа МФАС-СПА с помощью приборов вакуумного фильтрования;</w:t>
      </w:r>
    </w:p>
    <w:p>
      <w:pPr>
        <w:widowControl w:val="0"/>
        <w:spacing w:before="0" w:after="60" w:line="240" w:lineRule="auto"/>
        <w:ind w:firstLine="709"/>
        <w:jc w:val="both"/>
      </w:pPr>
      <w:r>
        <w:rPr>
          <w:rFonts w:ascii="Times New Roman" w:hAnsi="Times New Roman"/>
          <w:sz w:val="28"/>
          <w:szCs w:val="28"/>
        </w:rPr>
        <w:t xml:space="preserve">после фильтрации надосадочной жидкости, АТМ осторожно снимают пинцетом и переносят на предметное стекло, предварительно обработав его 50% раствором глицерина (на поверхность предметного стекла наносят 1 – 2 капли 50% раствора глицерина и стеклянной палочкой распределяют по всей поверхности), при исследовании на цисты (ооцисты) патогенных кишечных простейших сверху мембраны наносят каплю 1% раствора Люголя и накрывают покровным стеклом всю поверхность мембраны.</w:t>
      </w:r>
    </w:p>
    <w:p>
      <w:pPr>
        <w:widowControl w:val="0"/>
        <w:spacing w:before="0" w:after="60" w:line="240" w:lineRule="auto"/>
        <w:ind w:firstLine="709"/>
        <w:jc w:val="both"/>
      </w:pPr>
      <w:r>
        <w:rPr>
          <w:rFonts w:ascii="Times New Roman" w:hAnsi="Times New Roman"/>
          <w:sz w:val="28"/>
          <w:szCs w:val="28"/>
        </w:rPr>
        <w:t xml:space="preserve">после фильтрации через мембранные фильтры с полученных фильтров типа МФАС-СПА производят соскоб покровным стеклом на предметное стекло, добавляют каплю 50% раствора глицерина, при исследовании на цисты патогенных простейших препарат дополнительно окрашивают 1% раствором Люголя и накрывают покровным стеклом.</w:t>
      </w:r>
    </w:p>
    <w:p>
      <w:pPr>
        <w:widowControl w:val="0"/>
        <w:spacing w:before="0" w:after="60" w:line="240" w:lineRule="auto"/>
        <w:ind w:firstLine="709"/>
        <w:jc w:val="both"/>
      </w:pPr>
      <w:r>
        <w:rPr>
          <w:rFonts w:ascii="Times New Roman" w:hAnsi="Times New Roman"/>
          <w:sz w:val="28"/>
          <w:szCs w:val="28"/>
        </w:rPr>
        <w:t xml:space="preserve">4.1.3. Микроскопирование препаратов (п. 4.1.1., 4.1.2.) проводят при увеличении: окуляр × 10, объектив × 10, далее объектив × 40. Определяют вид (при невозможности определения вида определяют род/семейство), жизнеспособность выявленных яиц и личинок гельминтов (раздел 5 настоящих МУК), цисты (ооцист) патогенных кишечных простейших, интенсивный показатель загрязненности почвы яйцами и личинками гельминтов (ИПЗя) (экз / кг) и цистами (ооцистами) патогенных кишечных простейших (ИПЗц) (экз / 100 г).</w:t>
      </w:r>
    </w:p>
    <w:p>
      <w:pPr>
        <w:widowControl w:val="0"/>
        <w:spacing w:before="0" w:after="60" w:line="240" w:lineRule="auto"/>
        <w:ind w:firstLine="709"/>
        <w:jc w:val="both"/>
      </w:pPr>
      <w:r>
        <w:rPr>
          <w:rFonts w:ascii="Times New Roman" w:hAnsi="Times New Roman"/>
          <w:sz w:val="28"/>
          <w:szCs w:val="28"/>
        </w:rPr>
        <w:t xml:space="preserve">4.1.4. Исследование почвы (песка) на цисты (ооцисты) патогенных кишечных простейших методом Падченко (1992).</w:t>
      </w:r>
    </w:p>
    <w:p>
      <w:pPr>
        <w:widowControl w:val="0"/>
        <w:spacing w:before="0" w:after="60" w:line="240" w:lineRule="auto"/>
        <w:ind w:firstLine="709"/>
        <w:jc w:val="both"/>
      </w:pPr>
      <w:r>
        <w:rPr>
          <w:rFonts w:ascii="Times New Roman" w:hAnsi="Times New Roman"/>
          <w:sz w:val="28"/>
          <w:szCs w:val="28"/>
        </w:rPr>
        <w:t xml:space="preserve">Из объединенной пробы почвы отбирают 1 навеску массой 25 г, помещают в ступку, постепенно добавляют к ней чистую воду, тщательно растирая пестиком до гомогенной кашицы;</w:t>
      </w:r>
    </w:p>
    <w:p>
      <w:pPr>
        <w:widowControl w:val="0"/>
        <w:spacing w:before="0" w:after="60" w:line="240" w:lineRule="auto"/>
        <w:ind w:firstLine="709"/>
        <w:jc w:val="both"/>
      </w:pPr>
      <w:r>
        <w:rPr>
          <w:rFonts w:ascii="Times New Roman" w:hAnsi="Times New Roman"/>
          <w:sz w:val="28"/>
          <w:szCs w:val="28"/>
        </w:rPr>
        <w:t xml:space="preserve">переносят смесь (гомогенную кашицу) в емкость или цилиндр объемом 1 л, предварительно наполненный на 3/4 объема чистой водой. Смесь размешивают;</w:t>
      </w:r>
    </w:p>
    <w:p>
      <w:pPr>
        <w:widowControl w:val="0"/>
        <w:spacing w:before="0" w:after="60" w:line="240" w:lineRule="auto"/>
        <w:ind w:firstLine="709"/>
        <w:jc w:val="both"/>
      </w:pPr>
      <w:r>
        <w:rPr>
          <w:rFonts w:ascii="Times New Roman" w:hAnsi="Times New Roman"/>
          <w:sz w:val="28"/>
          <w:szCs w:val="28"/>
        </w:rPr>
        <w:t xml:space="preserve">отстаивают в течение 15 минут при комнатной температуре (плюс 15 – 20°С) ;</w:t>
      </w:r>
    </w:p>
    <w:p>
      <w:pPr>
        <w:widowControl w:val="0"/>
        <w:spacing w:before="0" w:after="60" w:line="240" w:lineRule="auto"/>
        <w:ind w:firstLine="709"/>
        <w:jc w:val="both"/>
      </w:pPr>
      <w:r>
        <w:rPr>
          <w:rFonts w:ascii="Times New Roman" w:hAnsi="Times New Roman"/>
          <w:sz w:val="28"/>
          <w:szCs w:val="28"/>
        </w:rPr>
        <w:t xml:space="preserve">образовавшуюся на поверхности смеси пленку удаляют микробиологической петлей;</w:t>
      </w:r>
    </w:p>
    <w:p>
      <w:pPr>
        <w:widowControl w:val="0"/>
        <w:spacing w:before="0" w:after="60" w:line="240" w:lineRule="auto"/>
        <w:ind w:firstLine="709"/>
        <w:jc w:val="both"/>
      </w:pPr>
      <w:r>
        <w:rPr>
          <w:rFonts w:ascii="Times New Roman" w:hAnsi="Times New Roman"/>
          <w:sz w:val="28"/>
          <w:szCs w:val="28"/>
        </w:rPr>
        <w:t xml:space="preserve">надосадочную жидкость переносят в чистую емкость или цилиндр;</w:t>
      </w:r>
    </w:p>
    <w:p>
      <w:pPr>
        <w:widowControl w:val="0"/>
        <w:spacing w:before="0" w:after="60" w:line="240" w:lineRule="auto"/>
        <w:ind w:firstLine="709"/>
        <w:jc w:val="both"/>
      </w:pPr>
      <w:r>
        <w:rPr>
          <w:rFonts w:ascii="Times New Roman" w:hAnsi="Times New Roman"/>
          <w:sz w:val="28"/>
          <w:szCs w:val="28"/>
        </w:rPr>
        <w:t xml:space="preserve">осадок повторно промывают водой объемом 100 мл (не менее 3-х раз).</w:t>
      </w:r>
    </w:p>
    <w:p>
      <w:pPr>
        <w:widowControl w:val="0"/>
        <w:spacing w:before="0" w:after="60" w:line="240" w:lineRule="auto"/>
        <w:ind w:firstLine="709"/>
        <w:jc w:val="both"/>
      </w:pPr>
      <w:r>
        <w:rPr>
          <w:rFonts w:ascii="Times New Roman" w:hAnsi="Times New Roman"/>
          <w:sz w:val="28"/>
          <w:szCs w:val="28"/>
        </w:rPr>
        <w:t xml:space="preserve">Промывные воды (надосадочную жидкость) собирают в одной емкости, отстаивают в течение 12 – 24 часов, далее надосадочную жидкость удаляют;</w:t>
      </w:r>
    </w:p>
    <w:p>
      <w:pPr>
        <w:widowControl w:val="0"/>
        <w:spacing w:before="0" w:after="60" w:line="240" w:lineRule="auto"/>
        <w:ind w:firstLine="709"/>
        <w:jc w:val="both"/>
      </w:pPr>
      <w:r>
        <w:rPr>
          <w:rFonts w:ascii="Times New Roman" w:hAnsi="Times New Roman"/>
          <w:sz w:val="28"/>
          <w:szCs w:val="28"/>
        </w:rPr>
        <w:t xml:space="preserve">осадок тщательно встряхивают и готовят препараты для микроскопирования – каплю из полученной взвеси (приблизительно 150 мкл) наносят на предметное стекло, окрашивают 1% раствором Люголя, накрывают покровным стеклом и осадок доводят до объёма V (мл), значение фиксируют в протоколе; исследуют объём Vа; результат пересчитывают по формуле (1). Микроскопирование препаратов следует проводить в течение 2 – 3 суток после их приготовления;</w:t>
      </w:r>
    </w:p>
    <w:p>
      <w:pPr>
        <w:widowControl w:val="0"/>
        <w:spacing w:before="0" w:after="60" w:line="240" w:lineRule="auto"/>
        <w:ind w:firstLine="709"/>
        <w:jc w:val="both"/>
      </w:pPr>
      <w:r>
        <w:rPr>
          <w:rFonts w:ascii="Times New Roman" w:hAnsi="Times New Roman"/>
          <w:sz w:val="28"/>
          <w:szCs w:val="28"/>
        </w:rPr>
        <w:t xml:space="preserve">микроскопирование проводят при увеличении: окуляр × 10, объектив × 10, далее объектив × 40. При выявлении цист (ооцист) патогенных кишечных простейших делают перерасчет их количества на общий объем навески объединенной пробы (100 г). Определяют интенсивный показатель загрязненности почвы цистами патогенных кишечных простейших (экз / 100 г) (п. 4.3.1.).</w:t>
      </w:r>
    </w:p>
    <w:p>
      <w:pPr>
        <w:widowControl w:val="0"/>
        <w:spacing w:before="0" w:after="60" w:line="240" w:lineRule="auto"/>
        <w:ind w:firstLine="709"/>
        <w:jc w:val="both"/>
      </w:pPr>
      <w:r>
        <w:rPr>
          <w:rFonts w:ascii="Times New Roman" w:hAnsi="Times New Roman"/>
          <w:sz w:val="28"/>
          <w:szCs w:val="28"/>
        </w:rPr>
        <w:t xml:space="preserve">4.1.5. При необходимости хранения полученного осадка (до 2-х месяцев), к нему добавляют консервант: спирт этиловый 96 % — 10,4–10,9 мл; 40 %-й раствор формалина — 4,1–4,4 г; мертиолят натрия — 0,0016–0,0018 г; физиологический раствор — до 100 мл. Консервант добавляют к осадку в соотношении 1:2 и хранят в холодильнике не более месяца. Для приготовления мазков из осадка с консервантом исследуемую смесь встряхивают и каплю (приблизительно 150 мкл) наносят на предметное стекло, добавляют каплю 0,1 – 0,2% водного раствора акридинового оранжевого, накрывают покровным стеклом и инкубируют препарат 30 – 45 минут при комнатной температуре (плюс 15 – 20°С). Исследуют не менее 1 мл осадка с последующим пересчетом выявленных цист (ооцист) на его общий объем исследуемой пробы (100 г). Микроскопирование проводят при увеличении: окуляр × 10, объектив × 10, далее объектив × 40. Цисты (ооцисты) патогенных кишечных простейших остаются или неокрашенными (жизнеспособные), или окрашиваются в желтый цвет (дегенерирующие и мертвые цисты).</w:t>
      </w:r>
    </w:p>
    <w:p>
      <w:pPr>
        <w:widowControl w:val="0"/>
        <w:spacing w:before="0" w:after="60" w:line="240" w:lineRule="auto"/>
        <w:ind w:firstLine="709"/>
        <w:jc w:val="both"/>
      </w:pPr>
      <w:r>
        <w:rPr>
          <w:rFonts w:ascii="Times New Roman" w:hAnsi="Times New Roman"/>
          <w:sz w:val="28"/>
          <w:szCs w:val="28"/>
        </w:rPr>
        <w:t xml:space="preserve">4.1.6. Определение истинной обсемененности почвы яйцами аскарид и власоглава используют поправочные коэффициенты для различных типов почв (Приложение 6 к настоящим МУК), для чего необходимо определить тип почвы, а затем умножить число обнаруженных яиц гельминтов одного вида на коэффициент для этого типа почвы и для данного вида гельминта.</w:t>
      </w:r>
    </w:p>
    <w:p>
      <w:pPr>
        <w:widowControl w:val="0"/>
        <w:spacing w:before="0" w:after="60" w:line="240" w:lineRule="auto"/>
        <w:ind w:firstLine="709"/>
        <w:jc w:val="both"/>
      </w:pPr>
      <w:r>
        <w:rPr>
          <w:rFonts w:ascii="Times New Roman" w:hAnsi="Times New Roman"/>
          <w:sz w:val="28"/>
          <w:szCs w:val="28"/>
        </w:rPr>
        <w:t xml:space="preserve">4.2. Методы исследования почвы (песка) на наличие личинок гельминтов</w:t>
      </w:r>
    </w:p>
    <w:p>
      <w:pPr>
        <w:widowControl w:val="0"/>
        <w:spacing w:before="0" w:after="60" w:line="240" w:lineRule="auto"/>
        <w:ind w:firstLine="709"/>
        <w:jc w:val="both"/>
      </w:pPr>
      <w:r>
        <w:rPr>
          <w:rFonts w:ascii="Times New Roman" w:hAnsi="Times New Roman"/>
          <w:sz w:val="28"/>
          <w:szCs w:val="28"/>
        </w:rPr>
        <w:t xml:space="preserve">4.2.1 Выявление в почве (песке) личинок гельминтов методом Бермана (Baermann, 1917):</w:t>
      </w:r>
    </w:p>
    <w:p>
      <w:pPr>
        <w:widowControl w:val="0"/>
        <w:spacing w:before="0" w:after="60" w:line="240" w:lineRule="auto"/>
        <w:ind w:firstLine="709"/>
        <w:jc w:val="both"/>
      </w:pPr>
      <w:r>
        <w:rPr>
          <w:rFonts w:ascii="Times New Roman" w:hAnsi="Times New Roman"/>
          <w:sz w:val="28"/>
          <w:szCs w:val="28"/>
        </w:rPr>
        <w:t xml:space="preserve">предварительно собирают аппарат Бермана. Стеклянную воронку диаметром 10 – 15 см с металлической или капроновой сеткой (размер ячеек 0,25 – 0,3 мм) закрепляют в лабораторном штативе, на нижний конец воронки надевают резиновую трубку с зажимом;</w:t>
      </w:r>
    </w:p>
    <w:p>
      <w:pPr>
        <w:widowControl w:val="0"/>
        <w:spacing w:before="0" w:after="60" w:line="240" w:lineRule="auto"/>
        <w:ind w:firstLine="709"/>
        <w:jc w:val="both"/>
      </w:pPr>
      <w:r>
        <w:rPr>
          <w:rFonts w:ascii="Times New Roman" w:hAnsi="Times New Roman"/>
          <w:sz w:val="28"/>
          <w:szCs w:val="28"/>
        </w:rPr>
        <w:t xml:space="preserve">на металлическую сетку помещают 20 г почвы (песка);</w:t>
      </w:r>
    </w:p>
    <w:p>
      <w:pPr>
        <w:widowControl w:val="0"/>
        <w:spacing w:before="0" w:after="60" w:line="240" w:lineRule="auto"/>
        <w:ind w:firstLine="709"/>
        <w:jc w:val="both"/>
      </w:pPr>
      <w:r>
        <w:rPr>
          <w:rFonts w:ascii="Times New Roman" w:hAnsi="Times New Roman"/>
          <w:sz w:val="28"/>
          <w:szCs w:val="28"/>
        </w:rPr>
        <w:t xml:space="preserve">сетку с пробой почвы (песка) приподнимают и в воронку наливают теплую воду (температура воды плюс 45 – 50 °С) так, чтобы нижняя часть сетки с почвой (песком) соприкасалась с водой;</w:t>
      </w:r>
    </w:p>
    <w:p>
      <w:pPr>
        <w:widowControl w:val="0"/>
        <w:spacing w:before="0" w:after="60" w:line="240" w:lineRule="auto"/>
        <w:ind w:firstLine="709"/>
        <w:jc w:val="both"/>
      </w:pPr>
      <w:r>
        <w:rPr>
          <w:rFonts w:ascii="Times New Roman" w:hAnsi="Times New Roman"/>
          <w:sz w:val="28"/>
          <w:szCs w:val="28"/>
        </w:rPr>
        <w:t xml:space="preserve">воронку с почвой (песком) ставят в термостат при температуре плюс 37 ± 1 °С. Личинки гельминтов, обладая термотропностью, мигрируют из почвы (песка) через сетку в теплую воду;</w:t>
      </w:r>
    </w:p>
    <w:p>
      <w:pPr>
        <w:widowControl w:val="0"/>
        <w:spacing w:before="0" w:after="60" w:line="240" w:lineRule="auto"/>
        <w:ind w:firstLine="709"/>
        <w:jc w:val="both"/>
      </w:pPr>
      <w:r>
        <w:rPr>
          <w:rFonts w:ascii="Times New Roman" w:hAnsi="Times New Roman"/>
          <w:sz w:val="28"/>
          <w:szCs w:val="28"/>
        </w:rPr>
        <w:t xml:space="preserve">через 4 ч (рекомендуемая экспозиция 12 – 24 ч, значение фиксируют в протоколе зажим на резиновой трубке открывают и спускают жидкость в центрифужную пробирку;</w:t>
      </w:r>
    </w:p>
    <w:p>
      <w:pPr>
        <w:widowControl w:val="0"/>
        <w:spacing w:before="0" w:after="60" w:line="240" w:lineRule="auto"/>
        <w:ind w:firstLine="709"/>
        <w:jc w:val="both"/>
      </w:pPr>
      <w:r>
        <w:rPr>
          <w:rFonts w:ascii="Times New Roman" w:hAnsi="Times New Roman"/>
          <w:sz w:val="28"/>
          <w:szCs w:val="28"/>
        </w:rPr>
        <w:t xml:space="preserve">полученную жидкость центрифугируют 2 мин при 250 ± 25 g;</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 (удаляют);</w:t>
      </w:r>
    </w:p>
    <w:p>
      <w:pPr>
        <w:widowControl w:val="0"/>
        <w:spacing w:before="0" w:after="60" w:line="240" w:lineRule="auto"/>
        <w:ind w:firstLine="709"/>
        <w:jc w:val="both"/>
      </w:pPr>
      <w:r>
        <w:rPr>
          <w:rFonts w:ascii="Times New Roman" w:hAnsi="Times New Roman"/>
          <w:sz w:val="28"/>
          <w:szCs w:val="28"/>
        </w:rPr>
        <w:t xml:space="preserve">осадок переносят на предметное стекло и микроскопируют. Обнаруженные личинки подлежат дифференциальной диагностике (п. 4.2.3.).</w:t>
      </w:r>
    </w:p>
    <w:p>
      <w:pPr>
        <w:widowControl w:val="0"/>
        <w:spacing w:before="0" w:after="60" w:line="240" w:lineRule="auto"/>
        <w:ind w:firstLine="709"/>
        <w:jc w:val="both"/>
      </w:pPr>
      <w:r>
        <w:rPr>
          <w:rFonts w:ascii="Times New Roman" w:hAnsi="Times New Roman"/>
          <w:sz w:val="28"/>
          <w:szCs w:val="28"/>
        </w:rPr>
        <w:t xml:space="preserve">4.2.2. Выявление в почве (песке) личинок гельминтов методом Супряги:</w:t>
      </w:r>
    </w:p>
    <w:p>
      <w:pPr>
        <w:widowControl w:val="0"/>
        <w:spacing w:before="0" w:after="60" w:line="240" w:lineRule="auto"/>
        <w:ind w:firstLine="709"/>
        <w:jc w:val="both"/>
      </w:pPr>
      <w:r>
        <w:rPr>
          <w:rFonts w:ascii="Times New Roman" w:hAnsi="Times New Roman"/>
          <w:sz w:val="28"/>
          <w:szCs w:val="28"/>
        </w:rPr>
        <w:t xml:space="preserve">в химический стакан помещают 10 г почвы (песка);</w:t>
      </w:r>
    </w:p>
    <w:p>
      <w:pPr>
        <w:widowControl w:val="0"/>
        <w:spacing w:before="0" w:after="60" w:line="240" w:lineRule="auto"/>
        <w:ind w:firstLine="709"/>
        <w:jc w:val="both"/>
      </w:pPr>
      <w:r>
        <w:rPr>
          <w:rFonts w:ascii="Times New Roman" w:hAnsi="Times New Roman"/>
          <w:sz w:val="28"/>
          <w:szCs w:val="28"/>
        </w:rPr>
        <w:t xml:space="preserve">45 ± 2) °С — унифицировать с п. 4.2.1) так, чтобы он полностью покрывал пробу;</w:t>
      </w:r>
    </w:p>
    <w:p>
      <w:pPr>
        <w:widowControl w:val="0"/>
        <w:spacing w:before="0" w:after="60" w:line="240" w:lineRule="auto"/>
        <w:ind w:firstLine="709"/>
        <w:jc w:val="both"/>
      </w:pPr>
      <w:r>
        <w:rPr>
          <w:rFonts w:ascii="Times New Roman" w:hAnsi="Times New Roman"/>
          <w:sz w:val="28"/>
          <w:szCs w:val="28"/>
        </w:rPr>
        <w:t xml:space="preserve">через 20 мин жидкость сливают в чашку Петри и исследуют под стереоскопическим бинокулярным микроскопом. Обнаруженные личинки подлежат дифференциальной диагностике (п. 4.2.3.).</w:t>
      </w:r>
    </w:p>
    <w:p>
      <w:pPr>
        <w:widowControl w:val="0"/>
        <w:spacing w:before="0" w:after="60" w:line="240" w:lineRule="auto"/>
        <w:ind w:firstLine="709"/>
        <w:jc w:val="both"/>
      </w:pPr>
      <w:r>
        <w:rPr>
          <w:rFonts w:ascii="Times New Roman" w:hAnsi="Times New Roman"/>
          <w:sz w:val="28"/>
          <w:szCs w:val="28"/>
        </w:rPr>
        <w:t xml:space="preserve">4.2.3. Дифференциальная диагностика личинок свободноживущих и паразитических нематод методом Корта.</w:t>
      </w:r>
    </w:p>
    <w:p>
      <w:pPr>
        <w:widowControl w:val="0"/>
        <w:spacing w:before="0" w:after="60" w:line="240" w:lineRule="auto"/>
        <w:ind w:firstLine="709"/>
        <w:jc w:val="both"/>
      </w:pPr>
      <w:r>
        <w:rPr>
          <w:rFonts w:ascii="Times New Roman" w:hAnsi="Times New Roman"/>
          <w:sz w:val="28"/>
          <w:szCs w:val="28"/>
        </w:rPr>
        <w:t xml:space="preserve">Принцип метода Корта заключается в воздействии на личинки нематод формалином. При этом личинки свободноживущих нематод погибают быстрее, чем паразитические. Личинки помещают в дистиллированную воду в чашку Петри или на часовое стекло и добавляют 40% раствор формалина в соотношении 1:5 к объему жидкости, в котором содержатся личинки. Личинки свободноживущих нематод погибают (обездвиживаются) через 5 – 8 мин, а паразитические остаются живыми в течение 15 – 20 мин, но подвижность их постепенно замедляется. При добавлении формалина в соотношении 1:25 первые гибнут через 12 мин, тогда как вторые в 95% случаев остаются подвижными.</w:t>
      </w:r>
    </w:p>
    <w:p>
      <w:pPr>
        <w:widowControl w:val="0"/>
        <w:spacing w:before="0" w:after="60" w:line="240" w:lineRule="auto"/>
        <w:ind w:firstLine="709"/>
        <w:jc w:val="both"/>
      </w:pPr>
      <w:r>
        <w:rPr>
          <w:rFonts w:ascii="Times New Roman" w:hAnsi="Times New Roman"/>
          <w:sz w:val="28"/>
          <w:szCs w:val="28"/>
        </w:rPr>
        <w:t xml:space="preserve">4.3. Определение интенсивного показателя загрязнённости почвы (песка), осадков, донных отложений</w:t>
      </w:r>
    </w:p>
    <w:p>
      <w:pPr>
        <w:widowControl w:val="0"/>
        <w:spacing w:before="0" w:after="60" w:line="240" w:lineRule="auto"/>
        <w:ind w:firstLine="709"/>
        <w:jc w:val="both"/>
      </w:pPr>
      <w:r>
        <w:rPr>
          <w:rFonts w:ascii="Times New Roman" w:hAnsi="Times New Roman"/>
          <w:sz w:val="28"/>
          <w:szCs w:val="28"/>
        </w:rPr>
        <w:t xml:space="preserve">4.3.1. Интенсивный показатель загрязнённости объекта цистами (ооцистами) патогенных кишечных простейших (ИПЗц), экз./100 г; яйцами гельминтов (ИПЗя), экз./кг; личинками гельминтов (ИПЗл), экз./кг — вычисляют по формулам (1)–(3).</w:t>
      </w:r>
    </w:p>
    <w:p>
      <w:pPr>
        <w:widowControl w:val="0"/>
        <w:spacing w:before="60" w:after="60" w:line="240" w:lineRule="auto"/>
        <w:contextualSpacing/>
        <w:keepNext/>
        <w:jc w:val="center"/>
      </w:pPr>
      <w:r>
        <w:rPr>
          <w:rFonts w:ascii="Times New Roman" w:hAnsi="Times New Roman"/>
          <w:sz w:val="28"/>
          <w:szCs w:val="28"/>
        </w:rPr>
        <w:t xml:space="preserve">Формула (1):</w:t>
      </w:r>
    </w:p>
    <w:p>
      <w:pPr>
        <w:widowControl w:val="0"/>
        <w:spacing w:before="60" w:after="60" w:line="240" w:lineRule="auto"/>
        <w:contextualSpacing/>
        <w:jc w:val="center"/>
      </w:pPr>
      <m:oMath xmlns:m="http://schemas.openxmlformats.org/officeDocument/2006/math">
        <m:sSub>
          <m:e>
            <m:r>
              <m:rPr>
                <m:sty m:val="i"/>
              </m:rPr>
              <m:t>ИПЗ</m:t>
            </m:r>
          </m:e>
          <m:sub>
            <m:r>
              <m:rPr>
                <m:sty m:val="i"/>
              </m:rPr>
              <m:t>ц</m:t>
            </m:r>
          </m:sub>
        </m:sSub>
        <m:r>
          <m:t>=</m:t>
        </m:r>
        <m:f>
          <m:num>
            <m:r>
              <m:rPr>
                <m:sty m:val="i"/>
              </m:rPr>
              <m:t>n</m:t>
            </m:r>
          </m:num>
          <m:den>
            <m:r>
              <m:rPr>
                <m:sty m:val="i"/>
              </m:rPr>
              <m:t>m</m:t>
            </m:r>
          </m:den>
        </m:f>
        <m:r>
          <m:t>×100</m:t>
        </m:r>
      </m:oMath>
      <w:r>
        <w:rPr>
          <w:rFonts w:ascii="Times New Roman" w:hAnsi="Times New Roman"/>
          <w:sz w:val="28"/>
        </w:rPr>
        <w:t xml:space="preserve">, экз./100 г</w:t>
      </w:r>
    </w:p>
    <w:p>
      <w:pPr>
        <w:widowControl w:val="0"/>
        <w:spacing w:before="60" w:after="60" w:line="240" w:lineRule="auto"/>
        <w:contextualSpacing/>
        <w:keepNext/>
        <w:jc w:val="center"/>
      </w:pPr>
      <w:r>
        <w:rPr>
          <w:rFonts w:ascii="Times New Roman" w:hAnsi="Times New Roman"/>
          <w:sz w:val="28"/>
          <w:szCs w:val="28"/>
        </w:rPr>
        <w:t xml:space="preserve">Формула (2):</w:t>
      </w:r>
    </w:p>
    <w:p>
      <w:pPr>
        <w:widowControl w:val="0"/>
        <w:spacing w:before="60" w:after="60" w:line="240" w:lineRule="auto"/>
        <w:contextualSpacing/>
        <w:jc w:val="center"/>
      </w:pPr>
      <m:oMath xmlns:m="http://schemas.openxmlformats.org/officeDocument/2006/math">
        <m:sSub>
          <m:e>
            <m:r>
              <m:rPr>
                <m:sty m:val="i"/>
              </m:rPr>
              <m:t>ИПЗ</m:t>
            </m:r>
          </m:e>
          <m:sub>
            <m:r>
              <m:rPr>
                <m:sty m:val="i"/>
              </m:rPr>
              <m:t>я</m:t>
            </m:r>
          </m:sub>
        </m:sSub>
        <m:r>
          <m:t>=</m:t>
        </m:r>
        <m:f>
          <m:num>
            <m:r>
              <m:rPr>
                <m:sty m:val="i"/>
              </m:rPr>
              <m:t>n</m:t>
            </m:r>
            <m:r>
              <m:t>×1000</m:t>
            </m:r>
          </m:num>
          <m:den>
            <m:r>
              <m:rPr>
                <m:sty m:val="i"/>
              </m:rPr>
              <m:t>m</m:t>
            </m:r>
          </m:den>
        </m:f>
      </m:oMath>
      <w:r>
        <w:rPr>
          <w:rFonts w:ascii="Times New Roman" w:hAnsi="Times New Roman"/>
          <w:sz w:val="28"/>
        </w:rPr>
        <w:t xml:space="preserve">, экз./кг</w:t>
      </w:r>
    </w:p>
    <w:p>
      <w:pPr>
        <w:widowControl w:val="0"/>
        <w:spacing w:before="60" w:after="60" w:line="240" w:lineRule="auto"/>
        <w:contextualSpacing/>
        <w:keepNext/>
        <w:jc w:val="center"/>
      </w:pPr>
      <w:r>
        <w:rPr>
          <w:rFonts w:ascii="Times New Roman" w:hAnsi="Times New Roman"/>
          <w:sz w:val="28"/>
          <w:szCs w:val="28"/>
        </w:rPr>
        <w:t xml:space="preserve">Формула (3):</w:t>
      </w:r>
    </w:p>
    <w:p>
      <w:pPr>
        <w:widowControl w:val="0"/>
        <w:spacing w:before="60" w:after="60" w:line="240" w:lineRule="auto"/>
        <w:contextualSpacing/>
        <w:jc w:val="center"/>
      </w:pPr>
      <m:oMath xmlns:m="http://schemas.openxmlformats.org/officeDocument/2006/math">
        <m:sSub>
          <m:e>
            <m:r>
              <m:rPr>
                <m:sty m:val="i"/>
              </m:rPr>
              <m:t>ИПЗ</m:t>
            </m:r>
          </m:e>
          <m:sub>
            <m:r>
              <m:rPr>
                <m:sty m:val="i"/>
              </m:rPr>
              <m:t>л</m:t>
            </m:r>
          </m:sub>
        </m:sSub>
        <m:r>
          <m:t>=</m:t>
        </m:r>
        <m:f>
          <m:num>
            <m:r>
              <m:rPr>
                <m:sty m:val="i"/>
              </m:rPr>
              <m:t>n</m:t>
            </m:r>
            <m:r>
              <m:t>×1000</m:t>
            </m:r>
          </m:num>
          <m:den>
            <m:r>
              <m:rPr>
                <m:sty m:val="i"/>
              </m:rPr>
              <m:t>m</m:t>
            </m:r>
          </m:den>
        </m:f>
      </m:oMath>
      <w:r>
        <w:rPr>
          <w:rFonts w:ascii="Times New Roman" w:hAnsi="Times New Roman"/>
          <w:sz w:val="28"/>
        </w:rPr>
        <w:t xml:space="preserve">, экз./кг</w:t>
      </w:r>
    </w:p>
    <w:p>
      <w:pPr>
        <w:widowControl w:val="0"/>
        <w:spacing w:before="0" w:after="60" w:line="240" w:lineRule="auto"/>
        <w:ind w:firstLine="709"/>
        <w:jc w:val="both"/>
      </w:pPr>
      <w:r>
        <w:rPr>
          <w:rFonts w:ascii="Times New Roman" w:hAnsi="Times New Roman"/>
          <w:sz w:val="28"/>
          <w:szCs w:val="28"/>
        </w:rPr>
        <w:t xml:space="preserve">где:</w:t>
      </w:r>
    </w:p>
    <w:p>
      <w:pPr>
        <w:widowControl w:val="0"/>
        <w:spacing w:before="0" w:after="60" w:line="240" w:lineRule="auto"/>
        <w:ind w:firstLine="709"/>
        <w:jc w:val="both"/>
      </w:pPr>
      <w:r>
        <w:rPr>
          <w:rFonts w:ascii="Times New Roman" w:hAnsi="Times New Roman"/>
          <w:sz w:val="28"/>
          <w:szCs w:val="28"/>
        </w:rPr>
        <w:t xml:space="preserve">ИПЗц — интенсивный показатель загрязнённости объекта цистами (ооцистами) патогенных кишечных простейших, экз./100 г;</w:t>
      </w:r>
    </w:p>
    <w:p>
      <w:pPr>
        <w:widowControl w:val="0"/>
        <w:spacing w:before="0" w:after="60" w:line="240" w:lineRule="auto"/>
        <w:ind w:firstLine="709"/>
        <w:jc w:val="both"/>
      </w:pPr>
      <w:r>
        <w:rPr>
          <w:rFonts w:ascii="Times New Roman" w:hAnsi="Times New Roman"/>
          <w:sz w:val="28"/>
          <w:szCs w:val="28"/>
        </w:rPr>
        <w:t xml:space="preserve">ИПЗя — интенсивный показатель загрязнённости объекта яйцами гельминтов, экз./кг;</w:t>
      </w:r>
    </w:p>
    <w:p>
      <w:pPr>
        <w:widowControl w:val="0"/>
        <w:spacing w:before="0" w:after="60" w:line="240" w:lineRule="auto"/>
        <w:ind w:firstLine="709"/>
        <w:jc w:val="both"/>
      </w:pPr>
      <w:r>
        <w:rPr>
          <w:rFonts w:ascii="Times New Roman" w:hAnsi="Times New Roman"/>
          <w:sz w:val="28"/>
          <w:szCs w:val="28"/>
        </w:rPr>
        <w:t xml:space="preserve">ИПЗл — интенсивный показатель загрязнённости объекта личинками гельминтов, экз./кг;</w:t>
      </w:r>
    </w:p>
    <w:p>
      <w:pPr>
        <w:widowControl w:val="0"/>
        <w:spacing w:before="0" w:after="60" w:line="240" w:lineRule="auto"/>
        <w:ind w:firstLine="709"/>
        <w:jc w:val="both"/>
      </w:pPr>
      <w:r>
        <w:rPr>
          <w:rFonts w:ascii="Times New Roman" w:hAnsi="Times New Roman"/>
          <w:sz w:val="28"/>
          <w:szCs w:val="28"/>
        </w:rPr>
        <w:t xml:space="preserve">n — число обнаруженных при микроскопии патогенных агентов (яиц и личинок гельминтов, цист (ооцист) патогенных кишечных простейших) во всём просмотренном материале пробы; если просматривают не весь препарат (осадок), n пересчитывают на весь объём (массу) пробы по п. 4.3.4;</w:t>
      </w:r>
    </w:p>
    <w:p>
      <w:pPr>
        <w:widowControl w:val="0"/>
        <w:spacing w:before="0" w:after="60" w:line="240" w:lineRule="auto"/>
        <w:ind w:firstLine="709"/>
        <w:jc w:val="both"/>
      </w:pPr>
      <w:r>
        <w:rPr>
          <w:rFonts w:ascii="Times New Roman" w:hAnsi="Times New Roman"/>
          <w:sz w:val="28"/>
          <w:szCs w:val="28"/>
        </w:rPr>
        <w:t xml:space="preserve">m — масса пробы (навески), соответствующая просмотренному материалу, г:</w:t>
      </w:r>
    </w:p>
    <w:p>
      <w:pPr>
        <w:widowControl w:val="0"/>
        <w:spacing w:before="0" w:after="60" w:line="240" w:lineRule="auto"/>
        <w:ind w:firstLine="709"/>
        <w:jc w:val="both"/>
      </w:pPr>
      <w:r>
        <w:rPr>
          <w:rFonts w:ascii="Times New Roman" w:hAnsi="Times New Roman"/>
          <w:sz w:val="28"/>
          <w:szCs w:val="28"/>
        </w:rPr>
        <w:t xml:space="preserve">– при определении ИПЗц — m = 25 г (метод Падченко, п. 4.1.4) или суммарно 100 г (4 навески по 25 г; метод Романенко и модифицированный, пп. 4.1.1–4.1.2);</w:t>
      </w:r>
    </w:p>
    <w:p>
      <w:pPr>
        <w:widowControl w:val="0"/>
        <w:spacing w:before="0" w:after="60" w:line="240" w:lineRule="auto"/>
        <w:ind w:firstLine="709"/>
        <w:jc w:val="both"/>
      </w:pPr>
      <w:r>
        <w:rPr>
          <w:rFonts w:ascii="Times New Roman" w:hAnsi="Times New Roman"/>
          <w:sz w:val="28"/>
          <w:szCs w:val="28"/>
        </w:rPr>
        <w:t xml:space="preserve">– при определении ИПЗя — m = 100 г (суммарно 4 навески по 25 г); для пробирок 80–100 см³ — m = 60 г (4 навески по 15 г);</w:t>
      </w:r>
    </w:p>
    <w:p>
      <w:pPr>
        <w:widowControl w:val="0"/>
        <w:spacing w:before="0" w:after="60" w:line="240" w:lineRule="auto"/>
        <w:ind w:firstLine="709"/>
        <w:jc w:val="both"/>
      </w:pPr>
      <w:r>
        <w:rPr>
          <w:rFonts w:ascii="Times New Roman" w:hAnsi="Times New Roman"/>
          <w:sz w:val="28"/>
          <w:szCs w:val="28"/>
        </w:rPr>
        <w:t xml:space="preserve">– при определении ИПЗл — m = 20 г (метод Бермана, п. 4.2.1) или m = 10 г (метод Супряги, п. 4.2.2).</w:t>
      </w:r>
    </w:p>
    <w:p>
      <w:pPr>
        <w:widowControl w:val="0"/>
        <w:spacing w:before="0" w:after="60" w:line="240" w:lineRule="auto"/>
        <w:ind w:firstLine="709"/>
        <w:jc w:val="both"/>
      </w:pPr>
      <w:r>
        <w:rPr>
          <w:rFonts w:ascii="Times New Roman" w:hAnsi="Times New Roman"/>
          <w:sz w:val="28"/>
          <w:szCs w:val="28"/>
        </w:rPr>
        <w:t xml:space="preserve">4.3.2. Значение m принимают по фактически исследованной массе, зафиксированной в рабочем журнале; значение 60 г для ИПЗц (как в редакции 2026-07-15) не применяется — навески 60 г в методах на цисты не предусмотрены.</w:t>
      </w:r>
    </w:p>
    <w:p>
      <w:pPr>
        <w:widowControl w:val="0"/>
        <w:spacing w:before="0" w:after="60" w:line="240" w:lineRule="auto"/>
        <w:ind w:firstLine="709"/>
        <w:jc w:val="both"/>
      </w:pPr>
      <w:r>
        <w:rPr>
          <w:rFonts w:ascii="Times New Roman" w:hAnsi="Times New Roman"/>
          <w:sz w:val="28"/>
          <w:szCs w:val="28"/>
        </w:rPr>
        <w:t xml:space="preserve">4.3.3. Результат округляют до двух значащих цифр; при n = 0 результат выражают как «ниже предела обнаружения» с указанием численного значения предела обнаружения для данного метода (разд. VIII, таблица 8.1), а в протоколе (по требованию сноски 26) — «Не обнаружено».</w:t>
      </w:r>
    </w:p>
    <w:p>
      <w:pPr>
        <w:widowControl w:val="0"/>
        <w:spacing w:before="0" w:after="60" w:line="240" w:lineRule="auto"/>
        <w:ind w:firstLine="709"/>
        <w:jc w:val="both"/>
      </w:pPr>
      <w:r>
        <w:rPr>
          <w:rFonts w:ascii="Times New Roman" w:hAnsi="Times New Roman"/>
          <w:sz w:val="28"/>
          <w:szCs w:val="28"/>
        </w:rPr>
        <w:t xml:space="preserve">4.3.4. Если просматривают часть осадка (например, 1 см³ из V см³), число агентов в пробе вычисляют по формуле </w:t>
      </w:r>
      <w:r>
        <w:rPr>
          <w:rFonts w:ascii="Times New Roman" w:hAnsi="Times New Roman"/>
          <w:sz w:val="28"/>
          <w:szCs w:val="28"/>
        </w:rPr>
        <w:t xml:space="preserve">n</w:t>
      </w:r>
      <w:r>
        <w:rPr>
          <w:rFonts w:ascii="Times New Roman" w:hAnsi="Times New Roman"/>
          <w:sz w:val="28"/>
          <w:vertAlign w:val="subscript"/>
        </w:rPr>
        <w:t xml:space="preserve">общ</w:t>
      </w:r>
      <w:r>
        <w:rPr>
          <w:rFonts w:ascii="Times New Roman" w:hAnsi="Times New Roman"/>
          <w:sz w:val="28"/>
          <w:szCs w:val="28"/>
        </w:rPr>
        <w:t xml:space="preserve"> = n × V / </w:t>
      </w:r>
      <w:r>
        <w:rPr>
          <w:rFonts w:ascii="Times New Roman" w:hAnsi="Times New Roman"/>
          <w:sz w:val="28"/>
          <w:szCs w:val="28"/>
        </w:rPr>
        <w:t xml:space="preserve">V</w:t>
      </w:r>
      <w:r>
        <w:rPr>
          <w:rFonts w:ascii="Times New Roman" w:hAnsi="Times New Roman"/>
          <w:sz w:val="28"/>
          <w:vertAlign w:val="subscript"/>
        </w:rPr>
        <w:t xml:space="preserve">просм</w:t>
      </w:r>
      <w:r>
        <w:rPr>
          <w:rFonts w:ascii="Times New Roman" w:hAnsi="Times New Roman"/>
          <w:sz w:val="28"/>
          <w:szCs w:val="28"/>
        </w:rPr>
        <w:t xml:space="preserve">, где V — общий объём осадка, </w:t>
      </w:r>
      <w:r>
        <w:rPr>
          <w:rFonts w:ascii="Times New Roman" w:hAnsi="Times New Roman"/>
          <w:sz w:val="28"/>
          <w:szCs w:val="28"/>
        </w:rPr>
        <w:t xml:space="preserve">V</w:t>
      </w:r>
      <w:r>
        <w:rPr>
          <w:rFonts w:ascii="Times New Roman" w:hAnsi="Times New Roman"/>
          <w:sz w:val="28"/>
          <w:vertAlign w:val="subscript"/>
        </w:rPr>
        <w:t xml:space="preserve">просм</w:t>
      </w:r>
      <w:r>
        <w:rPr>
          <w:rFonts w:ascii="Times New Roman" w:hAnsi="Times New Roman"/>
          <w:sz w:val="28"/>
          <w:szCs w:val="28"/>
        </w:rPr>
        <w:t xml:space="preserve"> — просмотренный объём; значение V и </w:t>
      </w:r>
      <w:r>
        <w:rPr>
          <w:rFonts w:ascii="Times New Roman" w:hAnsi="Times New Roman"/>
          <w:sz w:val="28"/>
          <w:szCs w:val="28"/>
        </w:rPr>
        <w:t xml:space="preserve">V</w:t>
      </w:r>
      <w:r>
        <w:rPr>
          <w:rFonts w:ascii="Times New Roman" w:hAnsi="Times New Roman"/>
          <w:sz w:val="28"/>
          <w:vertAlign w:val="subscript"/>
        </w:rPr>
        <w:t xml:space="preserve">просм</w:t>
      </w:r>
      <w:r>
        <w:rPr>
          <w:rFonts w:ascii="Times New Roman" w:hAnsi="Times New Roman"/>
          <w:sz w:val="28"/>
          <w:szCs w:val="28"/>
        </w:rPr>
        <w:t xml:space="preserve"> фиксируют в протоколе. Без этой записи пересчёт n на всю пробу недействителен.</w:t>
      </w:r>
    </w:p>
    <w:p>
      <w:pPr>
        <w:widowControl w:val="0"/>
        <w:spacing w:before="0" w:after="60" w:line="240" w:lineRule="auto"/>
        <w:ind w:firstLine="709"/>
        <w:jc w:val="both"/>
      </w:pPr>
      <w:r>
        <w:rPr>
          <w:rFonts w:ascii="Times New Roman" w:hAnsi="Times New Roman"/>
          <w:sz w:val="28"/>
          <w:szCs w:val="28"/>
        </w:rPr>
        <w:t xml:space="preserve">4.4. Методы исследования осадков сточных вод и донных отложений на яйца гельминтов и цисты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4.4.1. Исследование осадков сточных вод и донных отложений методом Романенко (1996) на яйца гельминтов или модифицированным методом Романенко на яйца гельминтов и цисты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4.4.1.1. Пробоподготовка обезвоженного осадка сточных вод (влажность 70% и ниже) и донных отложений:</w:t>
      </w:r>
    </w:p>
    <w:p>
      <w:pPr>
        <w:widowControl w:val="0"/>
        <w:spacing w:before="0" w:after="60" w:line="240" w:lineRule="auto"/>
        <w:ind w:firstLine="709"/>
        <w:jc w:val="both"/>
      </w:pPr>
      <w:r>
        <w:rPr>
          <w:rFonts w:ascii="Times New Roman" w:hAnsi="Times New Roman"/>
          <w:sz w:val="28"/>
          <w:szCs w:val="28"/>
        </w:rPr>
        <w:t xml:space="preserve">из объединенной пробы обезвоженного осадка сточных вод (влажность 70% и ниже) и донных отложений отбирают 4 навески по 25 г и помещают в центрифужные пробирки объемом 250 мл (в случае отсутствия таковых можно использовать пробирки объемом 80 – 100 мл, но помещать в них следует не более 15 г осадка; влажность указывают дополнительно (см. п. 4.3);</w:t>
      </w:r>
    </w:p>
    <w:p>
      <w:pPr>
        <w:widowControl w:val="0"/>
        <w:spacing w:before="0" w:after="60" w:line="240" w:lineRule="auto"/>
        <w:ind w:firstLine="709"/>
        <w:jc w:val="both"/>
      </w:pPr>
      <w:r>
        <w:rPr>
          <w:rFonts w:ascii="Times New Roman" w:hAnsi="Times New Roman"/>
          <w:sz w:val="28"/>
          <w:szCs w:val="28"/>
        </w:rPr>
        <w:t xml:space="preserve">добавляют в каждую пробирку 150 мл (60 мл для пробирок объемом 80 – 100 мл) чистой воды и тщательно перемешивают стеклянной палочкой;</w:t>
      </w:r>
    </w:p>
    <w:p>
      <w:pPr>
        <w:widowControl w:val="0"/>
        <w:spacing w:before="0" w:after="60" w:line="240" w:lineRule="auto"/>
        <w:ind w:firstLine="709"/>
        <w:jc w:val="both"/>
      </w:pPr>
      <w:r>
        <w:rPr>
          <w:rFonts w:ascii="Times New Roman" w:hAnsi="Times New Roman"/>
          <w:sz w:val="28"/>
          <w:szCs w:val="28"/>
        </w:rPr>
        <w:t xml:space="preserve">смесь центрифугируют 5 мин при 1000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 а к осадку вновь доливают 150 мл (60 мл для пробирок объемом 80 – 100 мл) чистой воды. Промывку осадка проводят 2 – 5 раз, до получения чистой надосадочной жидкости.</w:t>
      </w:r>
    </w:p>
    <w:p>
      <w:pPr>
        <w:widowControl w:val="0"/>
        <w:spacing w:before="0" w:after="60" w:line="240" w:lineRule="auto"/>
        <w:ind w:firstLine="709"/>
        <w:jc w:val="both"/>
      </w:pPr>
      <w:r>
        <w:rPr>
          <w:rFonts w:ascii="Times New Roman" w:hAnsi="Times New Roman"/>
          <w:sz w:val="28"/>
          <w:szCs w:val="28"/>
        </w:rPr>
        <w:t xml:space="preserve">4.4.1.2. Пробоподготовка «сырого» осадка сточных вод (влажность 97 – 98%) и донных отложений:</w:t>
      </w:r>
    </w:p>
    <w:p>
      <w:pPr>
        <w:widowControl w:val="0"/>
        <w:spacing w:before="0" w:after="60" w:line="240" w:lineRule="auto"/>
        <w:ind w:firstLine="709"/>
        <w:jc w:val="both"/>
      </w:pPr>
      <w:r>
        <w:rPr>
          <w:rFonts w:ascii="Times New Roman" w:hAnsi="Times New Roman"/>
          <w:sz w:val="28"/>
          <w:szCs w:val="28"/>
        </w:rPr>
        <w:t xml:space="preserve">«сырой» осадок сточных вод (влажность 97 – 98%) и донные отложения предварительно обезвоживают. В центрифужные пробирки объемом 250 мл помещают 100 – 150 мл осадка или донных отложений (в пробирки объемом 80 – 100 мл помещают по 30 – 45 мл жидкого осадка или донных отложений);</w:t>
      </w:r>
    </w:p>
    <w:p>
      <w:pPr>
        <w:widowControl w:val="0"/>
        <w:spacing w:before="0" w:after="60" w:line="240" w:lineRule="auto"/>
        <w:ind w:firstLine="709"/>
        <w:jc w:val="both"/>
      </w:pPr>
      <w:r>
        <w:rPr>
          <w:rFonts w:ascii="Times New Roman" w:hAnsi="Times New Roman"/>
          <w:sz w:val="28"/>
          <w:szCs w:val="28"/>
        </w:rPr>
        <w:t xml:space="preserve">центрифугируют в течение 5 мин при 1000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 а к осадку доливают 100 – 150 мл чистой воды и хорошо перемешивают стеклянной палочкой в течение 1 – 2 мин, снова центрифугируют. Промывку осадка проводят 2 – 3 раза, надосадочную жидкость удаляют, исследуют осадок.</w:t>
      </w:r>
    </w:p>
    <w:p>
      <w:pPr>
        <w:widowControl w:val="0"/>
        <w:spacing w:before="0" w:after="60" w:line="240" w:lineRule="auto"/>
        <w:ind w:firstLine="709"/>
        <w:jc w:val="both"/>
      </w:pPr>
      <w:r>
        <w:rPr>
          <w:rFonts w:ascii="Times New Roman" w:hAnsi="Times New Roman"/>
          <w:sz w:val="28"/>
          <w:szCs w:val="28"/>
        </w:rPr>
        <w:t xml:space="preserve">4.4.2. Промытый осадок, полученный в п. 4.4.1.1. и 4.4.1.2. исследуют методом Романенко (1996) на яйца гельминтов или модифицированным методом Романенко на яйца гельминтов и цисты (ооцисты) патогенных простейших (п. 4.1.1., 4.1.2.).</w:t>
      </w:r>
    </w:p>
    <w:p>
      <w:pPr>
        <w:widowControl w:val="0"/>
        <w:spacing w:before="0" w:after="60" w:line="240" w:lineRule="auto"/>
        <w:ind w:firstLine="709"/>
        <w:jc w:val="both"/>
      </w:pPr>
      <w:r>
        <w:rPr>
          <w:rFonts w:ascii="Times New Roman" w:hAnsi="Times New Roman"/>
          <w:sz w:val="28"/>
          <w:szCs w:val="28"/>
        </w:rPr>
        <w:t xml:space="preserve">4.4.3. Исследование на цисты (ооцисты) патогенных кишечных простейших осадков сточных вод и донных отложений методом Падченко (1992) проводят в соответствии с п. 4.1.4.</w:t>
      </w:r>
    </w:p>
    <w:p>
      <w:pPr>
        <w:widowControl w:val="0"/>
        <w:spacing w:before="0" w:after="60" w:line="240" w:lineRule="auto"/>
        <w:ind w:firstLine="709"/>
        <w:jc w:val="both"/>
      </w:pPr>
      <w:r>
        <w:rPr>
          <w:rFonts w:ascii="Times New Roman" w:hAnsi="Times New Roman"/>
          <w:sz w:val="28"/>
          <w:szCs w:val="28"/>
        </w:rPr>
        <w:t xml:space="preserve">4.5. Методы исследования воды питьевой, в том числе упакованной, систем питьевого водоснабжения, поверхностных водоемов, морской, сточной воды, бассейнов и аквапарков на яйца и личинки гельминтов, цисты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Исследованию подлежат разные виды вод, пробы которых предварительно фильтруются на мембранных или порошковых фильтрах, или концентрируются с применением коагулянтов: сульфата алюминия, сульфата железа, сульфата меди (приложение 2 к настоящим МУК). Осадок, полученный при концентрировании проб воды, перед исследованием необходимо растворить.</w:t>
      </w:r>
    </w:p>
    <w:p>
      <w:pPr>
        <w:widowControl w:val="0"/>
        <w:spacing w:before="0" w:after="60" w:line="240" w:lineRule="auto"/>
        <w:ind w:firstLine="709"/>
        <w:jc w:val="both"/>
      </w:pPr>
      <w:r>
        <w:rPr>
          <w:rFonts w:ascii="Times New Roman" w:hAnsi="Times New Roman"/>
          <w:sz w:val="28"/>
          <w:szCs w:val="28"/>
        </w:rPr>
        <w:t xml:space="preserve">4.5.1. Исследование проб воды (сточной, воды открытых водоемов и морей) с применением коагулянта методом Романенко (1996) на яйца гельминтов или модифицированным методом Романенко на яйца гельминтов и цисты (ооцисты) патогенных простейших или методом Падченко (1992) на цисты (ооцисты) патогенных кишечных простейших.</w:t>
      </w:r>
    </w:p>
    <w:p>
      <w:pPr>
        <w:widowControl w:val="0"/>
        <w:spacing w:before="0" w:after="60" w:line="240" w:lineRule="auto"/>
        <w:ind w:firstLine="709"/>
        <w:jc w:val="both"/>
      </w:pPr>
      <w:r>
        <w:rPr>
          <w:rFonts w:ascii="Times New Roman" w:hAnsi="Times New Roman"/>
          <w:sz w:val="28"/>
          <w:szCs w:val="28"/>
        </w:rPr>
        <w:t xml:space="preserve">4.5.1.1. Пробоподготовка проб воды после коагуляции:</w:t>
      </w:r>
    </w:p>
    <w:p>
      <w:pPr>
        <w:widowControl w:val="0"/>
        <w:spacing w:before="0" w:after="60" w:line="240" w:lineRule="auto"/>
        <w:ind w:firstLine="709"/>
        <w:jc w:val="both"/>
      </w:pPr>
      <w:r>
        <w:rPr>
          <w:rFonts w:ascii="Times New Roman" w:hAnsi="Times New Roman"/>
          <w:sz w:val="28"/>
          <w:szCs w:val="28"/>
        </w:rPr>
        <w:t xml:space="preserve">концентрированный осадок пробы воды после коагуляции помещают в пробирки объемом 100 – 250 мл (равномерно распределяя);</w:t>
      </w:r>
    </w:p>
    <w:p>
      <w:pPr>
        <w:widowControl w:val="0"/>
        <w:spacing w:before="0" w:after="60" w:line="240" w:lineRule="auto"/>
        <w:ind w:firstLine="709"/>
        <w:jc w:val="both"/>
      </w:pPr>
      <w:r>
        <w:rPr>
          <w:rFonts w:ascii="Times New Roman" w:hAnsi="Times New Roman"/>
          <w:sz w:val="28"/>
          <w:szCs w:val="28"/>
        </w:rPr>
        <w:t xml:space="preserve">центрифугируют в течение 3 мин при 1000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w:t>
      </w:r>
    </w:p>
    <w:p>
      <w:pPr>
        <w:widowControl w:val="0"/>
        <w:spacing w:before="0" w:after="60" w:line="240" w:lineRule="auto"/>
        <w:ind w:firstLine="709"/>
        <w:jc w:val="both"/>
      </w:pPr>
      <w:r>
        <w:rPr>
          <w:rFonts w:ascii="Times New Roman" w:hAnsi="Times New Roman"/>
          <w:sz w:val="28"/>
          <w:szCs w:val="28"/>
        </w:rPr>
        <w:t xml:space="preserve">к осадку добавляют 5 – 20 мл 3% раствора соляной кислоты до полного растворения хлопьев коагулянта, тщательно размешивают;</w:t>
      </w:r>
    </w:p>
    <w:p>
      <w:pPr>
        <w:widowControl w:val="0"/>
        <w:spacing w:before="0" w:after="60" w:line="240" w:lineRule="auto"/>
        <w:ind w:firstLine="709"/>
        <w:jc w:val="both"/>
      </w:pPr>
      <w:r>
        <w:rPr>
          <w:rFonts w:ascii="Times New Roman" w:hAnsi="Times New Roman"/>
          <w:sz w:val="28"/>
          <w:szCs w:val="28"/>
        </w:rPr>
        <w:t xml:space="preserve">доливают в пробирки объемом 250 мл - 150 мл чистой воды, в пробирки 100 мл - 50 мл чистой воды и перемешивают в течение 1 – 2 мин;</w:t>
      </w:r>
    </w:p>
    <w:p>
      <w:pPr>
        <w:widowControl w:val="0"/>
        <w:spacing w:before="0" w:after="60" w:line="240" w:lineRule="auto"/>
        <w:ind w:firstLine="709"/>
        <w:jc w:val="both"/>
      </w:pPr>
      <w:r>
        <w:rPr>
          <w:rFonts w:ascii="Times New Roman" w:hAnsi="Times New Roman"/>
          <w:sz w:val="28"/>
          <w:szCs w:val="28"/>
        </w:rPr>
        <w:t xml:space="preserve">центрифугируют смесь 3 мин при 1000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 исследуют осадок.</w:t>
      </w:r>
    </w:p>
    <w:p>
      <w:pPr>
        <w:widowControl w:val="0"/>
        <w:spacing w:before="0" w:after="60" w:line="240" w:lineRule="auto"/>
        <w:ind w:firstLine="709"/>
        <w:jc w:val="both"/>
      </w:pPr>
      <w:r>
        <w:rPr>
          <w:rFonts w:ascii="Times New Roman" w:hAnsi="Times New Roman"/>
          <w:sz w:val="28"/>
          <w:szCs w:val="28"/>
        </w:rPr>
        <w:t xml:space="preserve">4.5.1.2. Полученный осадок исследуют методом Романенко (1996) на яйца гельминтов или модифицированным методом Романенко на яйца гельминтов и цисты (ооцисты) патогенных простейших (п. 4.1.1., 4.1.2.) или методом Падченко (1992) на цисты (ооцисты) патогенных кишечных простейших.</w:t>
      </w:r>
    </w:p>
    <w:p>
      <w:pPr>
        <w:widowControl w:val="0"/>
        <w:spacing w:before="0" w:after="60" w:line="240" w:lineRule="auto"/>
        <w:ind w:firstLine="709"/>
        <w:jc w:val="both"/>
      </w:pPr>
      <w:r>
        <w:rPr>
          <w:rFonts w:ascii="Times New Roman" w:hAnsi="Times New Roman"/>
          <w:sz w:val="28"/>
          <w:szCs w:val="28"/>
        </w:rPr>
        <w:t xml:space="preserve">4.5.2. Исследование сточных вод на цисты (ооцисты) патогенных кишечных простейших методом Падченко (1992).</w:t>
      </w:r>
    </w:p>
    <w:p>
      <w:pPr>
        <w:widowControl w:val="0"/>
        <w:spacing w:before="0" w:after="60" w:line="240" w:lineRule="auto"/>
        <w:ind w:firstLine="709"/>
        <w:jc w:val="both"/>
      </w:pPr>
      <w:r>
        <w:rPr>
          <w:rFonts w:ascii="Times New Roman" w:hAnsi="Times New Roman"/>
          <w:sz w:val="28"/>
          <w:szCs w:val="28"/>
        </w:rPr>
        <w:t xml:space="preserve">концентрированный осадок пробы воды после коагуляции помещают в пробирки объемом 100 – 250 мл (равномерно распределяя);</w:t>
      </w:r>
    </w:p>
    <w:p>
      <w:pPr>
        <w:widowControl w:val="0"/>
        <w:spacing w:before="0" w:after="60" w:line="240" w:lineRule="auto"/>
        <w:ind w:firstLine="709"/>
        <w:jc w:val="both"/>
      </w:pPr>
      <w:r>
        <w:rPr>
          <w:rFonts w:ascii="Times New Roman" w:hAnsi="Times New Roman"/>
          <w:sz w:val="28"/>
          <w:szCs w:val="28"/>
        </w:rPr>
        <w:t xml:space="preserve">центрифугируют в течение 3 мин при 1000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w:t>
      </w:r>
    </w:p>
    <w:p>
      <w:pPr>
        <w:widowControl w:val="0"/>
        <w:spacing w:before="0" w:after="60" w:line="240" w:lineRule="auto"/>
        <w:ind w:firstLine="709"/>
        <w:jc w:val="both"/>
      </w:pPr>
      <w:r>
        <w:rPr>
          <w:rFonts w:ascii="Times New Roman" w:hAnsi="Times New Roman"/>
          <w:sz w:val="28"/>
          <w:szCs w:val="28"/>
        </w:rPr>
        <w:t xml:space="preserve">к осадку добавляют 5 – 20 мл 3% раствора соляной кислоты для растворения хлопьев коагулянта и тщательно размешивают;</w:t>
      </w:r>
    </w:p>
    <w:p>
      <w:pPr>
        <w:widowControl w:val="0"/>
        <w:spacing w:before="0" w:after="60" w:line="240" w:lineRule="auto"/>
        <w:ind w:firstLine="709"/>
        <w:jc w:val="both"/>
      </w:pPr>
      <w:r>
        <w:rPr>
          <w:rFonts w:ascii="Times New Roman" w:hAnsi="Times New Roman"/>
          <w:sz w:val="28"/>
          <w:szCs w:val="28"/>
        </w:rPr>
        <w:t xml:space="preserve">эту смесь разбавляют в цилиндре водопроводной водой и доводят до 1 л и отстаивают в течение 12 – 16 ч;</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w:t>
      </w:r>
    </w:p>
    <w:p>
      <w:pPr>
        <w:widowControl w:val="0"/>
        <w:spacing w:before="0" w:after="60" w:line="240" w:lineRule="auto"/>
        <w:ind w:firstLine="709"/>
        <w:jc w:val="both"/>
      </w:pPr>
      <w:r>
        <w:rPr>
          <w:rFonts w:ascii="Times New Roman" w:hAnsi="Times New Roman"/>
          <w:sz w:val="28"/>
          <w:szCs w:val="28"/>
        </w:rPr>
        <w:t xml:space="preserve">осадок переносят в центрифужные пробирки и центрифугируют 5 мин при 1000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сливают;</w:t>
      </w:r>
    </w:p>
    <w:p>
      <w:pPr>
        <w:widowControl w:val="0"/>
        <w:spacing w:before="0" w:after="60" w:line="240" w:lineRule="auto"/>
        <w:ind w:firstLine="709"/>
        <w:jc w:val="both"/>
      </w:pPr>
      <w:r>
        <w:rPr>
          <w:rFonts w:ascii="Times New Roman" w:hAnsi="Times New Roman"/>
          <w:sz w:val="28"/>
          <w:szCs w:val="28"/>
        </w:rPr>
        <w:t xml:space="preserve">из осадка готовят препараты на предметных стеклах в виде мазка или капли (в зависимости от прозрачности осадка), окрашивают 1% раствором Люголя, накрывают покровным стеклом и микроскопируют не менее 1 мл осадка. Микроскопирование препаратов следует проводить в течение 2 – 3 суток после их приготовления;</w:t>
      </w:r>
    </w:p>
    <w:p>
      <w:pPr>
        <w:widowControl w:val="0"/>
        <w:spacing w:before="0" w:after="60" w:line="240" w:lineRule="auto"/>
        <w:ind w:firstLine="709"/>
        <w:jc w:val="both"/>
      </w:pPr>
      <w:r>
        <w:rPr>
          <w:rFonts w:ascii="Times New Roman" w:hAnsi="Times New Roman"/>
          <w:sz w:val="28"/>
          <w:szCs w:val="28"/>
        </w:rPr>
        <w:t xml:space="preserve">микрокопирование проводят при увеличении: окуляр × 10, объектив × 10, далее объектив × 40.</w:t>
      </w:r>
    </w:p>
    <w:p>
      <w:pPr>
        <w:widowControl w:val="0"/>
        <w:spacing w:before="0" w:after="60" w:line="240" w:lineRule="auto"/>
        <w:ind w:firstLine="709"/>
        <w:jc w:val="both"/>
      </w:pPr>
      <w:r>
        <w:rPr>
          <w:rFonts w:ascii="Times New Roman" w:hAnsi="Times New Roman"/>
          <w:sz w:val="28"/>
          <w:szCs w:val="28"/>
        </w:rPr>
        <w:t xml:space="preserve">4.5.3. Полученный осадок (п. 4.5.1.1.) исследуют на выявление личинок гельминтов (нематод) методом Бермана (п. 4.2.1.) (1942 г.) или методом Супряги (п. 4.2.2.). Дифференциальная диагностика личинок свободноживущих и паразитических нематод проводится методом Корта (п. 4.2.3.).</w:t>
      </w:r>
    </w:p>
    <w:p>
      <w:pPr>
        <w:widowControl w:val="0"/>
        <w:spacing w:before="0" w:after="60" w:line="240" w:lineRule="auto"/>
        <w:ind w:firstLine="709"/>
        <w:jc w:val="both"/>
      </w:pPr>
      <w:r>
        <w:rPr>
          <w:rFonts w:ascii="Times New Roman" w:hAnsi="Times New Roman"/>
          <w:sz w:val="28"/>
          <w:szCs w:val="28"/>
        </w:rPr>
        <w:t xml:space="preserve">4.5.4. Исследование разных видов вод на яйца и личинки гельминтов, цисты (ооцисты) патогенных простейших флотационным методом: 10 мин при (200 ± 20) g</w:t>
      </w:r>
    </w:p>
    <w:p>
      <w:pPr>
        <w:widowControl w:val="0"/>
        <w:spacing w:before="0" w:after="60" w:line="240" w:lineRule="auto"/>
        <w:ind w:firstLine="709"/>
        <w:jc w:val="both"/>
      </w:pPr>
      <w:r>
        <w:rPr>
          <w:rFonts w:ascii="Times New Roman" w:hAnsi="Times New Roman"/>
          <w:sz w:val="28"/>
          <w:szCs w:val="28"/>
        </w:rPr>
        <w:t xml:space="preserve">пробу воды фильтруют на одном из фильтровальных приборов ПВФ-35, ПВФ-47, ПВФ-142 (в т.ч. ПВФ-142/ЭМ и их модификации (в соответствии с инструкцией) через мембранные фильтры типа МФАС-СПА или АТМ с диаметром пор 2,5 – 3,0 мкм;</w:t>
      </w:r>
    </w:p>
    <w:p>
      <w:pPr>
        <w:widowControl w:val="0"/>
        <w:spacing w:before="0" w:after="60" w:line="240" w:lineRule="auto"/>
        <w:ind w:firstLine="709"/>
        <w:jc w:val="both"/>
      </w:pPr>
      <w:r>
        <w:rPr>
          <w:rFonts w:ascii="Times New Roman" w:hAnsi="Times New Roman"/>
          <w:sz w:val="28"/>
          <w:szCs w:val="28"/>
        </w:rPr>
        <w:t xml:space="preserve">осадок с мембранных фильтров смывают кисточкой в 10 мл дистиллированной воды (на один фильтр) в химический стакан, чашку Петри или лоток;</w:t>
      </w:r>
    </w:p>
    <w:p>
      <w:pPr>
        <w:widowControl w:val="0"/>
        <w:spacing w:before="0" w:after="60" w:line="240" w:lineRule="auto"/>
        <w:ind w:firstLine="709"/>
        <w:jc w:val="both"/>
      </w:pPr>
      <w:r>
        <w:rPr>
          <w:rFonts w:ascii="Times New Roman" w:hAnsi="Times New Roman"/>
          <w:sz w:val="28"/>
          <w:szCs w:val="28"/>
        </w:rPr>
        <w:t xml:space="preserve">весь полученный смыв с мембранных фильтров центрифугируют в пробирках объемом 10 мл и более в течение 5 мин при 1500 об/мин, надосадочную жидкость удаляют; в пробирку с осадком добавляют 6 – 8 мл дистиллированной воды или 2% водного раствора формалина (если не проводится исследование на жизнеспособность) и тщательно размешивают стеклянной палочкой;</w:t>
      </w:r>
    </w:p>
    <w:p>
      <w:pPr>
        <w:widowControl w:val="0"/>
        <w:spacing w:before="0" w:after="60" w:line="240" w:lineRule="auto"/>
        <w:ind w:firstLine="709"/>
        <w:jc w:val="both"/>
      </w:pPr>
      <w:r>
        <w:rPr>
          <w:rFonts w:ascii="Times New Roman" w:hAnsi="Times New Roman"/>
          <w:sz w:val="28"/>
          <w:szCs w:val="28"/>
        </w:rPr>
        <w:t xml:space="preserve">суспензию вновь центрифугируют в течение 5 мин при 1500 об/мин, надосадочную жидкость удаляют;</w:t>
      </w:r>
    </w:p>
    <w:p>
      <w:pPr>
        <w:widowControl w:val="0"/>
        <w:spacing w:before="0" w:after="60" w:line="240" w:lineRule="auto"/>
        <w:ind w:firstLine="709"/>
        <w:jc w:val="both"/>
      </w:pPr>
      <w:r>
        <w:rPr>
          <w:rFonts w:ascii="Times New Roman" w:hAnsi="Times New Roman"/>
          <w:sz w:val="28"/>
          <w:szCs w:val="28"/>
        </w:rPr>
        <w:t xml:space="preserve">к осадку добавляют 3 мл одного из флотационных растворов с плотностью (1,30 ± 0,02) г/см³ (для яиц гельминтов с ρ ≤ 1,26 допустимо 1,26–1,30 по таблице Прил. 3, для Trichurus — 1,45–1,50... (приложение 3 к настоящим МУК) и тщательно перемешивают стеклянной палочкой;</w:t>
      </w:r>
    </w:p>
    <w:p>
      <w:pPr>
        <w:widowControl w:val="0"/>
        <w:spacing w:before="0" w:after="60" w:line="240" w:lineRule="auto"/>
        <w:ind w:firstLine="709"/>
        <w:jc w:val="both"/>
      </w:pPr>
      <w:r>
        <w:rPr>
          <w:rFonts w:ascii="Times New Roman" w:hAnsi="Times New Roman"/>
          <w:sz w:val="28"/>
          <w:szCs w:val="28"/>
        </w:rPr>
        <w:t xml:space="preserve">центрифугируют 10 мин при 1500 об/мин или 5 мин при 2000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переносят в центрифужную пробирку, разбавляя дистиллированной водой в соотношении 1:4, затем центрифугируют в течение 5 мин при 1500 об/мин, надосадочную жидкость удаляют;</w:t>
      </w:r>
    </w:p>
    <w:p>
      <w:pPr>
        <w:widowControl w:val="0"/>
        <w:spacing w:before="0" w:after="60" w:line="240" w:lineRule="auto"/>
        <w:ind w:firstLine="709"/>
        <w:jc w:val="both"/>
      </w:pPr>
      <w:r>
        <w:rPr>
          <w:rFonts w:ascii="Times New Roman" w:hAnsi="Times New Roman"/>
          <w:sz w:val="28"/>
          <w:szCs w:val="28"/>
        </w:rPr>
        <w:t xml:space="preserve">осадок можно исследовать одним из двух методов: нативная (прямая) микроскопия препаратов или метод иммуномагнитного разделения и мечения флуоресцирующими антителами (ИМС) (п. 4.7.);</w:t>
      </w:r>
    </w:p>
    <w:p>
      <w:pPr>
        <w:widowControl w:val="0"/>
        <w:spacing w:before="0" w:after="60" w:line="240" w:lineRule="auto"/>
        <w:ind w:firstLine="709"/>
        <w:jc w:val="both"/>
      </w:pPr>
      <w:r>
        <w:rPr>
          <w:rFonts w:ascii="Times New Roman" w:hAnsi="Times New Roman"/>
          <w:sz w:val="28"/>
          <w:szCs w:val="28"/>
        </w:rPr>
        <w:t xml:space="preserve">для микроскопии готовят препараты в виде мазка или капли (в зависимости от прозрачности осадка) на предметных стеклах. При исследовании на цисты (ооцисты) патогенных простейших микропрепараты до нанесения покровного стекла окрашивают 1% раствором Люголя;</w:t>
      </w:r>
    </w:p>
    <w:p>
      <w:pPr>
        <w:widowControl w:val="0"/>
        <w:spacing w:before="0" w:after="60" w:line="240" w:lineRule="auto"/>
        <w:ind w:firstLine="709"/>
        <w:jc w:val="both"/>
      </w:pPr>
      <w:r>
        <w:rPr>
          <w:rFonts w:ascii="Times New Roman" w:hAnsi="Times New Roman"/>
          <w:sz w:val="28"/>
          <w:szCs w:val="28"/>
        </w:rPr>
        <w:t xml:space="preserve">микроскопирование проводят при увеличении: окуляр × 10, объектив × 10, далее объектив × 40. Определяют вид (род/семейство) выявленных яиц и личинок гельминтов, при необходимости определяют их жизнеспособность (раздел 5 настоящих МУК), вид выявленных цист (ооцист) патогенных простейших (приложение 4 к настоящему МУК).</w:t>
      </w:r>
    </w:p>
    <w:p>
      <w:pPr>
        <w:widowControl w:val="0"/>
        <w:spacing w:before="0" w:after="60" w:line="240" w:lineRule="auto"/>
        <w:ind w:firstLine="709"/>
        <w:jc w:val="both"/>
      </w:pPr>
      <w:r>
        <w:rPr>
          <w:rFonts w:ascii="Times New Roman" w:hAnsi="Times New Roman"/>
          <w:sz w:val="28"/>
          <w:szCs w:val="28"/>
        </w:rPr>
        <w:t xml:space="preserve">4.5.5. Исследование разных видов вод методом последовательной фильтрации через систему прозрачных аналитических трековых мембран (АТМ) на яйца и личинки гельминтов, цисты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предварительно на заборное устройство прибора для фильтрования крепится предфильтр с размером пор (60–70) мкм (при наличии значительного количества примесей в воде). Аналитическую трековую мембрану (ATM) с диаметром пор 5,0 мкм помещают на фритту фильтродержателя прибора для фильтрования и сверху укладывают предфильтр с размером пор 25,0 мкм, уплотняют кольцом из эластичной резины. Для плотного (без складок) прилегания АТМ к фритте рекомендуется смочить мембрану дистиллированной водой и плотно уложить на фритту фильтродержателя. Далее закрепляют крышкой и проводят фильтрацию в соответствии с инструкцией к прибору. Необходимо профильтровывать пробу воды в отдельную емкость, т.к. она будет подвергаться повторной фильтрации;</w:t>
      </w:r>
    </w:p>
    <w:p>
      <w:pPr>
        <w:widowControl w:val="0"/>
        <w:spacing w:before="0" w:after="60" w:line="240" w:lineRule="auto"/>
        <w:ind w:firstLine="709"/>
        <w:jc w:val="both"/>
      </w:pPr>
      <w:r>
        <w:rPr>
          <w:rFonts w:ascii="Times New Roman" w:hAnsi="Times New Roman"/>
          <w:sz w:val="28"/>
          <w:szCs w:val="28"/>
        </w:rPr>
        <w:t xml:space="preserve">при использовании прибора вакуумного фильтрования, снабженного двумя фриттами, размещенными одна под другой, на верхнюю фритту поместить АТМ с диаметром пор 5,0 мкм, сверху поместить предфильтр с диаметром пор 25,0 мкм, а на нижнюю фритту поместить АТМ с диаметром пор 2,5 мкм;</w:t>
      </w:r>
    </w:p>
    <w:p>
      <w:pPr>
        <w:widowControl w:val="0"/>
        <w:spacing w:before="0" w:after="60" w:line="240" w:lineRule="auto"/>
        <w:ind w:firstLine="709"/>
        <w:jc w:val="both"/>
      </w:pPr>
      <w:r>
        <w:rPr>
          <w:rFonts w:ascii="Times New Roman" w:hAnsi="Times New Roman"/>
          <w:sz w:val="28"/>
          <w:szCs w:val="28"/>
        </w:rPr>
        <w:t xml:space="preserve">профильтровать воду через АТМ;</w:t>
      </w:r>
    </w:p>
    <w:p>
      <w:pPr>
        <w:widowControl w:val="0"/>
        <w:spacing w:before="0" w:after="60" w:line="240" w:lineRule="auto"/>
        <w:ind w:firstLine="709"/>
        <w:jc w:val="both"/>
      </w:pPr>
      <w:r>
        <w:rPr>
          <w:rFonts w:ascii="Times New Roman" w:hAnsi="Times New Roman"/>
          <w:sz w:val="28"/>
          <w:szCs w:val="28"/>
        </w:rPr>
        <w:t xml:space="preserve">после фильтрации АТМ (5,0 мкм) и предфильтр снять пинцетом с фритты и перенести в лоток;</w:t>
      </w:r>
    </w:p>
    <w:p>
      <w:pPr>
        <w:widowControl w:val="0"/>
        <w:spacing w:before="0" w:after="60" w:line="240" w:lineRule="auto"/>
        <w:ind w:firstLine="709"/>
        <w:jc w:val="both"/>
      </w:pPr>
      <w:r>
        <w:rPr>
          <w:rFonts w:ascii="Times New Roman" w:hAnsi="Times New Roman"/>
          <w:sz w:val="28"/>
          <w:szCs w:val="28"/>
        </w:rPr>
        <w:t xml:space="preserve">профильтрованную в отдельную емкость пробу воды повторно фильтруют с использованием АТМ с диаметром пор 2,5 мкм, которую укладывают на фритту фильтродержателя между двумя уплотнительными кольцами. После второго этапа фильтрации АТМ осторожно снимают пинцетом с фритты и переносят в лоток;</w:t>
      </w:r>
    </w:p>
    <w:p>
      <w:pPr>
        <w:widowControl w:val="0"/>
        <w:spacing w:before="0" w:after="60" w:line="240" w:lineRule="auto"/>
        <w:ind w:firstLine="709"/>
        <w:jc w:val="both"/>
      </w:pPr>
      <w:r>
        <w:rPr>
          <w:rFonts w:ascii="Times New Roman" w:hAnsi="Times New Roman"/>
          <w:sz w:val="28"/>
          <w:szCs w:val="28"/>
        </w:rPr>
        <w:t xml:space="preserve">с предфильтра и двух АТМ тщательно, придерживая диск с мембраной пинцетом за край, производят смыв осадка с обеих поверхностей мембран. Смыв проводят плоской, средней жесткости или круглой мягкой кисточкой в лоток с дистиллированной водой, при этом периодически споласкивают мембраны и диски дистиллированной водой из химического стакана. Общий объем дистиллированной воды при смыве осадка со всех 3 фильтров не должен превышать 500 мл;</w:t>
      </w:r>
    </w:p>
    <w:p>
      <w:pPr>
        <w:widowControl w:val="0"/>
        <w:spacing w:before="0" w:after="60" w:line="240" w:lineRule="auto"/>
        <w:ind w:firstLine="709"/>
        <w:jc w:val="both"/>
      </w:pPr>
      <w:r>
        <w:rPr>
          <w:rFonts w:ascii="Times New Roman" w:hAnsi="Times New Roman"/>
          <w:sz w:val="28"/>
          <w:szCs w:val="28"/>
        </w:rPr>
        <w:t xml:space="preserve">концентрированный смыв сливают из лотка в воронки прибора для фильтрования типа ПВФ-35 или ПВФ-47 (и их модификации) и фильтруют через АТМ с диаметром пор 2,5 – 3,0 мкм. В зависимости от первоначальной загрязненности воды используют 1 – 2 или 3 воронки. Если прибор с одной воронкой, то фильтруют последовательно, меняя мембраны;</w:t>
      </w:r>
    </w:p>
    <w:p>
      <w:pPr>
        <w:widowControl w:val="0"/>
        <w:spacing w:before="0" w:after="60" w:line="240" w:lineRule="auto"/>
        <w:ind w:firstLine="709"/>
        <w:jc w:val="both"/>
      </w:pPr>
      <w:r>
        <w:rPr>
          <w:rFonts w:ascii="Times New Roman" w:hAnsi="Times New Roman"/>
          <w:sz w:val="28"/>
          <w:szCs w:val="28"/>
        </w:rPr>
        <w:t xml:space="preserve">после фильтрации АТМ осторожно снимают пинцетом и переносят на предметное стекло, предварительно обработав его 50% раствором глицерина (на поверхность предметного стекла наносят 1 – 2 капли 50% раствора глицерина и стеклянной палочкой распределяют по всей поверхности), затем сверху мембраны наносят каплю 1% раствора Люголя и накрывают покровным стеклом всю поверхность мембраны.</w:t>
      </w:r>
    </w:p>
    <w:p>
      <w:pPr>
        <w:widowControl w:val="0"/>
        <w:spacing w:before="0" w:after="60" w:line="240" w:lineRule="auto"/>
        <w:ind w:firstLine="709"/>
        <w:jc w:val="both"/>
      </w:pPr>
      <w:r>
        <w:rPr>
          <w:rFonts w:ascii="Times New Roman" w:hAnsi="Times New Roman"/>
          <w:sz w:val="28"/>
          <w:szCs w:val="28"/>
        </w:rPr>
        <w:t xml:space="preserve">микроскопирование проводят при увеличении: окуляр × 10, объектив × 10, далее объектив × 40. Определяют вид (род/семейство) выявленных яиц и личинок гельминтов, при необходимости определяют их жизнеспособность (раздел 5 настоящих МУК), вид выявленных цист (ооцист) патогенных простейших (приложение 4 к настоящим МУК).</w:t>
      </w:r>
    </w:p>
    <w:p>
      <w:pPr>
        <w:widowControl w:val="0"/>
        <w:spacing w:before="0" w:after="60" w:line="240" w:lineRule="auto"/>
        <w:ind w:firstLine="709"/>
        <w:jc w:val="both"/>
      </w:pPr>
      <w:r>
        <w:rPr>
          <w:rFonts w:ascii="Times New Roman" w:hAnsi="Times New Roman"/>
          <w:sz w:val="28"/>
          <w:szCs w:val="28"/>
        </w:rPr>
        <w:t xml:space="preserve">4.5.6. Исследование воды (питьевой, упакованной, бассейнов и аквапарков) с применением аналитических трековых мембран (АТМ) на яйца и личинки гельминтов, цисты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пробу воды фильтруют через аналитическую трековую мембрану (АТМ) с диаметром пор (2,5 ± 0,3) мкм (для воды — 3,0 мкм, помещенную на фритту основания фильтровальной ячейки прибора вакуумного фильтрования;</w:t>
      </w:r>
    </w:p>
    <w:p>
      <w:pPr>
        <w:widowControl w:val="0"/>
        <w:spacing w:before="0" w:after="60" w:line="240" w:lineRule="auto"/>
        <w:ind w:firstLine="709"/>
        <w:jc w:val="both"/>
      </w:pPr>
      <w:r>
        <w:rPr>
          <w:rFonts w:ascii="Times New Roman" w:hAnsi="Times New Roman"/>
          <w:sz w:val="28"/>
          <w:szCs w:val="28"/>
        </w:rPr>
        <w:t xml:space="preserve">после фильтрования пробы воды трековую мембрану извлекают пинцетом, помещают в чашку Петри или эмалированный лоток поверхностью, которая прилегала к фритте;</w:t>
      </w:r>
    </w:p>
    <w:p>
      <w:pPr>
        <w:widowControl w:val="0"/>
        <w:spacing w:before="0" w:after="60" w:line="240" w:lineRule="auto"/>
        <w:ind w:firstLine="709"/>
        <w:jc w:val="both"/>
      </w:pPr>
      <w:r>
        <w:rPr>
          <w:rFonts w:ascii="Times New Roman" w:hAnsi="Times New Roman"/>
          <w:sz w:val="28"/>
          <w:szCs w:val="28"/>
        </w:rPr>
        <w:t xml:space="preserve">придерживая трековую мембрану за края пинцетом, не задевая поверхности фильтрации, разрезают ее на отдельные полоски, размер которых соответствует размеру предметного стекла. Диски трековых мембран диаметром 25; 37; 47 мм можно микроскопировать на больших предметных стеклах, не разрезая их на части;</w:t>
      </w:r>
    </w:p>
    <w:p>
      <w:pPr>
        <w:widowControl w:val="0"/>
        <w:spacing w:before="0" w:after="60" w:line="240" w:lineRule="auto"/>
        <w:ind w:firstLine="709"/>
        <w:jc w:val="both"/>
      </w:pPr>
      <w:r>
        <w:rPr>
          <w:rFonts w:ascii="Times New Roman" w:hAnsi="Times New Roman"/>
          <w:sz w:val="28"/>
          <w:szCs w:val="28"/>
        </w:rPr>
        <w:t xml:space="preserve">полоски АТМ поверхностью, которая прилегала к фритте, помещают на предметное стекло, предварительно обработав его 50% раствором глицерина (для этого на поверхность предметного стекла наносят 1 – 2 капли 50% раствора глицерина и стеклянной палочкой распределяют по всей поверхности);</w:t>
      </w:r>
    </w:p>
    <w:p>
      <w:pPr>
        <w:widowControl w:val="0"/>
        <w:spacing w:before="0" w:after="60" w:line="240" w:lineRule="auto"/>
        <w:ind w:firstLine="709"/>
        <w:jc w:val="both"/>
      </w:pPr>
      <w:r>
        <w:rPr>
          <w:rFonts w:ascii="Times New Roman" w:hAnsi="Times New Roman"/>
          <w:sz w:val="28"/>
          <w:szCs w:val="28"/>
        </w:rPr>
        <w:t xml:space="preserve">при исследовании на цисты (ооцисты) патогенных простейших на полоску трековой мембраны, которая уже помещена на предметное стекло с глицерином, наносят сверху каплю 1% раствора Люголя;</w:t>
      </w:r>
    </w:p>
    <w:p>
      <w:pPr>
        <w:widowControl w:val="0"/>
        <w:spacing w:before="0" w:after="60" w:line="240" w:lineRule="auto"/>
        <w:ind w:firstLine="709"/>
        <w:jc w:val="both"/>
      </w:pPr>
      <w:r>
        <w:rPr>
          <w:rFonts w:ascii="Times New Roman" w:hAnsi="Times New Roman"/>
          <w:sz w:val="28"/>
          <w:szCs w:val="28"/>
        </w:rPr>
        <w:t xml:space="preserve">всю поверхность полоски трековой мембраны накрывают сверху покровными стеклами (24 x 24 мм или 24 x 50 мм);</w:t>
      </w:r>
    </w:p>
    <w:p>
      <w:pPr>
        <w:widowControl w:val="0"/>
        <w:spacing w:before="0" w:after="60" w:line="240" w:lineRule="auto"/>
        <w:ind w:firstLine="709"/>
        <w:jc w:val="both"/>
      </w:pPr>
      <w:r>
        <w:rPr>
          <w:rFonts w:ascii="Times New Roman" w:hAnsi="Times New Roman"/>
          <w:sz w:val="28"/>
          <w:szCs w:val="28"/>
        </w:rPr>
        <w:t xml:space="preserve">микроскопирование препаратов проводят при увеличении: окуляр × 10, объектив × 10, далее объектив × 40. Определяют вид (род/семейство) выявленных яиц и личинок гельминтов, цист (ооцист) патогенных простейших. При необходимости определяют жизнеспособность яиц гельминтов (раздел 5 настоящих МУК).</w:t>
      </w:r>
    </w:p>
    <w:p>
      <w:pPr>
        <w:widowControl w:val="0"/>
        <w:spacing w:before="0" w:after="60" w:line="240" w:lineRule="auto"/>
        <w:ind w:firstLine="709"/>
        <w:jc w:val="both"/>
      </w:pPr>
      <w:r>
        <w:rPr>
          <w:rFonts w:ascii="Times New Roman" w:hAnsi="Times New Roman"/>
          <w:sz w:val="28"/>
          <w:szCs w:val="28"/>
        </w:rPr>
        <w:t xml:space="preserve">4.5.7. Исследование разных видов вод методом порошковой фильтрации на яйца и личинки гельминтов, цисты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4.5.7.1. Порошковая фильтрация осуществляется на приборах типа ПробоКонг или аналогичных и проводится в соответствии с инструкцией к прибору:</w:t>
      </w:r>
    </w:p>
    <w:p>
      <w:pPr>
        <w:widowControl w:val="0"/>
        <w:spacing w:before="0" w:after="60" w:line="240" w:lineRule="auto"/>
        <w:ind w:firstLine="709"/>
        <w:jc w:val="both"/>
      </w:pPr>
      <w:r>
        <w:rPr>
          <w:rFonts w:ascii="Times New Roman" w:hAnsi="Times New Roman"/>
          <w:sz w:val="28"/>
          <w:szCs w:val="28"/>
        </w:rPr>
        <w:t xml:space="preserve">полученный при фильтрации смыв взбалтывают в бутылке, и разливают в центрифужные стаканчики (пробирки) объемом 100 – 150 мл, добавляют дистиллированную воду до верха стаканчика (пробирки);</w:t>
      </w:r>
    </w:p>
    <w:p>
      <w:pPr>
        <w:widowControl w:val="0"/>
        <w:spacing w:before="0" w:after="60" w:line="240" w:lineRule="auto"/>
        <w:ind w:firstLine="709"/>
        <w:jc w:val="both"/>
      </w:pPr>
      <w:r>
        <w:rPr>
          <w:rFonts w:ascii="Times New Roman" w:hAnsi="Times New Roman"/>
          <w:sz w:val="28"/>
          <w:szCs w:val="28"/>
        </w:rPr>
        <w:t xml:space="preserve">центрифугируют 150 ± 30) g, удаляют надосадочную жидкость;</w:t>
      </w:r>
    </w:p>
    <w:p>
      <w:pPr>
        <w:widowControl w:val="0"/>
        <w:spacing w:before="0" w:after="60" w:line="240" w:lineRule="auto"/>
        <w:ind w:firstLine="709"/>
        <w:jc w:val="both"/>
      </w:pPr>
      <w:r>
        <w:rPr>
          <w:rFonts w:ascii="Times New Roman" w:hAnsi="Times New Roman"/>
          <w:sz w:val="28"/>
          <w:szCs w:val="28"/>
        </w:rPr>
        <w:t xml:space="preserve">к осадку (примерно 20 мл) добавляют один из флотационных растворов с удельным весом 1,3 – 1,4, но не менее 1,26 (приложение 3 к настоящим МУК), объем которого должен в 5 раз превышать объем осадка (примерно 100 мл), тщательно размешивают стеклянной палочкой;</w:t>
      </w:r>
    </w:p>
    <w:p>
      <w:pPr>
        <w:widowControl w:val="0"/>
        <w:spacing w:before="0" w:after="60" w:line="240" w:lineRule="auto"/>
        <w:ind w:firstLine="709"/>
        <w:jc w:val="both"/>
      </w:pPr>
      <w:r>
        <w:rPr>
          <w:rFonts w:ascii="Times New Roman" w:hAnsi="Times New Roman"/>
          <w:sz w:val="28"/>
          <w:szCs w:val="28"/>
        </w:rPr>
        <w:t xml:space="preserve">вновь центрифугируют в течение 10 мин при 300 ± 30) g (≈2000 об/мин при r = 65 мм об/мин.</w:t>
      </w:r>
    </w:p>
    <w:p>
      <w:pPr>
        <w:widowControl w:val="0"/>
        <w:spacing w:before="0" w:after="60" w:line="240" w:lineRule="auto"/>
        <w:ind w:firstLine="709"/>
        <w:jc w:val="both"/>
      </w:pPr>
      <w:r>
        <w:rPr>
          <w:rFonts w:ascii="Times New Roman" w:hAnsi="Times New Roman"/>
          <w:sz w:val="28"/>
          <w:szCs w:val="28"/>
        </w:rPr>
        <w:t xml:space="preserve">4.5.7.2. При использовании отборника флотанта фильтрующего (ОФФ-25):</w:t>
      </w:r>
    </w:p>
    <w:p>
      <w:pPr>
        <w:widowControl w:val="0"/>
        <w:spacing w:before="0" w:after="60" w:line="240" w:lineRule="auto"/>
        <w:ind w:firstLine="709"/>
        <w:jc w:val="both"/>
      </w:pPr>
      <w:r>
        <w:rPr>
          <w:rFonts w:ascii="Times New Roman" w:hAnsi="Times New Roman"/>
          <w:sz w:val="28"/>
          <w:szCs w:val="28"/>
        </w:rPr>
        <w:t xml:space="preserve">с помощью отборника флотанта фильтрующего ОФФ-25 надосадочную жидкость (флотационный раствор) фильтруют через аналитическую трековую мембрану (АТМ) – для исследования на яйца и личинки гельминтов, цисты (ооцисты) патогенных простейших с диаметром диска 25 мм и диаметром пор 2,5 – 3,0 мкм. Промывают АТМ от флотационного раствора дистиллированной водой;</w:t>
      </w:r>
    </w:p>
    <w:p>
      <w:pPr>
        <w:widowControl w:val="0"/>
        <w:spacing w:before="0" w:after="60" w:line="240" w:lineRule="auto"/>
        <w:ind w:firstLine="709"/>
        <w:jc w:val="both"/>
      </w:pPr>
      <w:r>
        <w:rPr>
          <w:rFonts w:ascii="Times New Roman" w:hAnsi="Times New Roman"/>
          <w:sz w:val="28"/>
          <w:szCs w:val="28"/>
        </w:rPr>
        <w:t xml:space="preserve">после фильтрации, АТМ осторожно снимают пинцетом и переносят на предметное стекло, предварительно обработав его 50% раствором глицерина , для лучшего пропитывания мембраны глицерином следует подождать несколько минут, затем сверху мембраны наносят каплю 1% раствора Люголя и накрывают покровным стеклом всю поверхность мембраны.</w:t>
      </w:r>
    </w:p>
    <w:p>
      <w:pPr>
        <w:widowControl w:val="0"/>
        <w:spacing w:before="0" w:after="60" w:line="240" w:lineRule="auto"/>
        <w:ind w:firstLine="709"/>
        <w:jc w:val="both"/>
      </w:pPr>
      <w:r>
        <w:rPr>
          <w:rFonts w:ascii="Times New Roman" w:hAnsi="Times New Roman"/>
          <w:sz w:val="28"/>
          <w:szCs w:val="28"/>
        </w:rPr>
        <w:t xml:space="preserve">4.5.7.3. При отсутствии ОФФ-25:</w:t>
      </w:r>
    </w:p>
    <w:p>
      <w:pPr>
        <w:widowControl w:val="0"/>
        <w:spacing w:before="0" w:after="60" w:line="240" w:lineRule="auto"/>
        <w:ind w:firstLine="709"/>
        <w:jc w:val="both"/>
      </w:pPr>
      <w:r>
        <w:rPr>
          <w:rFonts w:ascii="Times New Roman" w:hAnsi="Times New Roman"/>
          <w:sz w:val="28"/>
          <w:szCs w:val="28"/>
        </w:rPr>
        <w:t xml:space="preserve">после центрифугирования надосадочную жидкость (флотационный раствор) переносят в чистую центрифужную пробирку и разбавляют не менее чем в 5 раз дистиллированной водой;</w:t>
      </w:r>
    </w:p>
    <w:p>
      <w:pPr>
        <w:widowControl w:val="0"/>
        <w:spacing w:before="0" w:after="60" w:line="240" w:lineRule="auto"/>
        <w:ind w:firstLine="709"/>
        <w:jc w:val="both"/>
      </w:pPr>
      <w:r>
        <w:rPr>
          <w:rFonts w:ascii="Times New Roman" w:hAnsi="Times New Roman"/>
          <w:sz w:val="28"/>
          <w:szCs w:val="28"/>
        </w:rPr>
        <w:t xml:space="preserve">центрифугируют 5 мин при 1500 об/мин, надосадочную жидкость удаляют;</w:t>
      </w:r>
    </w:p>
    <w:p>
      <w:pPr>
        <w:widowControl w:val="0"/>
        <w:spacing w:before="0" w:after="60" w:line="240" w:lineRule="auto"/>
        <w:ind w:firstLine="709"/>
        <w:jc w:val="both"/>
      </w:pPr>
      <w:r>
        <w:rPr>
          <w:rFonts w:ascii="Times New Roman" w:hAnsi="Times New Roman"/>
          <w:sz w:val="28"/>
          <w:szCs w:val="28"/>
        </w:rPr>
        <w:t xml:space="preserve">осадок можно исследовать одним из двух методов: нативная (прямая) микроскопия препаратов и метод иммуномагнитного разделения и мечения флуоресцирующими антителами (ИМС) (п. 4.7.);</w:t>
      </w:r>
    </w:p>
    <w:p>
      <w:pPr>
        <w:widowControl w:val="0"/>
        <w:spacing w:before="0" w:after="60" w:line="240" w:lineRule="auto"/>
        <w:ind w:firstLine="709"/>
        <w:jc w:val="both"/>
      </w:pPr>
      <w:r>
        <w:rPr>
          <w:rFonts w:ascii="Times New Roman" w:hAnsi="Times New Roman"/>
          <w:sz w:val="28"/>
          <w:szCs w:val="28"/>
        </w:rPr>
        <w:t xml:space="preserve">при прямой микроскопии осадок переносят на предметное стекло. При исследовании на цисты патогенных простейших на предметное стекло дополнительно наносят каплю 1% раствор Люголя. Накрывают покровным стеклом;</w:t>
      </w:r>
    </w:p>
    <w:p>
      <w:pPr>
        <w:widowControl w:val="0"/>
        <w:spacing w:before="0" w:after="60" w:line="240" w:lineRule="auto"/>
        <w:ind w:firstLine="709"/>
        <w:jc w:val="both"/>
      </w:pPr>
      <w:r>
        <w:rPr>
          <w:rFonts w:ascii="Times New Roman" w:hAnsi="Times New Roman"/>
          <w:sz w:val="28"/>
          <w:szCs w:val="28"/>
        </w:rPr>
        <w:t xml:space="preserve">Микроскопирование препаратов проводят при увеличении: окуляр × 10, объектив × 10, далее объектив × 40. Определяют вид выявленных яиц и личинок гельминтов, цист патогенных простейших. При необходимости определяют жизнеспособность яиц гельминтов (раздел 5 к настоящим МУК).</w:t>
      </w:r>
    </w:p>
    <w:p>
      <w:pPr>
        <w:widowControl w:val="0"/>
        <w:spacing w:before="0" w:after="60" w:line="240" w:lineRule="auto"/>
        <w:ind w:firstLine="709"/>
        <w:jc w:val="both"/>
      </w:pPr>
      <w:r>
        <w:rPr>
          <w:rFonts w:ascii="Times New Roman" w:hAnsi="Times New Roman"/>
          <w:sz w:val="28"/>
          <w:szCs w:val="28"/>
        </w:rPr>
        <w:t xml:space="preserve">4.6. Методы исследования смывов с поверхностей предметов и рук на яйца гельминтов и цисты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Результат для смывов выражают числом обнаруженных яиц (цист) на 1 см² поверхности или на объект («кисти обеих рук»); единицы измерения — по п. 4.3</w:t>
      </w:r>
    </w:p>
    <w:p>
      <w:pPr>
        <w:widowControl w:val="0"/>
        <w:spacing w:before="0" w:after="60" w:line="240" w:lineRule="auto"/>
        <w:ind w:firstLine="709"/>
        <w:jc w:val="both"/>
      </w:pPr>
      <w:r>
        <w:rPr>
          <w:rFonts w:ascii="Times New Roman" w:hAnsi="Times New Roman"/>
          <w:sz w:val="28"/>
          <w:szCs w:val="28"/>
        </w:rPr>
        <w:t xml:space="preserve">4.6.1. Исследование смывов на яйца гельминтов, цисты (ооцисты) патогенных простейших методом центрифугирования:</w:t>
      </w:r>
    </w:p>
    <w:p>
      <w:pPr>
        <w:widowControl w:val="0"/>
        <w:spacing w:before="0" w:after="60" w:line="240" w:lineRule="auto"/>
        <w:ind w:firstLine="709"/>
        <w:jc w:val="both"/>
      </w:pPr>
      <w:r>
        <w:rPr>
          <w:rFonts w:ascii="Times New Roman" w:hAnsi="Times New Roman"/>
          <w:sz w:val="28"/>
          <w:szCs w:val="28"/>
        </w:rPr>
        <w:t xml:space="preserve">кисточку или зонд-тампон со смывом тщательно и многократно ополаскивают в жидкости пробирки в течение 1 мин вертикальными и круговыми движениями, после чего из пробирки удаляют;</w:t>
      </w:r>
    </w:p>
    <w:p>
      <w:pPr>
        <w:widowControl w:val="0"/>
        <w:spacing w:before="0" w:after="60" w:line="240" w:lineRule="auto"/>
        <w:ind w:firstLine="709"/>
        <w:jc w:val="both"/>
      </w:pPr>
      <w:r>
        <w:rPr>
          <w:rFonts w:ascii="Times New Roman" w:hAnsi="Times New Roman"/>
          <w:sz w:val="28"/>
          <w:szCs w:val="28"/>
        </w:rPr>
        <w:t xml:space="preserve">пробирки со смывами центрифугируют 5 мин при 1500 об/мин, надосадочную жидкость удаляют;</w:t>
      </w:r>
    </w:p>
    <w:p>
      <w:pPr>
        <w:widowControl w:val="0"/>
        <w:spacing w:before="0" w:after="60" w:line="240" w:lineRule="auto"/>
        <w:ind w:firstLine="709"/>
        <w:jc w:val="both"/>
      </w:pPr>
      <w:r>
        <w:rPr>
          <w:rFonts w:ascii="Times New Roman" w:hAnsi="Times New Roman"/>
          <w:sz w:val="28"/>
          <w:szCs w:val="28"/>
        </w:rPr>
        <w:t xml:space="preserve">осадок переносят на предметное стекло, наносят 1 – 2 капли 50% раствора глицерина, накрывают их покровными стеклами и микроскопируют. При исследовании на цисты (ооцисты) патогенных простейших в препарат вносят каплю 1% раствора Люголя;</w:t>
      </w:r>
    </w:p>
    <w:p>
      <w:pPr>
        <w:widowControl w:val="0"/>
        <w:spacing w:before="0" w:after="60" w:line="240" w:lineRule="auto"/>
        <w:ind w:firstLine="709"/>
        <w:jc w:val="both"/>
      </w:pPr>
      <w:r>
        <w:rPr>
          <w:rFonts w:ascii="Times New Roman" w:hAnsi="Times New Roman"/>
          <w:sz w:val="28"/>
          <w:szCs w:val="28"/>
        </w:rPr>
        <w:t xml:space="preserve">микроскопирование проводят при увеличении: окуляр × 10, объектив × 10, далее объектив × 40. Определяют вид выявленных яиц гельминтов, при необходимости определяют их жизнеспособность (раздел 5 настоящих МУК), вид выявленных цист патогенных простейших (приложение 4 к настоящему МУК).</w:t>
      </w:r>
    </w:p>
    <w:p>
      <w:pPr>
        <w:widowControl w:val="0"/>
        <w:spacing w:before="0" w:after="60" w:line="240" w:lineRule="auto"/>
        <w:ind w:firstLine="709"/>
        <w:jc w:val="both"/>
      </w:pPr>
      <w:r>
        <w:rPr>
          <w:rFonts w:ascii="Times New Roman" w:hAnsi="Times New Roman"/>
          <w:sz w:val="28"/>
          <w:szCs w:val="28"/>
        </w:rPr>
        <w:t xml:space="preserve">4.6.2. Исследование смывов на яйца гельминтов, цисты (ооцисты) патогенных простейших с применением флотационных растворов:</w:t>
      </w:r>
    </w:p>
    <w:p>
      <w:pPr>
        <w:widowControl w:val="0"/>
        <w:spacing w:before="0" w:after="60" w:line="240" w:lineRule="auto"/>
        <w:ind w:firstLine="709"/>
        <w:jc w:val="both"/>
      </w:pPr>
      <w:r>
        <w:rPr>
          <w:rFonts w:ascii="Times New Roman" w:hAnsi="Times New Roman"/>
          <w:sz w:val="28"/>
          <w:szCs w:val="28"/>
        </w:rPr>
        <w:t xml:space="preserve">в пробирку со смывом добавляют 5 – 6 мл флотационного раствора (приложение 3 к настоящим МУК), в котором тщательно и многократно промывают кисточку или зонд-тампон со смывом в течение 1 мин вертикальными и круговыми движениями, после чего удаляют из пробирки;</w:t>
      </w:r>
    </w:p>
    <w:p>
      <w:pPr>
        <w:widowControl w:val="0"/>
        <w:spacing w:before="0" w:after="60" w:line="240" w:lineRule="auto"/>
        <w:ind w:firstLine="709"/>
        <w:jc w:val="both"/>
      </w:pPr>
      <w:r>
        <w:rPr>
          <w:rFonts w:ascii="Times New Roman" w:hAnsi="Times New Roman"/>
          <w:sz w:val="28"/>
          <w:szCs w:val="28"/>
        </w:rPr>
        <w:t xml:space="preserve">в пробирку доливают флотационный раствор, наполняя полностью пробирку до образования выпуклого мениска, накрывают ее обезжиренным покровным стеклом до полного соприкосновения с поверхностной пленкой раствора и оставляют на 20 – 30 мин;</w:t>
      </w:r>
    </w:p>
    <w:p>
      <w:pPr>
        <w:widowControl w:val="0"/>
        <w:spacing w:before="0" w:after="60" w:line="240" w:lineRule="auto"/>
        <w:ind w:firstLine="709"/>
        <w:jc w:val="both"/>
      </w:pPr>
      <w:r>
        <w:rPr>
          <w:rFonts w:ascii="Times New Roman" w:hAnsi="Times New Roman"/>
          <w:sz w:val="28"/>
          <w:szCs w:val="28"/>
        </w:rPr>
        <w:t xml:space="preserve">покровное стекло снимают пинцетом и полученную висячую каплю на покровном стекле аккуратно переносят на предметное стекло в каплю 50% глицерина. При исследовании на цисты (ооцисты) патогенных простейших в препарат вносят каплю 1% раствора Люголя;</w:t>
      </w:r>
    </w:p>
    <w:p>
      <w:pPr>
        <w:widowControl w:val="0"/>
        <w:spacing w:before="0" w:after="60" w:line="240" w:lineRule="auto"/>
        <w:ind w:firstLine="709"/>
        <w:jc w:val="both"/>
      </w:pPr>
      <w:r>
        <w:rPr>
          <w:rFonts w:ascii="Times New Roman" w:hAnsi="Times New Roman"/>
          <w:sz w:val="28"/>
          <w:szCs w:val="28"/>
        </w:rPr>
        <w:t xml:space="preserve">микроскопирование проводят при увеличении: окуляр × 10, объектив × 10, далее объектив × 40. Определяют вид выявленных яиц гельминтов, при необходимости определяют их жизнеспособность (раздел 5 настоящих МУК), вид выявленных цист патогенных простейших (приложение 4 к настоящему МУК).</w:t>
      </w:r>
    </w:p>
    <w:p>
      <w:pPr>
        <w:widowControl w:val="0"/>
        <w:spacing w:before="0" w:after="60" w:line="240" w:lineRule="auto"/>
        <w:ind w:firstLine="709"/>
        <w:jc w:val="both"/>
      </w:pPr>
      <w:r>
        <w:rPr>
          <w:rFonts w:ascii="Times New Roman" w:hAnsi="Times New Roman"/>
          <w:sz w:val="28"/>
          <w:szCs w:val="28"/>
        </w:rPr>
        <w:t xml:space="preserve">4.7. Метод иммуномагнитной сепарации (ИМС) и мечения флуоресцирующими антителами для обнаружения цист лямблий в почве (песке), смывах, разных видах вод</w:t>
      </w:r>
    </w:p>
    <w:p>
      <w:pPr>
        <w:widowControl w:val="0"/>
        <w:spacing w:before="0" w:after="60" w:line="240" w:lineRule="auto"/>
        <w:ind w:firstLine="709"/>
        <w:jc w:val="both"/>
      </w:pPr>
      <w:r>
        <w:rPr>
          <w:rFonts w:ascii="Times New Roman" w:hAnsi="Times New Roman"/>
          <w:sz w:val="28"/>
          <w:szCs w:val="28"/>
        </w:rPr>
        <w:t xml:space="preserve">Метод представлен двухэтапной реакцией, при которой обнаружение искомого антигена в комплексе антиген-антитело (AГ – AT) происходит с помощью иммуномагнитной суспензии для выделения цист лямблий.</w:t>
      </w:r>
    </w:p>
    <w:p>
      <w:pPr>
        <w:widowControl w:val="0"/>
        <w:spacing w:before="0" w:after="60" w:line="240" w:lineRule="auto"/>
        <w:ind w:firstLine="709"/>
        <w:jc w:val="both"/>
      </w:pPr>
      <w:r>
        <w:rPr>
          <w:rFonts w:ascii="Times New Roman" w:hAnsi="Times New Roman"/>
          <w:sz w:val="28"/>
          <w:szCs w:val="28"/>
        </w:rPr>
        <w:t xml:space="preserve">4.7.1. Подготовка проб воды к проведению иммуномагнитной сепарации (далее – ИМС):</w:t>
      </w:r>
    </w:p>
    <w:p>
      <w:pPr>
        <w:widowControl w:val="0"/>
        <w:spacing w:before="0" w:after="60" w:line="240" w:lineRule="auto"/>
        <w:ind w:firstLine="709"/>
        <w:jc w:val="both"/>
      </w:pPr>
      <w:r>
        <w:rPr>
          <w:rFonts w:ascii="Times New Roman" w:hAnsi="Times New Roman"/>
          <w:sz w:val="28"/>
          <w:szCs w:val="28"/>
        </w:rPr>
        <w:t xml:space="preserve">для исследования используют осадок, полученный методом порошковой фильтрации, флотационным методом или после фильтрации пробы воды с помощью приборов вакуумного фильтрования через АТМ с диаметром пор 2,5 мкм или через мембранные фильтры;</w:t>
      </w:r>
    </w:p>
    <w:p>
      <w:pPr>
        <w:widowControl w:val="0"/>
        <w:spacing w:before="0" w:after="60" w:line="240" w:lineRule="auto"/>
        <w:ind w:firstLine="709"/>
        <w:jc w:val="both"/>
      </w:pPr>
      <w:r>
        <w:rPr>
          <w:rFonts w:ascii="Times New Roman" w:hAnsi="Times New Roman"/>
          <w:sz w:val="28"/>
          <w:szCs w:val="28"/>
        </w:rPr>
        <w:t xml:space="preserve">после фильтрации воды осадок с фильтров смывают 10 мл дистиллированной воды. Переливают в центрифужную пробирку и центрифугируют 10 мин при 1500 об/мин;</w:t>
      </w:r>
    </w:p>
    <w:p>
      <w:pPr>
        <w:widowControl w:val="0"/>
        <w:spacing w:before="0" w:after="60" w:line="240" w:lineRule="auto"/>
        <w:ind w:firstLine="709"/>
        <w:jc w:val="both"/>
      </w:pPr>
      <w:r>
        <w:rPr>
          <w:rFonts w:ascii="Times New Roman" w:hAnsi="Times New Roman"/>
          <w:sz w:val="28"/>
          <w:szCs w:val="28"/>
        </w:rPr>
        <w:t xml:space="preserve">удаляют надосадочную жидкость пипеткой, осадок разделяют на порции по 1 мл (в пробирках) и в каждую добавляют 3 мл дистиллированной воды;</w:t>
      </w:r>
    </w:p>
    <w:p>
      <w:pPr>
        <w:widowControl w:val="0"/>
        <w:spacing w:before="0" w:after="60" w:line="240" w:lineRule="auto"/>
        <w:ind w:firstLine="709"/>
        <w:jc w:val="both"/>
      </w:pPr>
      <w:r>
        <w:rPr>
          <w:rFonts w:ascii="Times New Roman" w:hAnsi="Times New Roman"/>
          <w:sz w:val="28"/>
          <w:szCs w:val="28"/>
        </w:rPr>
        <w:t xml:space="preserve">далее исследуют каждую порцию данной пробы по методу ИМС.</w:t>
      </w:r>
    </w:p>
    <w:p>
      <w:pPr>
        <w:widowControl w:val="0"/>
        <w:spacing w:before="0" w:after="60" w:line="240" w:lineRule="auto"/>
        <w:ind w:firstLine="709"/>
        <w:jc w:val="both"/>
      </w:pPr>
      <w:r>
        <w:rPr>
          <w:rFonts w:ascii="Times New Roman" w:hAnsi="Times New Roman"/>
          <w:sz w:val="28"/>
          <w:szCs w:val="28"/>
        </w:rPr>
        <w:t xml:space="preserve">4.7.2. Подготовка проб почвы (песка) к проведению ИМС:</w:t>
      </w:r>
    </w:p>
    <w:p>
      <w:pPr>
        <w:widowControl w:val="0"/>
        <w:spacing w:before="0" w:after="60" w:line="240" w:lineRule="auto"/>
        <w:ind w:firstLine="709"/>
        <w:jc w:val="both"/>
      </w:pPr>
      <w:r>
        <w:rPr>
          <w:rFonts w:ascii="Times New Roman" w:hAnsi="Times New Roman"/>
          <w:sz w:val="28"/>
          <w:szCs w:val="28"/>
        </w:rPr>
        <w:t xml:space="preserve">пробу массой 25 г помещают в ступку, добавляют небольшое количество дистиллированной воды, растирают до образования гомогенной кашицы;</w:t>
      </w:r>
    </w:p>
    <w:p>
      <w:pPr>
        <w:widowControl w:val="0"/>
        <w:spacing w:before="0" w:after="60" w:line="240" w:lineRule="auto"/>
        <w:ind w:firstLine="709"/>
        <w:jc w:val="both"/>
      </w:pPr>
      <w:r>
        <w:rPr>
          <w:rFonts w:ascii="Times New Roman" w:hAnsi="Times New Roman"/>
          <w:sz w:val="28"/>
          <w:szCs w:val="28"/>
        </w:rPr>
        <w:t xml:space="preserve">образовавшуюся смесь переносят в чистый стакан, заливают дистиллированной водой в соотношении 1:2;</w:t>
      </w:r>
    </w:p>
    <w:p>
      <w:pPr>
        <w:widowControl w:val="0"/>
        <w:spacing w:before="0" w:after="60" w:line="240" w:lineRule="auto"/>
        <w:ind w:firstLine="709"/>
        <w:jc w:val="both"/>
      </w:pPr>
      <w:r>
        <w:rPr>
          <w:rFonts w:ascii="Times New Roman" w:hAnsi="Times New Roman"/>
          <w:sz w:val="28"/>
          <w:szCs w:val="28"/>
        </w:rPr>
        <w:t xml:space="preserve">взвесь центрифугируют 3 мин при (250 ± 25) g (r = 55 мм); отстаивание допускается только при отсутствии центрифуги, о чём делают запись в протоколе;</w:t>
      </w:r>
    </w:p>
    <w:p>
      <w:pPr>
        <w:widowControl w:val="0"/>
        <w:spacing w:before="0" w:after="60" w:line="240" w:lineRule="auto"/>
        <w:ind w:firstLine="709"/>
        <w:jc w:val="both"/>
      </w:pPr>
      <w:r>
        <w:rPr>
          <w:rFonts w:ascii="Times New Roman" w:hAnsi="Times New Roman"/>
          <w:sz w:val="28"/>
          <w:szCs w:val="28"/>
        </w:rPr>
        <w:t xml:space="preserve">сливают надосадочную жидкость в центрифужные пробирки, центрифугируют 3 мин при 1500 об/мин;</w:t>
      </w:r>
    </w:p>
    <w:p>
      <w:pPr>
        <w:widowControl w:val="0"/>
        <w:spacing w:before="0" w:after="60" w:line="240" w:lineRule="auto"/>
        <w:ind w:firstLine="709"/>
        <w:jc w:val="both"/>
      </w:pPr>
      <w:r>
        <w:rPr>
          <w:rFonts w:ascii="Times New Roman" w:hAnsi="Times New Roman"/>
          <w:sz w:val="28"/>
          <w:szCs w:val="28"/>
        </w:rPr>
        <w:t xml:space="preserve">удаляют надосадочную жидкость пипеткой, к осадку объемом 1 мл добавляют 3 мл дистиллированной воды и исследуют по методу ИМС.</w:t>
      </w:r>
    </w:p>
    <w:p>
      <w:pPr>
        <w:widowControl w:val="0"/>
        <w:spacing w:before="0" w:after="60" w:line="240" w:lineRule="auto"/>
        <w:ind w:firstLine="709"/>
        <w:jc w:val="both"/>
      </w:pPr>
      <w:r>
        <w:rPr>
          <w:rFonts w:ascii="Times New Roman" w:hAnsi="Times New Roman"/>
          <w:sz w:val="28"/>
          <w:szCs w:val="28"/>
        </w:rPr>
        <w:t xml:space="preserve">4.7.3. Подготовка проб смывов к проведению ИМС:</w:t>
      </w:r>
    </w:p>
    <w:p>
      <w:pPr>
        <w:widowControl w:val="0"/>
        <w:spacing w:before="0" w:after="60" w:line="240" w:lineRule="auto"/>
        <w:ind w:firstLine="709"/>
        <w:jc w:val="both"/>
      </w:pPr>
      <w:r>
        <w:rPr>
          <w:rFonts w:ascii="Times New Roman" w:hAnsi="Times New Roman"/>
          <w:sz w:val="28"/>
          <w:szCs w:val="28"/>
        </w:rPr>
        <w:t xml:space="preserve">в каждую пробирку добавляют дистиллированную воду до объема 8 мл;</w:t>
      </w:r>
    </w:p>
    <w:p>
      <w:pPr>
        <w:widowControl w:val="0"/>
        <w:spacing w:before="0" w:after="60" w:line="240" w:lineRule="auto"/>
        <w:ind w:firstLine="709"/>
        <w:jc w:val="both"/>
      </w:pPr>
      <w:r>
        <w:rPr>
          <w:rFonts w:ascii="Times New Roman" w:hAnsi="Times New Roman"/>
          <w:sz w:val="28"/>
          <w:szCs w:val="28"/>
        </w:rPr>
        <w:t xml:space="preserve">взвесь центрифугируют в течение 3 мин при 1500 об/мин;</w:t>
      </w:r>
    </w:p>
    <w:p>
      <w:pPr>
        <w:widowControl w:val="0"/>
        <w:spacing w:before="0" w:after="60" w:line="240" w:lineRule="auto"/>
        <w:ind w:firstLine="709"/>
        <w:jc w:val="both"/>
      </w:pPr>
      <w:r>
        <w:rPr>
          <w:rFonts w:ascii="Times New Roman" w:hAnsi="Times New Roman"/>
          <w:sz w:val="28"/>
          <w:szCs w:val="28"/>
        </w:rPr>
        <w:t xml:space="preserve">надосадочную жидкость удаляют пипеткой;</w:t>
      </w:r>
    </w:p>
    <w:p>
      <w:pPr>
        <w:widowControl w:val="0"/>
        <w:spacing w:before="0" w:after="60" w:line="240" w:lineRule="auto"/>
        <w:ind w:firstLine="709"/>
        <w:jc w:val="both"/>
      </w:pPr>
      <w:r>
        <w:rPr>
          <w:rFonts w:ascii="Times New Roman" w:hAnsi="Times New Roman"/>
          <w:sz w:val="28"/>
          <w:szCs w:val="28"/>
        </w:rPr>
        <w:t xml:space="preserve">к осадку объемом 1 мл добавляют 3 мл дистиллированной воды и исследуют пробу методом ИМС.</w:t>
      </w:r>
    </w:p>
    <w:p>
      <w:pPr>
        <w:widowControl w:val="0"/>
        <w:spacing w:before="0" w:after="60" w:line="240" w:lineRule="auto"/>
        <w:ind w:firstLine="709"/>
        <w:jc w:val="both"/>
      </w:pPr>
      <w:r>
        <w:rPr>
          <w:rFonts w:ascii="Times New Roman" w:hAnsi="Times New Roman"/>
          <w:sz w:val="28"/>
          <w:szCs w:val="28"/>
        </w:rPr>
        <w:t xml:space="preserve">4.7.4. Этапы иммунохимического связывания, магнитной сепарации и промывки:</w:t>
      </w:r>
    </w:p>
    <w:p>
      <w:pPr>
        <w:widowControl w:val="0"/>
        <w:spacing w:before="0" w:after="60" w:line="240" w:lineRule="auto"/>
        <w:ind w:firstLine="709"/>
        <w:jc w:val="both"/>
      </w:pPr>
      <w:r>
        <w:rPr>
          <w:rFonts w:ascii="Times New Roman" w:hAnsi="Times New Roman"/>
          <w:sz w:val="28"/>
          <w:szCs w:val="28"/>
        </w:rPr>
        <w:t xml:space="preserve">в пробирку для иммуномагнитной сепарации (ИМС-пробирку или плоскостенную пробирку) вносят 5 мл 2-концентрированного буфера A из диагностического набора;</w:t>
      </w:r>
    </w:p>
    <w:p>
      <w:pPr>
        <w:widowControl w:val="0"/>
        <w:spacing w:before="0" w:after="60" w:line="240" w:lineRule="auto"/>
        <w:ind w:firstLine="709"/>
        <w:jc w:val="both"/>
      </w:pPr>
      <w:r>
        <w:rPr>
          <w:rFonts w:ascii="Times New Roman" w:hAnsi="Times New Roman"/>
          <w:sz w:val="28"/>
          <w:szCs w:val="28"/>
        </w:rPr>
        <w:t xml:space="preserve">закрывают пробирку крышкой и вращают, смачивая ее внутренние стенки. С помощью пипетки, предварительно омытой дистиллированной водой, переносят в ИМС-пробирку с буфером исследуемую порцию пробы;</w:t>
      </w:r>
    </w:p>
    <w:p>
      <w:pPr>
        <w:widowControl w:val="0"/>
        <w:spacing w:before="0" w:after="60" w:line="240" w:lineRule="auto"/>
        <w:ind w:firstLine="709"/>
        <w:jc w:val="both"/>
      </w:pPr>
      <w:r>
        <w:rPr>
          <w:rFonts w:ascii="Times New Roman" w:hAnsi="Times New Roman"/>
          <w:sz w:val="28"/>
          <w:szCs w:val="28"/>
        </w:rPr>
        <w:t xml:space="preserve">омывают пробирку, в которой находилась порция пробы, дистиллированной водой по 1 мл дважды и переносят ИМС-пробирку. Плотно закрывают крышку пробирки и перемешивают раствор, переворачивая пробирку 3 раза. По выполнении всех процедур переноса пробы общий объем раствора в ИМС-пробирке составляет 10 мл;</w:t>
      </w:r>
    </w:p>
    <w:p>
      <w:pPr>
        <w:widowControl w:val="0"/>
        <w:spacing w:before="0" w:after="60" w:line="240" w:lineRule="auto"/>
        <w:ind w:firstLine="709"/>
        <w:jc w:val="both"/>
      </w:pPr>
      <w:r>
        <w:rPr>
          <w:rFonts w:ascii="Times New Roman" w:hAnsi="Times New Roman"/>
          <w:sz w:val="28"/>
          <w:szCs w:val="28"/>
        </w:rPr>
        <w:t xml:space="preserve">затем весь объем иммуномагнитной суспензии из диагностического набора перемешивают на вортексе в течение 20 с;</w:t>
      </w:r>
    </w:p>
    <w:p>
      <w:pPr>
        <w:widowControl w:val="0"/>
        <w:spacing w:before="0" w:after="60" w:line="240" w:lineRule="auto"/>
        <w:ind w:firstLine="709"/>
        <w:jc w:val="both"/>
      </w:pPr>
      <w:r>
        <w:rPr>
          <w:rFonts w:ascii="Times New Roman" w:hAnsi="Times New Roman"/>
          <w:sz w:val="28"/>
          <w:szCs w:val="28"/>
        </w:rPr>
        <w:t xml:space="preserve">отбирают из флакона дозатором 100 мкл (0,1 мл) суспензии и переносят ее в пробирку для ИМС, в которой уже находится порция исследуемой пробы;</w:t>
      </w:r>
    </w:p>
    <w:p>
      <w:pPr>
        <w:widowControl w:val="0"/>
        <w:spacing w:before="0" w:after="60" w:line="240" w:lineRule="auto"/>
        <w:ind w:firstLine="709"/>
        <w:jc w:val="both"/>
      </w:pPr>
      <w:r>
        <w:rPr>
          <w:rFonts w:ascii="Times New Roman" w:hAnsi="Times New Roman"/>
          <w:sz w:val="28"/>
          <w:szCs w:val="28"/>
        </w:rPr>
        <w:t xml:space="preserve">закрепляют закрытую пробирку для ИМС в штативе лабораторного ротатора перпендикулярно к оси вращения и перемешивают в течение 1 ч при скорости 18 об/мин при комнатной температуре (плюс 15 – 20°С) маятникообразными движениями, не переворачивая пробирку,</w:t>
      </w:r>
    </w:p>
    <w:p>
      <w:pPr>
        <w:widowControl w:val="0"/>
        <w:spacing w:before="0" w:after="60" w:line="240" w:lineRule="auto"/>
        <w:ind w:firstLine="709"/>
        <w:jc w:val="both"/>
      </w:pPr>
      <w:r>
        <w:rPr>
          <w:rFonts w:ascii="Times New Roman" w:hAnsi="Times New Roman"/>
          <w:sz w:val="28"/>
          <w:szCs w:val="28"/>
        </w:rPr>
        <w:t xml:space="preserve">извлекают ИМС-пробирку из ротатора и помещают в магнитный штатив плоской стороной к магниту, осторожно (не переворачивая) покачивают штатив с пробиркой вручную в течение 3 мин, поворачивая ее на 90 градусов от себя и наоборот, при этом плоская сторона пробирки должна находится снизу. По мере движения на плоской стороне ИМС-пробирки будет образовываться осадок (налет);</w:t>
      </w:r>
    </w:p>
    <w:p>
      <w:pPr>
        <w:widowControl w:val="0"/>
        <w:spacing w:before="0" w:after="60" w:line="240" w:lineRule="auto"/>
        <w:ind w:firstLine="709"/>
        <w:jc w:val="both"/>
      </w:pPr>
      <w:r>
        <w:rPr>
          <w:rFonts w:ascii="Times New Roman" w:hAnsi="Times New Roman"/>
          <w:sz w:val="28"/>
          <w:szCs w:val="28"/>
        </w:rPr>
        <w:t xml:space="preserve">остановив покачивание в вертикальном положении ИМС-пробирки, и не вынимая ее из магнитного штатива, открывают крышку пробирки, осторожно сливают жидкость из пробирки, не повредив осадок (налет) на плоской стороне пробирки;</w:t>
      </w:r>
    </w:p>
    <w:p>
      <w:pPr>
        <w:widowControl w:val="0"/>
        <w:spacing w:before="0" w:after="60" w:line="240" w:lineRule="auto"/>
        <w:ind w:firstLine="709"/>
        <w:jc w:val="both"/>
      </w:pPr>
      <w:r>
        <w:rPr>
          <w:rFonts w:ascii="Times New Roman" w:hAnsi="Times New Roman"/>
          <w:sz w:val="28"/>
          <w:szCs w:val="28"/>
        </w:rPr>
        <w:t xml:space="preserve">продолжая фиксировать пробирку на магните, удаляют остатки жидкости со дна пробирки, не задевая осадок;</w:t>
      </w:r>
    </w:p>
    <w:p>
      <w:pPr>
        <w:widowControl w:val="0"/>
        <w:spacing w:before="0" w:after="60" w:line="240" w:lineRule="auto"/>
        <w:ind w:firstLine="709"/>
        <w:jc w:val="both"/>
      </w:pPr>
      <w:r>
        <w:rPr>
          <w:rFonts w:ascii="Times New Roman" w:hAnsi="Times New Roman"/>
          <w:sz w:val="28"/>
          <w:szCs w:val="28"/>
        </w:rPr>
        <w:t xml:space="preserve">извлекают пробирку из штатива и добавляют 480 мкл буфера В, вращая пробирку и осторожно смывая суспензию с плоской стенки ИМС-пробирки;</w:t>
      </w:r>
    </w:p>
    <w:p>
      <w:pPr>
        <w:widowControl w:val="0"/>
        <w:spacing w:before="0" w:after="60" w:line="240" w:lineRule="auto"/>
        <w:ind w:firstLine="709"/>
        <w:jc w:val="both"/>
      </w:pPr>
      <w:r>
        <w:rPr>
          <w:rFonts w:ascii="Times New Roman" w:hAnsi="Times New Roman"/>
          <w:sz w:val="28"/>
          <w:szCs w:val="28"/>
        </w:rPr>
        <w:t xml:space="preserve">дозатором переносят 480 мкл суспензии из ИМС-пробирки в пробирку типа Эппендорф на 1,5 мл;</w:t>
      </w:r>
    </w:p>
    <w:p>
      <w:pPr>
        <w:widowControl w:val="0"/>
        <w:spacing w:before="0" w:after="60" w:line="240" w:lineRule="auto"/>
        <w:ind w:firstLine="709"/>
        <w:jc w:val="both"/>
      </w:pPr>
      <w:r>
        <w:rPr>
          <w:rFonts w:ascii="Times New Roman" w:hAnsi="Times New Roman"/>
          <w:sz w:val="28"/>
          <w:szCs w:val="28"/>
        </w:rPr>
        <w:t xml:space="preserve">дважды омывают плоскую стенку ИМС-пробирки 480 мкл буфера В, осторожно поворачивая пробирку;</w:t>
      </w:r>
    </w:p>
    <w:p>
      <w:pPr>
        <w:widowControl w:val="0"/>
        <w:spacing w:before="0" w:after="60" w:line="240" w:lineRule="auto"/>
        <w:ind w:firstLine="709"/>
        <w:jc w:val="both"/>
      </w:pPr>
      <w:r>
        <w:rPr>
          <w:rFonts w:ascii="Times New Roman" w:hAnsi="Times New Roman"/>
          <w:sz w:val="28"/>
          <w:szCs w:val="28"/>
        </w:rPr>
        <w:t xml:space="preserve">последовательно переносят оба смыва в пробирку типа Эппендорф на 1,5 мл с помощью пипетки, избегая при этом образования пузырей. Ждут 15 с и переносят остатки жидкости из ИМС-пробирки в ту же пробирку типа Эппендорф, закрывают крышку пробирки типа Эппендорф и помещают в магнитный штатив;</w:t>
      </w:r>
    </w:p>
    <w:p>
      <w:pPr>
        <w:widowControl w:val="0"/>
        <w:spacing w:before="0" w:after="60" w:line="240" w:lineRule="auto"/>
        <w:ind w:firstLine="709"/>
        <w:jc w:val="both"/>
      </w:pPr>
      <w:r>
        <w:rPr>
          <w:rFonts w:ascii="Times New Roman" w:hAnsi="Times New Roman"/>
          <w:sz w:val="28"/>
          <w:szCs w:val="28"/>
        </w:rPr>
        <w:t xml:space="preserve">штатив с пробиркой бережно покачивают вручную не менее 1 мин, поворачивая ее на 180 градусов, при этом пробирка должна находиться сверху;</w:t>
      </w:r>
    </w:p>
    <w:p>
      <w:pPr>
        <w:widowControl w:val="0"/>
        <w:spacing w:before="0" w:after="60" w:line="240" w:lineRule="auto"/>
        <w:ind w:firstLine="709"/>
        <w:jc w:val="both"/>
      </w:pPr>
      <w:r>
        <w:rPr>
          <w:rFonts w:ascii="Times New Roman" w:hAnsi="Times New Roman"/>
          <w:sz w:val="28"/>
          <w:szCs w:val="28"/>
        </w:rPr>
        <w:t xml:space="preserve">не вынимая пробирку с пробой из магнитного штатива и не касаясь суспензии на стенке пробирки, удаляют всю жидкость из пробирки. Исследуют осадок.</w:t>
      </w:r>
    </w:p>
    <w:p>
      <w:pPr>
        <w:widowControl w:val="0"/>
        <w:spacing w:before="0" w:after="60" w:line="240" w:lineRule="auto"/>
        <w:ind w:firstLine="709"/>
        <w:jc w:val="both"/>
      </w:pPr>
      <w:r>
        <w:rPr>
          <w:rFonts w:ascii="Times New Roman" w:hAnsi="Times New Roman"/>
          <w:sz w:val="28"/>
          <w:szCs w:val="28"/>
        </w:rPr>
        <w:t xml:space="preserve">4.7.5. Диссоциация иммунного комплекса:</w:t>
      </w:r>
    </w:p>
    <w:p>
      <w:pPr>
        <w:widowControl w:val="0"/>
        <w:spacing w:before="0" w:after="60" w:line="240" w:lineRule="auto"/>
        <w:ind w:firstLine="709"/>
        <w:jc w:val="both"/>
      </w:pPr>
      <w:r>
        <w:rPr>
          <w:rFonts w:ascii="Times New Roman" w:hAnsi="Times New Roman"/>
          <w:sz w:val="28"/>
          <w:szCs w:val="28"/>
        </w:rPr>
        <w:t xml:space="preserve">извлекают пробирку с исследуемым материалом из магнитного штатива и добавляют в нее 50 мкл 0,1 Н раствора соляной кислоты;</w:t>
      </w:r>
    </w:p>
    <w:p>
      <w:pPr>
        <w:widowControl w:val="0"/>
        <w:spacing w:before="0" w:after="60" w:line="240" w:lineRule="auto"/>
        <w:ind w:firstLine="709"/>
        <w:jc w:val="both"/>
      </w:pPr>
      <w:r>
        <w:rPr>
          <w:rFonts w:ascii="Times New Roman" w:hAnsi="Times New Roman"/>
          <w:sz w:val="28"/>
          <w:szCs w:val="28"/>
        </w:rPr>
        <w:t xml:space="preserve">перемешивают суспензию в пробирке на вортексе в течение 50 с;</w:t>
      </w:r>
    </w:p>
    <w:p>
      <w:pPr>
        <w:widowControl w:val="0"/>
        <w:spacing w:before="0" w:after="60" w:line="240" w:lineRule="auto"/>
        <w:ind w:firstLine="709"/>
        <w:jc w:val="both"/>
      </w:pPr>
      <w:r>
        <w:rPr>
          <w:rFonts w:ascii="Times New Roman" w:hAnsi="Times New Roman"/>
          <w:sz w:val="28"/>
          <w:szCs w:val="28"/>
        </w:rPr>
        <w:t xml:space="preserve">инкубируют пробирку в течение 10 мин при комнатной температуре (плюс 15 – 20°С);</w:t>
      </w:r>
    </w:p>
    <w:p>
      <w:pPr>
        <w:widowControl w:val="0"/>
        <w:spacing w:before="0" w:after="60" w:line="240" w:lineRule="auto"/>
        <w:ind w:firstLine="709"/>
        <w:jc w:val="both"/>
      </w:pPr>
      <w:r>
        <w:rPr>
          <w:rFonts w:ascii="Times New Roman" w:hAnsi="Times New Roman"/>
          <w:sz w:val="28"/>
          <w:szCs w:val="28"/>
        </w:rPr>
        <w:t xml:space="preserve">затем перемешивают суспензию в пробирке на вортексе в течение 30 с;</w:t>
      </w:r>
    </w:p>
    <w:p>
      <w:pPr>
        <w:widowControl w:val="0"/>
        <w:spacing w:before="0" w:after="60" w:line="240" w:lineRule="auto"/>
        <w:ind w:firstLine="709"/>
        <w:jc w:val="both"/>
      </w:pPr>
      <w:r>
        <w:rPr>
          <w:rFonts w:ascii="Times New Roman" w:hAnsi="Times New Roman"/>
          <w:sz w:val="28"/>
          <w:szCs w:val="28"/>
        </w:rPr>
        <w:t xml:space="preserve">на этом этапе готовят предметные стекла: маркируют одну лунку предметного стекла для положительного контроля (К+) и лунки для каждой исследуемой пробы. В лунку для положительного контроля (К+) дозатором пипеточным вносят 50 мкл положительного контроля. В лунку предметного стекла внести 6 мкл 1,0 моль/л NaOH (для freshly prepared, срок хранения раствора 30 сут); вариант с KOH не допускается);</w:t>
      </w:r>
    </w:p>
    <w:p>
      <w:pPr>
        <w:widowControl w:val="0"/>
        <w:spacing w:before="0" w:after="60" w:line="240" w:lineRule="auto"/>
        <w:ind w:firstLine="709"/>
        <w:jc w:val="both"/>
      </w:pPr>
      <w:r>
        <w:rPr>
          <w:rFonts w:ascii="Times New Roman" w:hAnsi="Times New Roman"/>
          <w:sz w:val="28"/>
          <w:szCs w:val="28"/>
        </w:rPr>
        <w:t xml:space="preserve">помещают пробирку в магнитный штатив. Через 30 с осторожно, не касаясь осадка на стенке пробирки, с помощью автоматической пипетки отбирают 50 мкл супернатанта (надосадочную жидкость) и переносят его в окно (лунку) слайда (предметного стекла), в котором находится 6 мкл 1,0 Н раствора NaOH;</w:t>
      </w:r>
    </w:p>
    <w:p>
      <w:pPr>
        <w:widowControl w:val="0"/>
        <w:spacing w:before="0" w:after="60" w:line="240" w:lineRule="auto"/>
        <w:ind w:firstLine="709"/>
        <w:jc w:val="both"/>
      </w:pPr>
      <w:r>
        <w:rPr>
          <w:rFonts w:ascii="Times New Roman" w:hAnsi="Times New Roman"/>
          <w:sz w:val="28"/>
          <w:szCs w:val="28"/>
        </w:rPr>
        <w:t xml:space="preserve">повторяют процедуры диссоциации. обе порции вносят в одно окно (56 ± 2 мкл); при разделении на два окна объём щёлочи удваивают для последующего иммунофлуоресцентного мечения;</w:t>
      </w:r>
    </w:p>
    <w:p>
      <w:pPr>
        <w:widowControl w:val="0"/>
        <w:spacing w:before="0" w:after="60" w:line="240" w:lineRule="auto"/>
        <w:ind w:firstLine="709"/>
        <w:jc w:val="both"/>
      </w:pPr>
      <w:r>
        <w:rPr>
          <w:rFonts w:ascii="Times New Roman" w:hAnsi="Times New Roman"/>
          <w:sz w:val="28"/>
          <w:szCs w:val="28"/>
        </w:rPr>
        <w:t xml:space="preserve">для положительного контроля отбирают 10 мкл положительного антигена из диагностического набора и вносят во второе окно слайда (предметного стекла);</w:t>
      </w:r>
    </w:p>
    <w:p>
      <w:pPr>
        <w:widowControl w:val="0"/>
        <w:spacing w:before="0" w:after="60" w:line="240" w:lineRule="auto"/>
        <w:ind w:firstLine="709"/>
        <w:jc w:val="both"/>
      </w:pPr>
      <w:r>
        <w:rPr>
          <w:rFonts w:ascii="Times New Roman" w:hAnsi="Times New Roman"/>
          <w:sz w:val="28"/>
          <w:szCs w:val="28"/>
        </w:rPr>
        <w:t xml:space="preserve">подсушивают слайд в потоке теплого (не горячего) воздуха или с помощью устройства для сушки слайдов (примерно 15 – 30 мин). Дальнейшие процедуры осуществляют для опытных и контрольных образцов (помещенных в лунки предметного стекла).</w:t>
      </w:r>
    </w:p>
    <w:p>
      <w:pPr>
        <w:widowControl w:val="0"/>
        <w:spacing w:before="0" w:after="60" w:line="240" w:lineRule="auto"/>
        <w:ind w:firstLine="709"/>
        <w:jc w:val="both"/>
      </w:pPr>
      <w:r>
        <w:rPr>
          <w:rFonts w:ascii="Times New Roman" w:hAnsi="Times New Roman"/>
          <w:sz w:val="28"/>
          <w:szCs w:val="28"/>
        </w:rPr>
        <w:t xml:space="preserve">4.7.6. Подготовка к иммунофлуоресцентному мечению:</w:t>
      </w:r>
    </w:p>
    <w:p>
      <w:pPr>
        <w:widowControl w:val="0"/>
        <w:spacing w:before="0" w:after="60" w:line="240" w:lineRule="auto"/>
        <w:ind w:firstLine="709"/>
        <w:jc w:val="both"/>
      </w:pPr>
      <w:r>
        <w:rPr>
          <w:rFonts w:ascii="Times New Roman" w:hAnsi="Times New Roman"/>
          <w:sz w:val="28"/>
          <w:szCs w:val="28"/>
        </w:rPr>
        <w:t xml:space="preserve">растворяют 1 таблетку таблетированного фосфатного буфера (PBS) в 100 мл дистиллированной воды;</w:t>
      </w:r>
    </w:p>
    <w:p>
      <w:pPr>
        <w:widowControl w:val="0"/>
        <w:spacing w:before="0" w:after="60" w:line="240" w:lineRule="auto"/>
        <w:ind w:firstLine="709"/>
        <w:jc w:val="both"/>
      </w:pPr>
      <w:r>
        <w:rPr>
          <w:rFonts w:ascii="Times New Roman" w:hAnsi="Times New Roman"/>
          <w:sz w:val="28"/>
          <w:szCs w:val="28"/>
        </w:rPr>
        <w:t xml:space="preserve">готовят рабочий раствор DAPI: разводят 1 мкл 5000х-концентрированного раствора из комплекта диагностического набора в 5 мл приготовленного фосфатного буфера (PBS). Рабочий раствор DAPI готовят в день выполнения исследования и используют только свежеприготовленный. Избегают воздействия прямого солнечного света.</w:t>
      </w:r>
    </w:p>
    <w:p>
      <w:pPr>
        <w:widowControl w:val="0"/>
        <w:spacing w:before="0" w:after="60" w:line="240" w:lineRule="auto"/>
        <w:ind w:firstLine="709"/>
        <w:jc w:val="both"/>
      </w:pPr>
      <w:r>
        <w:rPr>
          <w:rFonts w:ascii="Times New Roman" w:hAnsi="Times New Roman"/>
          <w:sz w:val="28"/>
          <w:szCs w:val="28"/>
        </w:rPr>
        <w:t xml:space="preserve">4.7.7. Флуоресцентное и иммунофлуоресцентное мечение:</w:t>
      </w:r>
    </w:p>
    <w:p>
      <w:pPr>
        <w:widowControl w:val="0"/>
        <w:spacing w:before="0" w:after="60" w:line="240" w:lineRule="auto"/>
        <w:ind w:firstLine="709"/>
        <w:jc w:val="both"/>
      </w:pPr>
      <w:r>
        <w:rPr>
          <w:rFonts w:ascii="Times New Roman" w:hAnsi="Times New Roman"/>
          <w:sz w:val="28"/>
          <w:szCs w:val="28"/>
        </w:rPr>
        <w:t xml:space="preserve">по завершении сушки слайда выполняют окрашивание раствором DAPI (4',6-диамидин-2-фенилиндол). Для этого в окна (лунки) с пробой и контролем вносят по 50 мкл рабочего раствора. Инкубируют при комнатной температуре (плюс 15 – 20°С) 1 мин;</w:t>
      </w:r>
    </w:p>
    <w:p>
      <w:pPr>
        <w:widowControl w:val="0"/>
        <w:spacing w:before="0" w:after="60" w:line="240" w:lineRule="auto"/>
        <w:ind w:firstLine="709"/>
        <w:jc w:val="both"/>
      </w:pPr>
      <w:r>
        <w:rPr>
          <w:rFonts w:ascii="Times New Roman" w:hAnsi="Times New Roman"/>
          <w:sz w:val="28"/>
          <w:szCs w:val="28"/>
        </w:rPr>
        <w:t xml:space="preserve">для промывки от DAPI в окна слайда с исследуемой пробой и в лунку с положительным контролем вносят по 50 – 100 мкл моющего буфера из диагностического набора, оставляют на 1 мин. Осторожно наклоняют слайд (покровное стекло) краем вниз и с помощью фильтровальной бумаги удаляют моющий буфер, не касаясь поверхности окон. Подсушивают препараты на воздухе;</w:t>
      </w:r>
    </w:p>
    <w:p>
      <w:pPr>
        <w:widowControl w:val="0"/>
        <w:spacing w:before="0" w:after="60" w:line="240" w:lineRule="auto"/>
        <w:ind w:firstLine="709"/>
        <w:jc w:val="both"/>
      </w:pPr>
      <w:r>
        <w:rPr>
          <w:rFonts w:ascii="Times New Roman" w:hAnsi="Times New Roman"/>
          <w:sz w:val="28"/>
          <w:szCs w:val="28"/>
        </w:rPr>
        <w:t xml:space="preserve">вносят по одной капле (45 – 50 мкл) иммунореагента для иммуномагнитной сепарации из диагностического набора в окна слайда. При необходимости, с помощью аппликатора или стеклянной палочки распределяют реагент по окну (лунке), не касаясь поверхности самого окна;</w:t>
      </w:r>
    </w:p>
    <w:p>
      <w:pPr>
        <w:widowControl w:val="0"/>
        <w:spacing w:before="0" w:after="60" w:line="240" w:lineRule="auto"/>
        <w:ind w:firstLine="709"/>
        <w:jc w:val="both"/>
      </w:pPr>
      <w:r>
        <w:rPr>
          <w:rFonts w:ascii="Times New Roman" w:hAnsi="Times New Roman"/>
          <w:sz w:val="28"/>
          <w:szCs w:val="28"/>
        </w:rPr>
        <w:t xml:space="preserve">помещают препараты в ячейку влажности и инкубируют в термостате в течение 25 мин при температуре плюс 37 °С или в течение 40 мин при комнатной температуре (плюс 15 – 20°С);</w:t>
      </w:r>
    </w:p>
    <w:p>
      <w:pPr>
        <w:widowControl w:val="0"/>
        <w:spacing w:before="0" w:after="60" w:line="240" w:lineRule="auto"/>
        <w:ind w:firstLine="709"/>
        <w:jc w:val="both"/>
      </w:pPr>
      <w:r>
        <w:rPr>
          <w:rFonts w:ascii="Times New Roman" w:hAnsi="Times New Roman"/>
          <w:sz w:val="28"/>
          <w:szCs w:val="28"/>
        </w:rPr>
        <w:t xml:space="preserve">для промывки от иммунореагента вносят в окна слайда по 45 – 50 мкл моющего буфера из диагностического набора, оставляют на 1 мин. Осторожно наклоняя слайд (узким краем вниз), с помощью фильтровальной бумаги удаляют моющий буфер, не касаясь поверхности окон;</w:t>
      </w:r>
    </w:p>
    <w:p>
      <w:pPr>
        <w:widowControl w:val="0"/>
        <w:spacing w:before="0" w:after="60" w:line="240" w:lineRule="auto"/>
        <w:ind w:firstLine="709"/>
        <w:jc w:val="both"/>
      </w:pPr>
      <w:r>
        <w:rPr>
          <w:rFonts w:ascii="Times New Roman" w:hAnsi="Times New Roman"/>
          <w:sz w:val="28"/>
          <w:szCs w:val="28"/>
        </w:rPr>
        <w:t xml:space="preserve">затем для снижения неспецифической флюоресценции и увеличения контрастности фона для лучшего наблюдения зеленой флюоресценции цист лямблий вносят по одной капле (45 – 50 мкл) контрастирующего красителя из диагностического набора в каждое окно слайда и инкубируют в течение 1 мин при комнатной температуре (плюс 15 – 20°С);</w:t>
      </w:r>
    </w:p>
    <w:p>
      <w:pPr>
        <w:widowControl w:val="0"/>
        <w:spacing w:before="0" w:after="60" w:line="240" w:lineRule="auto"/>
        <w:ind w:firstLine="709"/>
        <w:jc w:val="both"/>
      </w:pPr>
      <w:r>
        <w:rPr>
          <w:rFonts w:ascii="Times New Roman" w:hAnsi="Times New Roman"/>
          <w:sz w:val="28"/>
          <w:szCs w:val="28"/>
        </w:rPr>
        <w:t xml:space="preserve">отмывают предметное стекло от контрастирующего реагента – вносят в окна слайда 50 – 100 мкл моющего буфера, оставляют на 1 мин. Осторожно наклоняют препарат (узким краем вниз) и с помощью фильтровальной бумаги удаляют моющий буфер, не касаясь поверхности окон;</w:t>
      </w:r>
    </w:p>
    <w:p>
      <w:pPr>
        <w:widowControl w:val="0"/>
        <w:spacing w:before="0" w:after="60" w:line="240" w:lineRule="auto"/>
        <w:ind w:firstLine="709"/>
        <w:jc w:val="both"/>
      </w:pPr>
      <w:r>
        <w:rPr>
          <w:rFonts w:ascii="Times New Roman" w:hAnsi="Times New Roman"/>
          <w:sz w:val="28"/>
          <w:szCs w:val="28"/>
        </w:rPr>
        <w:t xml:space="preserve">раскладывают препараты на наклонном штативе для слайдов и подсушивают в токе теплого воздуха;</w:t>
      </w:r>
    </w:p>
    <w:p>
      <w:pPr>
        <w:widowControl w:val="0"/>
        <w:spacing w:before="0" w:after="60" w:line="240" w:lineRule="auto"/>
        <w:ind w:firstLine="709"/>
        <w:jc w:val="both"/>
      </w:pPr>
      <w:r>
        <w:rPr>
          <w:rFonts w:ascii="Times New Roman" w:hAnsi="Times New Roman"/>
          <w:sz w:val="28"/>
          <w:szCs w:val="28"/>
        </w:rPr>
        <w:t xml:space="preserve">наносят по 1 капле (45 – 50 мкл) защитной среды из диагностического набора в каждую лунку и накрывают покровным стеклом. Заклеивают бесцветным лаком (рекомендуется).</w:t>
      </w:r>
    </w:p>
    <w:p>
      <w:pPr>
        <w:widowControl w:val="0"/>
        <w:spacing w:before="0" w:after="60" w:line="240" w:lineRule="auto"/>
        <w:ind w:firstLine="709"/>
        <w:jc w:val="both"/>
      </w:pPr>
      <w:r>
        <w:rPr>
          <w:rFonts w:ascii="Times New Roman" w:hAnsi="Times New Roman"/>
          <w:sz w:val="28"/>
          <w:szCs w:val="28"/>
        </w:rPr>
        <w:t xml:space="preserve">4.7.8. Люминесцентная микроскопия:</w:t>
      </w:r>
    </w:p>
    <w:p>
      <w:pPr>
        <w:widowControl w:val="0"/>
        <w:spacing w:before="0" w:after="60" w:line="240" w:lineRule="auto"/>
        <w:ind w:firstLine="709"/>
        <w:jc w:val="both"/>
      </w:pPr>
      <w:r>
        <w:rPr>
          <w:rFonts w:ascii="Times New Roman" w:hAnsi="Times New Roman"/>
          <w:sz w:val="28"/>
          <w:szCs w:val="28"/>
        </w:rPr>
        <w:t xml:space="preserve">накрывают лунки предметного стекла покровными стеклами и микроскопируют препарат под масляной иммерсией на люминесцентном микроскопе;</w:t>
      </w:r>
    </w:p>
    <w:p>
      <w:pPr>
        <w:widowControl w:val="0"/>
        <w:spacing w:before="0" w:after="60" w:line="240" w:lineRule="auto"/>
        <w:ind w:firstLine="709"/>
        <w:jc w:val="both"/>
      </w:pPr>
      <w:r>
        <w:rPr>
          <w:rFonts w:ascii="Times New Roman" w:hAnsi="Times New Roman"/>
          <w:sz w:val="28"/>
          <w:szCs w:val="28"/>
        </w:rPr>
        <w:t xml:space="preserve">если используется насадка для перевода оптического микроскопа в режим флуоресцентной микроскопии, то лунки предметного стекла накрывают покровным стеклом и микроскопируют без иммерсии;</w:t>
      </w:r>
    </w:p>
    <w:p>
      <w:pPr>
        <w:widowControl w:val="0"/>
        <w:spacing w:before="0" w:after="60" w:line="240" w:lineRule="auto"/>
        <w:ind w:firstLine="709"/>
        <w:jc w:val="both"/>
      </w:pPr>
      <w:r>
        <w:rPr>
          <w:rFonts w:ascii="Times New Roman" w:hAnsi="Times New Roman"/>
          <w:sz w:val="28"/>
          <w:szCs w:val="28"/>
        </w:rPr>
        <w:t xml:space="preserve">препараты исследуют не менее чем при 200-кратном общем увеличении на наличие яблочно-зеленой флуоресценции, просматривая все поля зрения;</w:t>
      </w:r>
    </w:p>
    <w:p>
      <w:pPr>
        <w:widowControl w:val="0"/>
        <w:spacing w:before="0" w:after="60" w:line="240" w:lineRule="auto"/>
        <w:ind w:firstLine="709"/>
        <w:jc w:val="both"/>
      </w:pPr>
      <w:r>
        <w:rPr>
          <w:rFonts w:ascii="Times New Roman" w:hAnsi="Times New Roman"/>
          <w:sz w:val="28"/>
          <w:szCs w:val="28"/>
        </w:rPr>
        <w:t xml:space="preserve">при использовании каждой новой партии реагентов и перед началом микроскопии препаратов исследуемых проб рекомендуется предварительно просмотреть препарат положительного контроля, для этого используется контрольная суспензия с точно подсчитанным количеством цист лямблий из диагностического набора;</w:t>
      </w:r>
    </w:p>
    <w:p>
      <w:pPr>
        <w:widowControl w:val="0"/>
        <w:spacing w:before="0" w:after="60" w:line="240" w:lineRule="auto"/>
        <w:ind w:firstLine="709"/>
        <w:jc w:val="both"/>
      </w:pPr>
      <w:r>
        <w:rPr>
          <w:rFonts w:ascii="Times New Roman" w:hAnsi="Times New Roman"/>
          <w:sz w:val="28"/>
          <w:szCs w:val="28"/>
        </w:rPr>
        <w:t xml:space="preserve">цисты лямблий сверкающие и флуоресцирующие яблочно-зеленым светом объекты, формы – от овальных до сферических (от 8 – 14 мкм в длину на 7 – 10 мкм в ширину) с ярко подсвеченными краями (приложение 4 к настоящим МУК).</w:t>
      </w:r>
    </w:p>
    <w:p>
      <w:pPr>
        <w:widowControl w:val="0"/>
        <w:spacing w:before="0" w:after="60" w:line="240" w:lineRule="auto"/>
        <w:ind w:firstLine="709"/>
        <w:jc w:val="both"/>
      </w:pPr>
      <w:r>
        <w:rPr>
          <w:rFonts w:ascii="Times New Roman" w:hAnsi="Times New Roman"/>
          <w:sz w:val="28"/>
          <w:szCs w:val="28"/>
        </w:rPr>
        <w:t xml:space="preserve">4.8. Метод полимеразной цепной реакции (ПЦР) для обнаружения ДНК паразитарных патогенов</w:t>
      </w:r>
    </w:p>
    <w:p>
      <w:pPr>
        <w:widowControl w:val="0"/>
        <w:spacing w:before="0" w:after="60" w:line="240" w:lineRule="auto"/>
        <w:ind w:firstLine="709"/>
        <w:jc w:val="both"/>
      </w:pPr>
      <w:r>
        <w:rPr>
          <w:rFonts w:ascii="Times New Roman" w:hAnsi="Times New Roman"/>
          <w:sz w:val="28"/>
          <w:szCs w:val="28"/>
        </w:rPr>
        <w:t xml:space="preserve">Метод ПЦР определяет уникальные фрагменты ДНК паразитарных патогенов с помощью специфических праймеров, комплементарных исследуемому участку ДНК искомого паразита. Метод ПЦР состоит из трех основных этапов: выделение ДНК возбудителя; амплификация ДНК при помощи специфичных праймеров и фермента Taq-полимеразы; детекция продукта ПЦР, анализ и интерпретация результатов.</w:t>
      </w:r>
    </w:p>
    <w:p>
      <w:pPr>
        <w:widowControl w:val="0"/>
        <w:spacing w:before="0" w:after="60" w:line="240" w:lineRule="auto"/>
        <w:ind w:firstLine="709"/>
        <w:jc w:val="both"/>
      </w:pPr>
      <w:r>
        <w:rPr>
          <w:rFonts w:ascii="Times New Roman" w:hAnsi="Times New Roman"/>
          <w:sz w:val="28"/>
          <w:szCs w:val="28"/>
        </w:rPr>
        <w:t xml:space="preserve">4.8.1. Состав и способы приготовления растворов и буферов для ПЦР представлены в приложении 5 к настоящим МУК.</w:t>
      </w:r>
    </w:p>
    <w:p>
      <w:pPr>
        <w:widowControl w:val="0"/>
        <w:spacing w:before="0" w:after="60" w:line="240" w:lineRule="auto"/>
        <w:ind w:firstLine="709"/>
        <w:jc w:val="both"/>
      </w:pPr>
      <w:r>
        <w:rPr>
          <w:rFonts w:ascii="Times New Roman" w:hAnsi="Times New Roman"/>
          <w:sz w:val="28"/>
          <w:szCs w:val="28"/>
        </w:rPr>
        <w:t xml:space="preserve">4.8.2. Выбор метода выделения ДНК зависит от типа образца, целевых паразитарных патогенов, а также доступных ресурсов лаборатории. Для выделения ДНК паразитарных патогенов из проб почвы (песка) используют готовые коммерческие наборы реактивов, предназначенные именно для работы с почвой, согласно инструкции, чтобы удалить специфические для этого типа образцов ингибиторы ПЦР. Также можно использовать методы выделения с помощью отдельных химических реактивов (п. 4.8.4.) или в качестве дополнительной подготовки к очистке готовыми коммерческими наборами (п. 4.8.5.).</w:t>
      </w:r>
    </w:p>
    <w:p>
      <w:pPr>
        <w:widowControl w:val="0"/>
        <w:spacing w:before="0" w:after="60" w:line="240" w:lineRule="auto"/>
        <w:ind w:firstLine="709"/>
        <w:jc w:val="both"/>
      </w:pPr>
      <w:r>
        <w:rPr>
          <w:rFonts w:ascii="Times New Roman" w:hAnsi="Times New Roman"/>
          <w:sz w:val="28"/>
          <w:szCs w:val="28"/>
        </w:rPr>
        <w:t xml:space="preserve">4.8.3. Подготовка проб почвы (песка) для обнаружения паразитарных патогенов. Образцы почвы (песка) массой не меньше 0,5 г отбирают в соответствии с п 3.1.2. гомогенизируют и выделяют ДНК паразитарных патогенов.</w:t>
      </w:r>
    </w:p>
    <w:p>
      <w:pPr>
        <w:widowControl w:val="0"/>
        <w:spacing w:before="0" w:after="60" w:line="240" w:lineRule="auto"/>
        <w:ind w:firstLine="709"/>
        <w:jc w:val="both"/>
      </w:pPr>
      <w:r>
        <w:rPr>
          <w:rFonts w:ascii="Times New Roman" w:hAnsi="Times New Roman"/>
          <w:sz w:val="28"/>
          <w:szCs w:val="28"/>
        </w:rPr>
        <w:t xml:space="preserve">4.8.4. Выделение ДНК из проб почвы (песка) с помощью химических реактивов (метод с ЦТАБ).</w:t>
      </w:r>
    </w:p>
    <w:p>
      <w:pPr>
        <w:widowControl w:val="0"/>
        <w:spacing w:before="0" w:after="60" w:line="240" w:lineRule="auto"/>
        <w:ind w:firstLine="709"/>
        <w:jc w:val="both"/>
      </w:pPr>
      <w:r>
        <w:rPr>
          <w:rFonts w:ascii="Times New Roman" w:hAnsi="Times New Roman"/>
          <w:sz w:val="28"/>
          <w:szCs w:val="28"/>
        </w:rPr>
        <w:t xml:space="preserve">проводят лизис образца с помощью добавления 4-кратного объема раствора лизирующего буфера (2% «ЦТАБ») (приложение 5 к настоящим МУК), инкубируют 30 – 60 мин при плюс 60 °С с перемешиванием;</w:t>
      </w:r>
    </w:p>
    <w:p>
      <w:pPr>
        <w:widowControl w:val="0"/>
        <w:spacing w:before="0" w:after="60" w:line="240" w:lineRule="auto"/>
        <w:ind w:firstLine="709"/>
        <w:jc w:val="both"/>
      </w:pPr>
      <w:r>
        <w:rPr>
          <w:rFonts w:ascii="Times New Roman" w:hAnsi="Times New Roman"/>
          <w:sz w:val="28"/>
          <w:szCs w:val="28"/>
        </w:rPr>
        <w:t xml:space="preserve">в случае, анализа на выявление ДНК гельминтов (яиц гельминтов), процедура лизиса дополняется механической гомогенизацией и энзимной обработкой. Механический лизис: к образцу с лизирующим буфером добавляют шарики из стекла или циркония диаметром 0,1 – 1,0 мм из расчета 0,1 – 0,3 г на 100,0 мкл, затем гомогенизируют в шейкере с шариками 2 × 30 с при 25 Гц (или по паспорту прибора); шарики 0,1–0,3 г на 100 мкл пробы. Энзимная обработка: отбирают механически лизированный образец в пробирку и добавляют протеиназу К до концентрации 0,5 мг/мл, затем инкубируют 3 ч при температуре плюс 60 °С. Далее процедура выделения ДНК гельминтов и простейших одинакова;</w:t>
      </w:r>
    </w:p>
    <w:p>
      <w:pPr>
        <w:widowControl w:val="0"/>
        <w:spacing w:before="0" w:after="60" w:line="240" w:lineRule="auto"/>
        <w:ind w:firstLine="709"/>
        <w:jc w:val="both"/>
      </w:pPr>
      <w:r>
        <w:rPr>
          <w:rFonts w:ascii="Times New Roman" w:hAnsi="Times New Roman"/>
          <w:sz w:val="28"/>
          <w:szCs w:val="28"/>
        </w:rPr>
        <w:t xml:space="preserve">центрифугируют при 1000 g 5 мин. Отбирают надосадочную жидкость;</w:t>
      </w:r>
    </w:p>
    <w:p>
      <w:pPr>
        <w:widowControl w:val="0"/>
        <w:spacing w:before="0" w:after="60" w:line="240" w:lineRule="auto"/>
        <w:ind w:firstLine="709"/>
        <w:jc w:val="both"/>
      </w:pPr>
      <w:r>
        <w:rPr>
          <w:rFonts w:ascii="Times New Roman" w:hAnsi="Times New Roman"/>
          <w:sz w:val="28"/>
          <w:szCs w:val="28"/>
        </w:rPr>
        <w:t xml:space="preserve">к отобранной надосадочной жидкости добавляют равный объём хлороформа, насыщенного водой (приложение 5, поз. 6), встряхивают на вортексе 3 мин, инкубируют 5 мин при комнатной температуре (плюс 15 – 20°С) и центрифугируют при 12000 об/мин в течение 30 мин при температуре плюс 4 °С, отбирают верхнюю водную фазу;</w:t>
      </w:r>
    </w:p>
    <w:p>
      <w:pPr>
        <w:widowControl w:val="0"/>
        <w:spacing w:before="0" w:after="60" w:line="240" w:lineRule="auto"/>
        <w:ind w:firstLine="709"/>
        <w:jc w:val="both"/>
      </w:pPr>
      <w:r>
        <w:rPr>
          <w:rFonts w:ascii="Times New Roman" w:hAnsi="Times New Roman"/>
          <w:sz w:val="28"/>
          <w:szCs w:val="28"/>
        </w:rPr>
        <w:t xml:space="preserve">к отобранной верхней водной фазе добавляют 7,5М раствора ацетата аммония CH3COONH4 (до конечной концентрации 3 M), инкубируют 5 мин при Температуре плюс 4 °С;</w:t>
      </w:r>
    </w:p>
    <w:p>
      <w:pPr>
        <w:widowControl w:val="0"/>
        <w:spacing w:before="0" w:after="60" w:line="240" w:lineRule="auto"/>
        <w:ind w:firstLine="709"/>
        <w:jc w:val="both"/>
      </w:pPr>
      <w:r>
        <w:rPr>
          <w:rFonts w:ascii="Times New Roman" w:hAnsi="Times New Roman"/>
          <w:sz w:val="28"/>
          <w:szCs w:val="28"/>
        </w:rPr>
        <w:t xml:space="preserve">центрифугируют при 12000 об/мин в течение 5 мин при температуре плюс 4 °С, отбирают надосадочную жидкость. К надосадочной жидкости добавляют равный объем изопропанола и инкубируют 15 мин при температуре минус 20 °С, затем центрифугируют при 12000 об/мин в течение 20 мин при температуре плюс 4 °С, отбирают надосадочную жидкость, сохраняя осадок;</w:t>
      </w:r>
    </w:p>
    <w:p>
      <w:pPr>
        <w:widowControl w:val="0"/>
        <w:spacing w:before="0" w:after="60" w:line="240" w:lineRule="auto"/>
        <w:ind w:firstLine="709"/>
        <w:jc w:val="both"/>
      </w:pPr>
      <w:r>
        <w:rPr>
          <w:rFonts w:ascii="Times New Roman" w:hAnsi="Times New Roman"/>
          <w:sz w:val="28"/>
          <w:szCs w:val="28"/>
        </w:rPr>
        <w:t xml:space="preserve">к осадку добавляют 1,0 мл холодного 70% этанола, перемешивают, центрифугируют 1 минуту при 12000 об/мин. Надосадочную жидкость удаляют, остатки капель осаждают центрифугированием 1 мин при 12000 об/мин, отбирают надосадочную жидкость, сохраняя осадок;</w:t>
      </w:r>
    </w:p>
    <w:p>
      <w:pPr>
        <w:widowControl w:val="0"/>
        <w:spacing w:before="0" w:after="60" w:line="240" w:lineRule="auto"/>
        <w:ind w:firstLine="709"/>
        <w:jc w:val="both"/>
      </w:pPr>
      <w:r>
        <w:rPr>
          <w:rFonts w:ascii="Times New Roman" w:hAnsi="Times New Roman"/>
          <w:sz w:val="28"/>
          <w:szCs w:val="28"/>
        </w:rPr>
        <w:t xml:space="preserve">осадок ДНК подсушивают 10 минут при комнатной температуре (плюс 15 – 20°С), затем растворяют в ТЕ буфере (20 мМ трис-HCl pH 7,5; 1 мМ ЭДТА) (приложение 5 к настоящим МУК) при температуре плюс 37 °С в течение 10 – 15 мин.</w:t>
      </w:r>
    </w:p>
    <w:p>
      <w:pPr>
        <w:widowControl w:val="0"/>
        <w:spacing w:before="0" w:after="60" w:line="240" w:lineRule="auto"/>
        <w:ind w:firstLine="709"/>
        <w:jc w:val="both"/>
      </w:pPr>
      <w:r>
        <w:rPr>
          <w:rFonts w:ascii="Times New Roman" w:hAnsi="Times New Roman"/>
          <w:sz w:val="28"/>
          <w:szCs w:val="28"/>
        </w:rPr>
        <w:t xml:space="preserve">4.8.5. Выделение ДНК паразитарных патогенов из проб почвы с применением реактивов коммерческих наборов, которые специально не предназначены для выделения из почвы:</w:t>
      </w:r>
    </w:p>
    <w:p>
      <w:pPr>
        <w:widowControl w:val="0"/>
        <w:spacing w:before="0" w:after="60" w:line="240" w:lineRule="auto"/>
        <w:ind w:firstLine="709"/>
        <w:jc w:val="both"/>
      </w:pPr>
      <w:r>
        <w:rPr>
          <w:rFonts w:ascii="Times New Roman" w:hAnsi="Times New Roman"/>
          <w:sz w:val="28"/>
          <w:szCs w:val="28"/>
        </w:rPr>
        <w:t xml:space="preserve">лизис и гомогенизацию образцов проводят как описано в п. 4.8.4., заменяя лизирующий буфер из набора буфером с ЦТАБ вплоть до стадии добавления хлороформа (обработку хлороформом пропускают);</w:t>
      </w:r>
    </w:p>
    <w:p>
      <w:pPr>
        <w:widowControl w:val="0"/>
        <w:spacing w:before="0" w:after="60" w:line="240" w:lineRule="auto"/>
        <w:ind w:firstLine="709"/>
        <w:jc w:val="both"/>
      </w:pPr>
      <w:r>
        <w:rPr>
          <w:rFonts w:ascii="Times New Roman" w:hAnsi="Times New Roman"/>
          <w:sz w:val="28"/>
          <w:szCs w:val="28"/>
        </w:rPr>
        <w:t xml:space="preserve">к образцам добавляют 7,5М раствор ацетат аммония CH3COONH4 до конечной концентрации 3 M и инкубируют 5 мин при температуре плюс 4°С, затем центрифугируют при 12000 об/мин в течение 5 мин при температуре плюс 4 °С;</w:t>
      </w:r>
    </w:p>
    <w:p>
      <w:pPr>
        <w:widowControl w:val="0"/>
        <w:spacing w:before="0" w:after="60" w:line="240" w:lineRule="auto"/>
        <w:ind w:firstLine="709"/>
        <w:jc w:val="both"/>
      </w:pPr>
      <w:r>
        <w:rPr>
          <w:rFonts w:ascii="Times New Roman" w:hAnsi="Times New Roman"/>
          <w:sz w:val="28"/>
          <w:szCs w:val="28"/>
        </w:rPr>
        <w:t xml:space="preserve">отбирают надосадочную жидкость и производят выделение ДНК готовым набором реактивов по инструкции производителя (пропуская стадию лизиса и обрабатывая образцы как «лизат»).</w:t>
      </w:r>
    </w:p>
    <w:p>
      <w:pPr>
        <w:widowControl w:val="0"/>
        <w:spacing w:before="0" w:after="60" w:line="240" w:lineRule="auto"/>
        <w:ind w:firstLine="709"/>
        <w:jc w:val="both"/>
      </w:pPr>
      <w:r>
        <w:rPr>
          <w:rFonts w:ascii="Times New Roman" w:hAnsi="Times New Roman"/>
          <w:sz w:val="28"/>
          <w:szCs w:val="28"/>
        </w:rPr>
        <w:t xml:space="preserve">4.8.6. Выделение ДНК паразитарных патогенов из проб воды/смывов. Для выделения ДНК возбудителя паразитоза предварительно из воды готовят концентрированный осадок (или фильтрат) при помощи метода последовательной фильтрации через систему прозрачных аналитических трековых мембран (АТМ) (п. 4.5.5. – 4.5.6.). Из полученного осадка выделяют ДНК с использованием отдельных химических реактивов (п. 4.8.4.) или готовых коммерческих наборов для выделения ДНК.</w:t>
      </w:r>
    </w:p>
    <w:p>
      <w:pPr>
        <w:widowControl w:val="0"/>
        <w:spacing w:before="0" w:after="60" w:line="240" w:lineRule="auto"/>
        <w:ind w:firstLine="709"/>
        <w:jc w:val="both"/>
      </w:pPr>
      <w:r>
        <w:rPr>
          <w:rFonts w:ascii="Times New Roman" w:hAnsi="Times New Roman"/>
          <w:sz w:val="28"/>
          <w:szCs w:val="28"/>
        </w:rPr>
        <w:t xml:space="preserve">4.8.7. Процедура амплификации выполняется готовыми к применению коммерческими наборами для выявления ДНК целевых паразитарных патогенов, зарегистрированными и разрешёнными для применения в Российской Федерации в установленном порядке, при обязательном включении: Negative Template Control (НТК) в каждой серии, положительного контроля экстракции, внутреннего положительного контроля (ИК) в каждой реакции; объём шаблона — 2–5 мкл; каждое определение в двух повторах; расхождение Ct повторов ≤0,5 цикла</w:t>
      </w:r>
    </w:p>
    <w:p>
      <w:pPr>
        <w:widowControl w:val="0"/>
        <w:spacing w:before="0" w:after="60" w:line="240" w:lineRule="auto"/>
        <w:ind w:firstLine="709"/>
        <w:jc w:val="both"/>
      </w:pPr>
      <w:r>
        <w:rPr>
          <w:rFonts w:ascii="Times New Roman" w:hAnsi="Times New Roman"/>
          <w:sz w:val="28"/>
          <w:szCs w:val="28"/>
        </w:rPr>
        <w:t xml:space="preserve">4.8.8. Способы детекции результатов ПЦР: электрофоретический (в агарозном или полиакриламидном геле); гибридизационно-ферментный; гибридизационно-флуоресцентный: регистрация продукта после окончания реакции амплификации – «анализ по конечной точке»; детекция продукта в режиме «реального времени».</w:t>
      </w:r>
    </w:p>
    <w:p>
      <w:pPr>
        <w:widowControl w:val="0"/>
        <w:spacing w:before="0" w:after="60" w:line="240" w:lineRule="auto"/>
        <w:ind w:firstLine="709"/>
        <w:jc w:val="both"/>
      </w:pPr>
      <w:r>
        <w:rPr>
          <w:rFonts w:ascii="Times New Roman" w:hAnsi="Times New Roman"/>
          <w:sz w:val="28"/>
          <w:szCs w:val="28"/>
        </w:rPr>
        <w:t xml:space="preserve">Форматы исследования: качественный, количественный.</w:t>
      </w:r>
    </w:p>
    <w:p>
      <w:pPr>
        <w:widowControl w:val="0"/>
        <w:spacing w:before="0" w:after="60" w:line="240" w:lineRule="auto"/>
        <w:ind w:firstLine="709"/>
        <w:jc w:val="both"/>
      </w:pPr>
      <w:r>
        <w:rPr>
          <w:rFonts w:ascii="Times New Roman" w:hAnsi="Times New Roman"/>
          <w:sz w:val="28"/>
          <w:szCs w:val="28"/>
        </w:rPr>
        <w:t xml:space="preserve">4.8.9. Метод гель-электрофореза основан на разделении молекул ДНК по размеру. Визуализацию результатов проводят в пластине агарозного или полиакриламидном геля с добавлением специального красителя ДНК, например, бромистого этидия. Анализ результатов электрофореза проводят на основании визуальной оценки наличия окрашенных полос фрагментов ДНК в дорожках геля, с учётом данных контрольных образцов. Проба положительного контроля должна содержать продукт ПЦР нужного размера, проба отрицательного контроля должна оставаться пустой. По наличию и отсутствию продукта ПЦР делают вывод о наличии или отсутствии ДНК исследуемого возбудителя в исходной пробе.</w:t>
      </w:r>
    </w:p>
    <w:p>
      <w:pPr>
        <w:widowControl w:val="0"/>
        <w:spacing w:before="0" w:after="60" w:line="240" w:lineRule="auto"/>
        <w:ind w:firstLine="709"/>
        <w:jc w:val="both"/>
      </w:pPr>
      <w:r>
        <w:rPr>
          <w:rFonts w:ascii="Times New Roman" w:hAnsi="Times New Roman"/>
          <w:sz w:val="28"/>
          <w:szCs w:val="28"/>
        </w:rPr>
        <w:t xml:space="preserve">4.8.10. Детекция результатов ПЦР флуоресцентным методом (в режиме «реального времени»). При создании протокола амплификации выбирают режим детекции флуоресцентного сигнала в соответствии с инструкцией к используемому коммерческому набору и амплификатору. В ходе реакции происходит рост флуоресцентного сигнала в пробе соответственно накоплению ДНК-продукта ПЦР.</w:t>
      </w:r>
    </w:p>
    <w:p>
      <w:pPr>
        <w:widowControl w:val="0"/>
        <w:spacing w:before="0" w:after="60" w:line="240" w:lineRule="auto"/>
        <w:ind w:firstLine="709"/>
        <w:jc w:val="both"/>
      </w:pPr>
      <w:r>
        <w:rPr>
          <w:rFonts w:ascii="Times New Roman" w:hAnsi="Times New Roman"/>
          <w:sz w:val="28"/>
          <w:szCs w:val="28"/>
        </w:rPr>
        <w:t xml:space="preserve">4.8.11. Анализ результатов с детекцией в режиме реального времени проводят с помощью программного обеспечения прибора, используемого для проведения данного вида ПЦР и указаний для конкретного набора реагентов. Результаты интерпретируют на основании наличия (или отсутствия) пересечения кривой роста флуоресценции с заданной пороговой линией (от 100 до 500 условных единиц), что соответствует наличию (или отсутствию) значения порогового цикла Ct в соответствующей графе в таблице результатов. Чем меньше циклов потребовалось для накопления минимального количества продукта, обеспечивающего наступление порогового цикла, тем больше ДНК возбудителя находилось в исследуемом образце.</w:t>
      </w:r>
    </w:p>
    <w:p>
      <w:pPr>
        <w:widowControl w:val="0"/>
        <w:spacing w:before="0" w:after="60" w:line="240" w:lineRule="auto"/>
        <w:ind w:firstLine="709"/>
        <w:jc w:val="both"/>
      </w:pPr>
      <w:r>
        <w:rPr>
          <w:rFonts w:ascii="Times New Roman" w:hAnsi="Times New Roman"/>
          <w:sz w:val="28"/>
          <w:szCs w:val="28"/>
        </w:rPr>
        <w:t xml:space="preserve">4.8.12. При интерпретации результатов ПЦР с использованием готового диагностического набора следует учитывать критерии, указанные в инструкции производителя (оценки качества выделения ДНК, значения Ct в контрольных образцах и анализируемых пробах, и т.д.).</w:t>
      </w:r>
    </w:p>
    <w:p>
      <w:pPr>
        <w:widowControl w:val="0"/>
        <w:spacing w:before="0" w:after="60" w:line="240" w:lineRule="auto"/>
        <w:ind w:firstLine="709"/>
        <w:jc w:val="both"/>
      </w:pPr>
      <w:r>
        <w:rPr>
          <w:rFonts w:ascii="Times New Roman" w:hAnsi="Times New Roman"/>
          <w:sz w:val="28"/>
          <w:szCs w:val="28"/>
        </w:rPr>
        <w:t xml:space="preserve">4.8.13. Анализ считается прошедшим корректно, если значения Ct для контрольных образцов соответствуют пороговым (граничным) значениям, указанным в инструкции производителя набора реагентов.</w:t>
      </w:r>
    </w:p>
    <w:p>
      <w:pPr>
        <w:widowControl w:val="0"/>
        <w:spacing w:before="0" w:after="60" w:line="240" w:lineRule="auto"/>
        <w:ind w:firstLine="709"/>
        <w:jc w:val="both"/>
      </w:pPr>
      <w:r>
        <w:rPr>
          <w:rFonts w:ascii="Times New Roman" w:hAnsi="Times New Roman"/>
          <w:sz w:val="28"/>
          <w:szCs w:val="28"/>
        </w:rPr>
        <w:t xml:space="preserve">4.8.14. По результатам анализа выдается ответ о наличии в пробе специфических фрагментов ДНК, имеющих гомологию с определенным участком генома паразитарных патогенов.</w:t>
      </w:r>
    </w:p>
    <w:p>
      <w:pPr>
        <w:widowControl w:val="0"/>
        <w:spacing w:before="0" w:after="60" w:line="240" w:lineRule="auto"/>
        <w:ind w:firstLine="709"/>
        <w:jc w:val="both"/>
      </w:pPr>
      <w:r>
        <w:rPr>
          <w:rFonts w:ascii="Times New Roman" w:hAnsi="Times New Roman"/>
          <w:sz w:val="28"/>
          <w:szCs w:val="28"/>
        </w:rPr>
        <w:t xml:space="preserve">4.9. Методы исследования навоза, помёта, навозных стоков и органических удобрений на их основе</w:t>
      </w:r>
    </w:p>
    <w:p>
      <w:pPr>
        <w:widowControl w:val="0"/>
        <w:spacing w:before="0" w:after="60" w:line="240" w:lineRule="auto"/>
        <w:ind w:firstLine="709"/>
        <w:jc w:val="both"/>
      </w:pPr>
      <w:r>
        <w:rPr>
          <w:rFonts w:ascii="Times New Roman" w:hAnsi="Times New Roman"/>
          <w:sz w:val="28"/>
          <w:szCs w:val="28"/>
        </w:rPr>
        <w:t xml:space="preserve">4.9.1. Навоз, помёт и навозные стоки характеризуются высоким содержанием органических веществ и грубодисперсного детрита, которые образуют устойчивую взвесь и экранируют яйца гельминтов, цисты и ооцисты простейших, снижая извлечение целевых объектов при прямой флотации. В связи с этим исследование указанных объектов проводят в две стадии: предварительное отделение грубого детрита и осаждение (седиментация, последовательное промывание) с последующей флотацией осадка раствором повышенной плотности. Прямая флотация нативной пробы навоза не допускается.</w:t>
      </w:r>
    </w:p>
    <w:p>
      <w:pPr>
        <w:widowControl w:val="0"/>
        <w:spacing w:before="0" w:after="60" w:line="240" w:lineRule="auto"/>
        <w:ind w:firstLine="709"/>
        <w:jc w:val="both"/>
      </w:pPr>
      <w:r>
        <w:rPr>
          <w:rFonts w:ascii="Times New Roman" w:hAnsi="Times New Roman"/>
          <w:sz w:val="28"/>
          <w:szCs w:val="28"/>
        </w:rPr>
        <w:t xml:space="preserve">Плотность применяемых флотационных растворов и способы их приготовления — по приложению 3 и по п. 4.9.1-1: насыщенный раствор хлористого натрия (ρ 1,18–1,19 г/см³); раствор нитрата аммония (ρ 1,28–1,29 г/см³); раствор сульфата магния (ρ 1,28–1,29 г/см³); смесь хлористого натрия и нитрата аммония (ρ 1,27–1,28 г/см³); смесь азотнокислого натрия и сернокислого магния (ρ 1,27–1,28 г/см³); раствор сернокислого цинка (ρ 1,24 г/см³); насыщенный раствор азотнокислого натрия (ρ 1,38–1,4 г/см³); раствор хлорида цинка (ρ 1,75–1,82 г/см³ — для яиц описторхид и других трематод); раствор сахарозы (ρ 1,26–1,30 г/см³). Плотность раствора контролируют ареометром перед каждым применением (для раствора хлорида цинка — ареометром с верхним пределом измерения не менее 2,000 кг/м³).</w:t>
      </w:r>
    </w:p>
    <w:p>
      <w:pPr>
        <w:widowControl w:val="0"/>
        <w:spacing w:before="0" w:after="60" w:line="240" w:lineRule="auto"/>
        <w:ind w:firstLine="709"/>
        <w:jc w:val="both"/>
      </w:pPr>
      <w:r>
        <w:rPr>
          <w:rFonts w:ascii="Times New Roman" w:hAnsi="Times New Roman"/>
          <w:sz w:val="28"/>
          <w:szCs w:val="28"/>
        </w:rPr>
        <w:t xml:space="preserve">4.9.1-1. Приготовление флотационных растворов (рецепты приведены также в приложении 3):</w:t>
      </w:r>
    </w:p>
    <w:p>
      <w:pPr>
        <w:widowControl w:val="0"/>
        <w:spacing w:before="0" w:after="60" w:line="240" w:lineRule="auto"/>
        <w:ind w:firstLine="709"/>
        <w:jc w:val="both"/>
      </w:pPr>
      <w:r>
        <w:rPr>
          <w:rFonts w:ascii="Times New Roman" w:hAnsi="Times New Roman"/>
          <w:sz w:val="28"/>
          <w:szCs w:val="28"/>
        </w:rPr>
        <w:t xml:space="preserve">— насыщенный раствор хлористого натрия (ρ 1,18–1,19 г/см³): 420 г хлористого натрия растворяют в 1 дм³ кипящей дистиллированной воды, охлаждают, фильтруют через воронку с ватой или двуслойной марлей в чистую стеклянную посуду, проверяют плотность ареометром; готовят непосредственно перед определением;</w:t>
      </w:r>
    </w:p>
    <w:p>
      <w:pPr>
        <w:widowControl w:val="0"/>
        <w:spacing w:before="0" w:after="60" w:line="240" w:lineRule="auto"/>
        <w:ind w:firstLine="709"/>
        <w:jc w:val="both"/>
      </w:pPr>
      <w:r>
        <w:rPr>
          <w:rFonts w:ascii="Times New Roman" w:hAnsi="Times New Roman"/>
          <w:sz w:val="28"/>
          <w:szCs w:val="28"/>
        </w:rPr>
        <w:t xml:space="preserve">— раствор нитрата аммония (ρ 1,28–1,29 г/см³): 1500 г нитрата аммония (аммиачной селитры) растворяют в 1 дм³ горячей дистиллированной воды в эмалированной или стеклянной посуде при постоянном размешивании и подогревании, охлаждают, фильтруют, проверяют плотность ареометром;</w:t>
      </w:r>
    </w:p>
    <w:p>
      <w:pPr>
        <w:widowControl w:val="0"/>
        <w:spacing w:before="0" w:after="60" w:line="240" w:lineRule="auto"/>
        <w:ind w:firstLine="709"/>
        <w:jc w:val="both"/>
      </w:pPr>
      <w:r>
        <w:rPr>
          <w:rFonts w:ascii="Times New Roman" w:hAnsi="Times New Roman"/>
          <w:sz w:val="28"/>
          <w:szCs w:val="28"/>
        </w:rPr>
        <w:t xml:space="preserve">— раствор сульфата магния (ρ 1,28–1,29 г/см³): 920 г сульфата магния растворяют в 1 дм³ дистиллированной воды и остужают;</w:t>
      </w:r>
    </w:p>
    <w:p>
      <w:pPr>
        <w:widowControl w:val="0"/>
        <w:spacing w:before="0" w:after="60" w:line="240" w:lineRule="auto"/>
        <w:ind w:firstLine="709"/>
        <w:jc w:val="both"/>
      </w:pPr>
      <w:r>
        <w:rPr>
          <w:rFonts w:ascii="Times New Roman" w:hAnsi="Times New Roman"/>
          <w:sz w:val="28"/>
          <w:szCs w:val="28"/>
        </w:rPr>
        <w:t xml:space="preserve">— смесь хлористого натрия и нитрата аммония (ρ 1,27–1,28 г/см³): 250 г хлористого натрия и 550 г нитрата аммония растворяют в 1 дм³ кипящей дистиллированной воды, остывший раствор фильтруют, проверяют плотность ареометром;</w:t>
      </w:r>
    </w:p>
    <w:p>
      <w:pPr>
        <w:widowControl w:val="0"/>
        <w:spacing w:before="0" w:after="60" w:line="240" w:lineRule="auto"/>
        <w:ind w:firstLine="709"/>
        <w:jc w:val="both"/>
      </w:pPr>
      <w:r>
        <w:rPr>
          <w:rFonts w:ascii="Times New Roman" w:hAnsi="Times New Roman"/>
          <w:sz w:val="28"/>
          <w:szCs w:val="28"/>
        </w:rPr>
        <w:t xml:space="preserve">— смесь азотнокислого натрия и сернокислого магния (ρ 1,27–1,28 г/см³): 500 г азотнокислого натрия и 960 г сернокислого магния растворяют в 1 дм³ кипящей дистиллированной воды, охлаждают, фильтруют, проверяют плотность ареометром;</w:t>
      </w:r>
    </w:p>
    <w:p>
      <w:pPr>
        <w:widowControl w:val="0"/>
        <w:spacing w:before="0" w:after="60" w:line="240" w:lineRule="auto"/>
        <w:ind w:firstLine="709"/>
        <w:jc w:val="both"/>
      </w:pPr>
      <w:r>
        <w:rPr>
          <w:rFonts w:ascii="Times New Roman" w:hAnsi="Times New Roman"/>
          <w:sz w:val="28"/>
          <w:szCs w:val="28"/>
        </w:rPr>
        <w:t xml:space="preserve">— раствор сернокислого цинка (ρ 1,24 г/см³): 400 г сернокислого цинка растворяют в 1 дм³ горячей дистиллированной воды в эмалированной или стеклянной посуде при постоянном размешивании и подогревании; через 24 ч раствор может дать осадок и его плотность понижается, в связи с чем раствор готовят непосредственно перед определением.</w:t>
      </w:r>
    </w:p>
    <w:p>
      <w:pPr>
        <w:widowControl w:val="0"/>
        <w:spacing w:before="0" w:after="60" w:line="240" w:lineRule="auto"/>
        <w:ind w:firstLine="709"/>
        <w:jc w:val="both"/>
      </w:pPr>
      <w:r>
        <w:rPr>
          <w:rFonts w:ascii="Times New Roman" w:hAnsi="Times New Roman"/>
          <w:sz w:val="28"/>
          <w:szCs w:val="28"/>
        </w:rPr>
        <w:t xml:space="preserve">4.9.2. Исследование твёрдого (подстилочного) навоза, помёта, компостов, биоперегноя и биогумуса на яйца гельминтов (метод Романенко Н.А. в модификации Черепанова А.А.; метод Черепанова по ГОСТ Р 57782-2017, п. 8.3.1).</w:t>
      </w:r>
    </w:p>
    <w:p>
      <w:pPr>
        <w:widowControl w:val="0"/>
        <w:spacing w:before="0" w:after="60" w:line="240" w:lineRule="auto"/>
        <w:ind w:firstLine="709"/>
        <w:jc w:val="both"/>
      </w:pPr>
      <w:r>
        <w:rPr>
          <w:rFonts w:ascii="Times New Roman" w:hAnsi="Times New Roman"/>
          <w:sz w:val="28"/>
          <w:szCs w:val="28"/>
        </w:rPr>
        <w:t xml:space="preserve">Анализируемую навеску массой 50–100 г (при исследовании проб с низкой обсеменённостью — до 200 г) помещают в лабораторный стакан вместимостью 500–1000 см³, добавляют дистиллированную воду (при массе навески 100 г — 900 см³) и перемешивают стеклянной палочкой до однородной суспензии. Смесь фильтруют через двойной слой марли (или через металлическое либо пластмассовое ситечко с ячейками 0,25–0,3 мм) в другой стакан или коническую колбу. Фильтрат отстаивают 15–20 мин либо переливают в центрифужные пробирки и центрифугируют 3 мин при 1500 об/мин. Надосадочную жидкость сливают, к осадку добавляют насыщенный раствор азотнокислого натрия (приложение 3, позиция 1) и смесь вновь центрифугируют в том же режиме.</w:t>
      </w:r>
    </w:p>
    <w:p>
      <w:pPr>
        <w:widowControl w:val="0"/>
        <w:spacing w:before="0" w:after="60" w:line="240" w:lineRule="auto"/>
        <w:ind w:firstLine="709"/>
        <w:jc w:val="both"/>
      </w:pPr>
      <w:r>
        <w:rPr>
          <w:rFonts w:ascii="Times New Roman" w:hAnsi="Times New Roman"/>
          <w:sz w:val="28"/>
          <w:szCs w:val="28"/>
        </w:rPr>
        <w:t xml:space="preserve">Центрифужные пробирки устанавливают в штатив, доливают тот же раствор до образования выпуклого мениска и накрывают покровными стёклами либо большими обезжиренными предметными стёклами размером 70 × 70 мм (стёкла предварительно обезжиривают смесью этилового спирта и эфира, нашатырным спиртом или моют в горячей воде с моющим средством и высушивают; на сухой поверхности стеклографом наносят 3–4 линии, делящие стекло на равные части). Через 15–20 мин стёкла снимают, поворачивая внутренней стороной вверх, и образовавшуюся плёнку просматривают под микроскопом при малом и большом увеличении. Для просветления плёнки и предотвращения выпадения кристаллов на её поверхность наносят 3–4 капли смеси 50% водного раствора глицерина и дистиллированной воды в соотношении 1:1. Микроскопирование плёнки повторяют 2–3 раза.</w:t>
      </w:r>
    </w:p>
    <w:p>
      <w:pPr>
        <w:widowControl w:val="0"/>
        <w:spacing w:before="0" w:after="60" w:line="240" w:lineRule="auto"/>
        <w:ind w:firstLine="709"/>
        <w:jc w:val="both"/>
      </w:pPr>
      <w:r>
        <w:rPr>
          <w:rFonts w:ascii="Times New Roman" w:hAnsi="Times New Roman"/>
          <w:sz w:val="28"/>
          <w:szCs w:val="28"/>
        </w:rPr>
        <w:t xml:space="preserve">Объём анализируемой пробы в расчёте на центрифужную пробирку вместимостью 250 см³ составляет 100 см³ для твёрдой фракции и 25–50 см³ для осадка. Перед центрифугированием пробирки уравновешивают, добавляя насыщенный раствор соли или воду, и устанавливают в гнёзда ротора центрифуги.</w:t>
      </w:r>
    </w:p>
    <w:p>
      <w:pPr>
        <w:widowControl w:val="0"/>
        <w:spacing w:before="0" w:after="60" w:line="240" w:lineRule="auto"/>
        <w:ind w:firstLine="709"/>
        <w:jc w:val="both"/>
      </w:pPr>
      <w:r>
        <w:rPr>
          <w:rFonts w:ascii="Times New Roman" w:hAnsi="Times New Roman"/>
          <w:sz w:val="28"/>
          <w:szCs w:val="28"/>
        </w:rPr>
        <w:t xml:space="preserve">4.9.3. Исследование жидкого навоза, навозных стоков, жидкой фракции после сепарации и иловой смеси на яйца гельминтов (метод Черепанова).</w:t>
      </w:r>
    </w:p>
    <w:p>
      <w:pPr>
        <w:widowControl w:val="0"/>
        <w:spacing w:before="0" w:after="60" w:line="240" w:lineRule="auto"/>
        <w:ind w:firstLine="709"/>
        <w:jc w:val="both"/>
      </w:pPr>
      <w:r>
        <w:rPr>
          <w:rFonts w:ascii="Times New Roman" w:hAnsi="Times New Roman"/>
          <w:sz w:val="28"/>
          <w:szCs w:val="28"/>
        </w:rPr>
        <w:t xml:space="preserve">Лабораторную пробу объёмом 1 дм³ (либо концентрат, полученный из пробы объёмом 5,0–10,0 дм³) отстаивают 1–2 ч, сливают надосадочный слой, осадок промывают и удаляют грубые включения через двойной марлевый фильтр. Если первичное промывание осадка выполнено на месте отбора проб, его сразу переносят в центрифужные пробирки, добавляют чистую воду и центрифугируют 2–3 мин при 1000 об/мин. Далее жидкость сливают, а осадок исследуют центрифужным флотационным методом по п. 4.9.2 (к осадку добавляют до 150 см³ насыщенного раствора азотнокислого натрия или другой соли, перемешивают стеклянной палочкой и центрифугируют 3 мин при 1000–1500 об/мин, затем формируют мениск и выдерживают 20 мин).</w:t>
      </w:r>
    </w:p>
    <w:p>
      <w:pPr>
        <w:widowControl w:val="0"/>
        <w:spacing w:before="0" w:after="60" w:line="240" w:lineRule="auto"/>
        <w:ind w:firstLine="709"/>
        <w:jc w:val="both"/>
      </w:pPr>
      <w:r>
        <w:rPr>
          <w:rFonts w:ascii="Times New Roman" w:hAnsi="Times New Roman"/>
          <w:sz w:val="28"/>
          <w:szCs w:val="28"/>
        </w:rPr>
        <w:t xml:space="preserve">Твёрдую фракцию, выделенную при сепарации жидкого навоза, обрабатывают и исследуют по той же методике, что и осадок.</w:t>
      </w:r>
    </w:p>
    <w:p>
      <w:pPr>
        <w:widowControl w:val="0"/>
        <w:spacing w:before="0" w:after="60" w:line="240" w:lineRule="auto"/>
        <w:ind w:firstLine="709"/>
        <w:jc w:val="both"/>
      </w:pPr>
      <w:r>
        <w:rPr>
          <w:rFonts w:ascii="Times New Roman" w:hAnsi="Times New Roman"/>
          <w:sz w:val="28"/>
          <w:szCs w:val="28"/>
        </w:rPr>
        <w:t xml:space="preserve">4.9.4. Экспресс-метод паразитологического анализа бесподстилочного навоза (помёта).</w:t>
      </w:r>
    </w:p>
    <w:p>
      <w:pPr>
        <w:widowControl w:val="0"/>
        <w:spacing w:before="0" w:after="60" w:line="240" w:lineRule="auto"/>
        <w:ind w:firstLine="709"/>
        <w:jc w:val="both"/>
      </w:pPr>
      <w:r>
        <w:rPr>
          <w:rFonts w:ascii="Times New Roman" w:hAnsi="Times New Roman"/>
          <w:sz w:val="28"/>
          <w:szCs w:val="28"/>
        </w:rPr>
        <w:t xml:space="preserve">Берут 25–50 см³ осадка бесподстилочного навоза (помёта), полученного после первичного отстаивания пробы по п. 3.4.5, удаляют грубые включения промыванием и переносят осадок на марлевый или капроновый фильтр. Осадок промывают 200 см³ насыщенного раствора азотнокислого натрия, хлорида натрия или аммиачной селитры; оставшуюся влагу отжимают в ту же ёмкость. Фильтрат выдерживают 15–20 мин, после чего поверхностную плёнку переносят паразитологической петлёй (диаметром 8–9 мм) на предметные стёкла и просматривают под микроскопом; допускается накрывать большими обезжиренными предметными стёклами поверх мениска флотационного раствора. Для предотвращения высыхания и кристаллизации капель к ним добавляют по небольшой капле 50% водного раствора глицерина.</w:t>
      </w:r>
    </w:p>
    <w:p>
      <w:pPr>
        <w:widowControl w:val="0"/>
        <w:spacing w:before="0" w:after="60" w:line="240" w:lineRule="auto"/>
        <w:ind w:firstLine="709"/>
        <w:jc w:val="both"/>
      </w:pPr>
      <w:r>
        <w:rPr>
          <w:rFonts w:ascii="Times New Roman" w:hAnsi="Times New Roman"/>
          <w:sz w:val="28"/>
          <w:szCs w:val="28"/>
        </w:rPr>
        <w:t xml:space="preserve">Метод менее точен, чем центрифужный (п. 4.9.2–4.9.3), однако проще в выполнении, не требует сложного оборудования и применим для экспресс-диагностики загрязнения бесподстилочного навоза (помёта). При получении положительного результата экспресс-методом подтверждение проводят по п. 4.9.2; при отрицательном результате экспресс-метода и наличии эпидемических (эпизоотических) показаний исследование повторяют центрифужным методом.</w:t>
      </w:r>
    </w:p>
    <w:p>
      <w:pPr>
        <w:widowControl w:val="0"/>
        <w:spacing w:before="0" w:after="60" w:line="240" w:lineRule="auto"/>
        <w:ind w:firstLine="709"/>
        <w:jc w:val="both"/>
      </w:pPr>
      <w:r>
        <w:rPr>
          <w:rFonts w:ascii="Times New Roman" w:hAnsi="Times New Roman"/>
          <w:sz w:val="28"/>
          <w:szCs w:val="28"/>
        </w:rPr>
        <w:t xml:space="preserve">4.9.5. Исследование навоза, помёта и навозных стоков на цисты и ооцисты патогенных простейших.</w:t>
      </w:r>
    </w:p>
    <w:p>
      <w:pPr>
        <w:widowControl w:val="0"/>
        <w:spacing w:before="0" w:after="60" w:line="240" w:lineRule="auto"/>
        <w:ind w:firstLine="709"/>
        <w:jc w:val="both"/>
      </w:pPr>
      <w:r>
        <w:rPr>
          <w:rFonts w:ascii="Times New Roman" w:hAnsi="Times New Roman"/>
          <w:sz w:val="28"/>
          <w:szCs w:val="28"/>
        </w:rPr>
        <w:t xml:space="preserve">а) Метод последовательного промывания (для навоза жвачных животных; ГОСТ Р 57782-2017, п. 8.2.1). Анализируемую пробу навоза массой 3 г помещают в стакан вместимостью 50–100 см³, вливают небольшое количество дистиллированной воды и размешивают палочкой до получения жидкой кашицеобразной массы, затем добавляют дистиллированную воду порциями до объёма 50 см³ при постоянном размешивании. Смесь фильтруют через ситечко в другой стакан и отстаивают 5 мин до образования осадка, после чего верхний слой жидкости сливают до осадка, к осадку вновь добавляют такое же количество дистиллированной воды и отстаивают 5 мин. Операции повторяют до тех пор, пока надосадочный слой воды не станет прозрачным. В последний раз верхний слой сливают или отбирают спринцовкой, опустив наконечник в стакан и не доводя до дна 1,5–2,0 см, а осадок поочерёдно разливают на часовые или предметные стёкла и исследуют под микроскопом. Цисты букстонелл размером 0,13–0,7 мм просматривают при малом увеличении (×100); ооцисты кокцидий (размером 0,02–0,03 мм) — при большом увеличении (×400).</w:t>
      </w:r>
    </w:p>
    <w:p>
      <w:pPr>
        <w:widowControl w:val="0"/>
        <w:spacing w:before="0" w:after="60" w:line="240" w:lineRule="auto"/>
        <w:ind w:firstLine="709"/>
        <w:jc w:val="both"/>
      </w:pPr>
      <w:r>
        <w:rPr>
          <w:rFonts w:ascii="Times New Roman" w:hAnsi="Times New Roman"/>
          <w:sz w:val="28"/>
          <w:szCs w:val="28"/>
        </w:rPr>
        <w:t xml:space="preserve">б) Метод формалин-эфирной (уксусной) седиментации (ГОСТ Р 57782-2017, п. 8.2.2). Пробу массой 3 г тщательно перемешивают с 10% раствором формалина в фарфоровой чашке фарфоровым пестиком. В центрифужную пробирку помещают воронку, на неё — 2 слоя марли (допускается использовать металлические или пластмассовые ситечки) и фильтруют не менее 8 см³ суспензии (при меньшем объёме фильтрата добавляют 10% раствор формалина до 8 см³). В пробирку доливают 2 см³ эфира этилового (диэтилового, серного) и закрывают пробкой, энергично встряхивают не менее 30 с и центрифугируют 2 мин при 1500 об/мин (либо 1 мин при 2000 об/мин). После центрифугирования образуются четыре слоя: осадок, раствор формалина, коагулированный белок, фекальный детрит («пробка») и сверху эфир с растворёнными в нём жирами. Верхние три слоя удаляют опрокидыванием пробирки, пипеткой отбирают нижнюю часть осадка, помещают на предметное стекло и микроскопируют сначала при малом, затем при большом увеличении. Формалин допускается заменять 5% водным раствором уксусной кислоты; ход анализа не изменяется.</w:t>
      </w:r>
    </w:p>
    <w:p>
      <w:pPr>
        <w:widowControl w:val="0"/>
        <w:spacing w:before="0" w:after="60" w:line="240" w:lineRule="auto"/>
        <w:ind w:firstLine="709"/>
        <w:jc w:val="both"/>
      </w:pPr>
      <w:r>
        <w:rPr>
          <w:rFonts w:ascii="Times New Roman" w:hAnsi="Times New Roman"/>
          <w:sz w:val="28"/>
          <w:szCs w:val="28"/>
        </w:rPr>
        <w:t xml:space="preserve">в) Выявление ооцист криптоспоридий (ГОСТ Р 57782-2017, п. 8.2.3). Метод нативного мазка: из пробы влажного навоза готовят тонкий мазок, высушивают, фиксируют метиловым спиртом (метанолом-яд) по ГОСТ 6995 и окрашивают карбол-фуксином по Цилю–Нильсену. Ооцисты криптоспоридий диаметром 3–7 мкм окрашиваются в красный цвет, внутри них различимы четыре спорозойта; сопутствующая микрофлора окрашивается в зелёный цвет. Микроскопируют с иммерсией (объектив ×100).</w:t>
      </w:r>
    </w:p>
    <w:p>
      <w:pPr>
        <w:widowControl w:val="0"/>
        <w:spacing w:before="0" w:after="60" w:line="240" w:lineRule="auto"/>
        <w:ind w:firstLine="709"/>
        <w:jc w:val="both"/>
      </w:pPr>
      <w:r>
        <w:rPr>
          <w:rFonts w:ascii="Times New Roman" w:hAnsi="Times New Roman"/>
          <w:sz w:val="28"/>
          <w:szCs w:val="28"/>
        </w:rPr>
        <w:t xml:space="preserve">Для повышения вероятности обнаружения ооцист применяют флотационный и комбинированный методы: метод Фюллеборна (подпункт «г») или комбинированный метод Дарлинга (подпункт «д»); в качестве флотационных растворов применяют насыщенные растворы хлористого натрия или сахарозы. Материал, взятый паразитологической петлёй с плёнки поверхностного натяжения, переносят в пробирку, из неё готовят мазок, фиксируют и окрашивают.</w:t>
      </w:r>
    </w:p>
    <w:p>
      <w:pPr>
        <w:widowControl w:val="0"/>
        <w:spacing w:before="0" w:after="60" w:line="240" w:lineRule="auto"/>
        <w:ind w:firstLine="709"/>
        <w:jc w:val="both"/>
      </w:pPr>
      <w:r>
        <w:rPr>
          <w:rFonts w:ascii="Times New Roman" w:hAnsi="Times New Roman"/>
          <w:sz w:val="28"/>
          <w:szCs w:val="28"/>
        </w:rPr>
        <w:t xml:space="preserve">г) Метод Фюллеборна для диагностики кокцидиозов и балантидиоза (ГОСТ Р 57782-2017, п. 8.1.1). Анализируемую пробу массой 1 г заливают в ступке 3–5 см³ насыщенного раствора хлористого натрия (приготовление — п. 4.9.1-1), тщательно размешивают пестиком или стеклянной палочкой и по мере размешивания добавляют раствор до 15 см³. Затем процеживают через сито в чистый стакан и отстаивают в течение 30 мин. За время флотации ооцисты и цисты простейших, удельный вес которых меньше удельного веса насыщенного раствора хлористого натрия, всплывают на поверхность и концентрируются в поверхностной плёнке. Прикасаясь металлической петлёй к разным местам поверхностной взвеси, снимают три капли раствора, наносят на предметное стекло и исследуют под микроскопом; для недопущения быстрого высыхания и кристаллизации капель добавляют по небольшой капле 50% водного раствора глицерина. Металлическую петлю обжигают над пламенем спиртовки в начале и в конце испытаний; при массовых исследованиях каплю на предметном стекле покровным стеклом не накрывают, а петлю промывают резкими движениями в стаканчике с дистиллированной водой.</w:t>
      </w:r>
    </w:p>
    <w:p>
      <w:pPr>
        <w:widowControl w:val="0"/>
        <w:spacing w:before="0" w:after="60" w:line="240" w:lineRule="auto"/>
        <w:ind w:firstLine="709"/>
        <w:jc w:val="both"/>
      </w:pPr>
      <w:r>
        <w:rPr>
          <w:rFonts w:ascii="Times New Roman" w:hAnsi="Times New Roman"/>
          <w:sz w:val="28"/>
          <w:szCs w:val="28"/>
        </w:rPr>
        <w:t xml:space="preserve">д) Метод Котельникова–Хренова и комбинированный флотационный метод (ГОСТ Р 57782-2017, п. 8.1.2, 8.1.3). Анализ проводят с применением флотационного раствора нитрата аммония (метод Котельникова–Хренова) либо комбинированного флотационного раствора (смесь хлористого натрия и нитрата аммония) — по п. 4.9.5-г с изменением времени отстаивания после фильтрования жидкости от 10 до 15 мин.</w:t>
      </w:r>
    </w:p>
    <w:p>
      <w:pPr>
        <w:widowControl w:val="0"/>
        <w:spacing w:before="0" w:after="60" w:line="240" w:lineRule="auto"/>
        <w:ind w:firstLine="709"/>
        <w:jc w:val="both"/>
      </w:pPr>
      <w:r>
        <w:rPr>
          <w:rFonts w:ascii="Times New Roman" w:hAnsi="Times New Roman"/>
          <w:sz w:val="28"/>
          <w:szCs w:val="28"/>
        </w:rPr>
        <w:t xml:space="preserve">е) Метод Падченко И.К. (1992). Для выявления цист патогенных кишечных простейших (Lamblia intestinalis, Entamoeba histolytica, Balantidium coli (Balantioides coli)) осадок, полученный по п. 4.9.3, исследуют методом Падченко по п. 4.1.4 (для почвы) или п. 4.4.3 (для осадков сточных вод) с учётом массы (объёма) навески по п. 3.4.3–3.4.5.</w:t>
      </w:r>
    </w:p>
    <w:p>
      <w:pPr>
        <w:widowControl w:val="0"/>
        <w:spacing w:before="0" w:after="60" w:line="240" w:lineRule="auto"/>
        <w:ind w:firstLine="709"/>
        <w:jc w:val="both"/>
      </w:pPr>
      <w:r>
        <w:rPr>
          <w:rFonts w:ascii="Times New Roman" w:hAnsi="Times New Roman"/>
          <w:sz w:val="28"/>
          <w:szCs w:val="28"/>
        </w:rPr>
        <w:t xml:space="preserve">Примечание. Метод Падченко не обеспечивает обнаружение ооцист криптоспоридий; при необходимости их выявления препарат из осадка дополнительно окрашивают по Цилю–Нильсену (подпункт «в») либо применяют метод иммуномагнитной сепарации с иммунофлуоресцентным мечением (п. 4.7). Эффективность метода Падченко при исследовании навоза и осадков по данным разработчиков (Гигиена и санитария. 2023;102(11):1255–1260) составляет 21,2% при исследовании почвы и 0% при исследовании смывов; при отрицательном результате и наличии эпидемических показаний исследование повторяют методами п. 4.9.5-д и (или) п. 4.7.</w:t>
      </w:r>
    </w:p>
    <w:p>
      <w:pPr>
        <w:widowControl w:val="0"/>
        <w:spacing w:before="0" w:after="60" w:line="240" w:lineRule="auto"/>
        <w:ind w:firstLine="709"/>
        <w:jc w:val="both"/>
      </w:pPr>
      <w:r>
        <w:rPr>
          <w:rFonts w:ascii="Times New Roman" w:hAnsi="Times New Roman"/>
          <w:sz w:val="28"/>
          <w:szCs w:val="28"/>
        </w:rPr>
        <w:t xml:space="preserve">ж) Иммуномагнитная сепарация и иммунофлуоресцентное мечение (п. 4.7). Пробы жидкого навоза, стоков и концентратов перед проведением ИМС подвергают предварительному отстаиванию и удалению грубого детрита через двойной марлевый фильтр (п. 3.4.8); пробы твёрдого навоза, помёта и компостов готовят по п. 4.7.2 как пробы почвы с учётом массы навески. При высоком содержании детрита применяют дополнительное разведение концентрата.</w:t>
      </w:r>
    </w:p>
    <w:p>
      <w:pPr>
        <w:widowControl w:val="0"/>
        <w:spacing w:before="0" w:after="60" w:line="240" w:lineRule="auto"/>
        <w:ind w:firstLine="709"/>
        <w:jc w:val="both"/>
      </w:pPr>
      <w:r>
        <w:rPr>
          <w:rFonts w:ascii="Times New Roman" w:hAnsi="Times New Roman"/>
          <w:sz w:val="28"/>
          <w:szCs w:val="28"/>
        </w:rPr>
        <w:t xml:space="preserve">з) Полимеразная цепная реакция (п. 4.8). Пробы навоза, помёта и стоков готовят по п. 4.8.6 как пробы воды с предварительным концентрированием; каждый анализ сопровождают внутренним контрольным образцом для выявления ингибирования амплификации (п. 4.8.13). Обнаружение ДНК возбудителя не свидетельствует о его жизнеспособности.</w:t>
      </w:r>
    </w:p>
    <w:p>
      <w:pPr>
        <w:widowControl w:val="0"/>
        <w:spacing w:before="0" w:after="60" w:line="240" w:lineRule="auto"/>
        <w:ind w:firstLine="709"/>
        <w:jc w:val="both"/>
      </w:pPr>
      <w:r>
        <w:rPr>
          <w:rFonts w:ascii="Times New Roman" w:hAnsi="Times New Roman"/>
          <w:sz w:val="28"/>
          <w:szCs w:val="28"/>
        </w:rPr>
        <w:t xml:space="preserve">4.9.6. Выявление личинок синантропных мух (показатель 4 приложения 36 к СанПиН 3.3686-21). Исследование проводят по ГОСТ Р 58138 «Удобрения органические. Методы определения личинок синантропных мух» — стандарту, на который дана ссылка в п. 8.8 ГОСТ Р 58487-2019 применительно к отбору проб бесподстилочного навоза и помёта при паразитологических испытаниях.</w:t>
      </w:r>
    </w:p>
    <w:p>
      <w:pPr>
        <w:widowControl w:val="0"/>
        <w:spacing w:before="0" w:after="60" w:line="240" w:lineRule="auto"/>
        <w:ind w:firstLine="709"/>
        <w:jc w:val="both"/>
      </w:pPr>
      <w:r>
        <w:rPr>
          <w:rFonts w:ascii="Times New Roman" w:hAnsi="Times New Roman"/>
          <w:sz w:val="28"/>
          <w:szCs w:val="28"/>
        </w:rPr>
        <w:t xml:space="preserve">При отсутствии условий для применения ГОСТ Р 58138 допускается визуальный разбор пробы твёрдого навоза, помёта и подстилки массой 200 г на лотке из нержавеющей стали с последующей флотацией оставшегося материала в насыщенном растворе хлорида натрия и микроскопированием (стереоскопическим — при увеличении ×7–×20, световым — при ×40) плёнки; обнаруженных личинок подсчитывают и определяют их принадлежность к синантропным видам. Способ, применённый в данном исследовании, указывают в протоколе.</w:t>
      </w:r>
    </w:p>
    <w:p>
      <w:pPr>
        <w:widowControl w:val="0"/>
        <w:spacing w:before="0" w:after="60" w:line="240" w:lineRule="auto"/>
        <w:ind w:firstLine="709"/>
        <w:jc w:val="both"/>
      </w:pPr>
      <w:r>
        <w:rPr>
          <w:rFonts w:ascii="Times New Roman" w:hAnsi="Times New Roman"/>
          <w:sz w:val="28"/>
          <w:szCs w:val="28"/>
        </w:rPr>
        <w:t xml:space="preserve">Примечание. Полный текст ГОСТ Р 58138 при подготовке настоящей редакции не получен; изложение метода в настоящих МУК следует сверить с текстом стандарта и при расхождении — заменить отсылкой без дублирования.</w:t>
      </w:r>
    </w:p>
    <w:p>
      <w:pPr>
        <w:widowControl w:val="0"/>
        <w:spacing w:before="0" w:after="60" w:line="240" w:lineRule="auto"/>
        <w:ind w:firstLine="709"/>
        <w:jc w:val="both"/>
      </w:pPr>
      <w:r>
        <w:rPr>
          <w:rFonts w:ascii="Times New Roman" w:hAnsi="Times New Roman"/>
          <w:sz w:val="28"/>
          <w:szCs w:val="28"/>
        </w:rPr>
        <w:t xml:space="preserve">4.9.7. Количественный учёт ооцист и цист простейших (по ГОСТ Р 57782-2017, §9.1–9.2, §11).</w:t>
      </w:r>
    </w:p>
    <w:p>
      <w:pPr>
        <w:widowControl w:val="0"/>
        <w:spacing w:before="0" w:after="60" w:line="240" w:lineRule="auto"/>
        <w:ind w:firstLine="709"/>
        <w:jc w:val="both"/>
      </w:pPr>
      <w:r>
        <w:rPr>
          <w:rFonts w:ascii="Times New Roman" w:hAnsi="Times New Roman"/>
          <w:sz w:val="28"/>
          <w:szCs w:val="28"/>
        </w:rPr>
        <w:t xml:space="preserve">4.9.7.1. Счётная камера Горяева. 1 г навоза размешивают в ступке с 15 см³ дистиллированной воды и тщательно растирают пестиком. Полученную суспензию фильтруют через сито, 10 см³ фильтрата помещают в центрифужную пробирку и центрифугируют с частотой вращения 2000 об/мин в течение 2 мин. Жидкость из пробирки сливают, к осадку добавляют 10 см³ флотационного раствора хлористого натрия, тщательно перемешивают и 0,15 см³ используют для заполнения счётной камеры Горяева. При отсутствии счётной камеры используют предметное стекло, на которое наносят 0,15 см³ суспензии и накрывают покровным стеклом. Заполненную камеру Горяева (или предметное стекло) выдерживают в течение 2 мин для всплывания ооцист и цист к поверхности и подсчитывают их количество под микроскопом. Полученное число, умноженное на 100, показывает содержание ооцист и цист простейших в 1 г навоза. Для более точного определения используют две–три камеры.</w:t>
      </w:r>
    </w:p>
    <w:p>
      <w:pPr>
        <w:widowControl w:val="0"/>
        <w:spacing w:before="0" w:after="60" w:line="240" w:lineRule="auto"/>
        <w:ind w:firstLine="709"/>
        <w:jc w:val="both"/>
      </w:pPr>
      <w:r>
        <w:rPr>
          <w:rFonts w:ascii="Times New Roman" w:hAnsi="Times New Roman"/>
          <w:sz w:val="28"/>
          <w:szCs w:val="28"/>
        </w:rPr>
        <w:t xml:space="preserve">4.9.7.2. Счётная камера ВИГИС. 1 г навоза размешивают в ступке с 5 см³ флотационного раствора аммиачной селитры и тщательно перемешивают пестиком; при осторожном размешивании добавляют флотационный раствор до объёма 15 см³. Взвесь фильтруют через ситечко в чистый стакан с последующим отжимом содержимого ситечка и тщательным размешиванием взвеси. Пастеровской пипеткой быстро переносят 0,15 см³ взвеси в одну из ячеек счётной камеры и оставляют на 2 мин, после чего подсчитывают количество ооцист и цист простейших при искусственном освещении. При необходимости заполняют другие ячейки взвесью пробы из того же стаканчика, каждый раз перемешивая смесь перед заполнением.</w:t>
      </w:r>
    </w:p>
    <w:p>
      <w:pPr>
        <w:widowControl w:val="0"/>
        <w:spacing w:before="0" w:after="60" w:line="240" w:lineRule="auto"/>
        <w:ind w:firstLine="709"/>
        <w:jc w:val="both"/>
      </w:pPr>
      <w:r>
        <w:rPr>
          <w:rFonts w:ascii="Times New Roman" w:hAnsi="Times New Roman"/>
          <w:sz w:val="28"/>
          <w:szCs w:val="28"/>
        </w:rPr>
        <w:t xml:space="preserve">Расчёт содержания ооцист и цист в 1 г навоза выполняют по числу обнаруженных объектов в одной, двух или четырёх ячейках: число ооцист и цист, выявленных в одной ячейке, умножают на 30; в двух ячейках — на 15; в четырёх ячейках — на 7,5.</w:t>
      </w:r>
    </w:p>
    <w:p>
      <w:pPr>
        <w:widowControl w:val="0"/>
        <w:spacing w:before="0" w:after="60" w:line="240" w:lineRule="auto"/>
        <w:ind w:firstLine="709"/>
        <w:jc w:val="both"/>
      </w:pPr>
      <w:r>
        <w:rPr>
          <w:rFonts w:ascii="Times New Roman" w:hAnsi="Times New Roman"/>
          <w:sz w:val="28"/>
          <w:szCs w:val="28"/>
        </w:rPr>
        <w:t xml:space="preserve">4.9.7.3. Установление интенсивности инвазии. Интенсивность инвазии устанавливают подсчётом числа ооцист и цист простейших в трёх каплях анализируемой пробы массой 1 г при микроскопии и делением полученного числа на три (ориентировочная интенсивность протозоозной инвазии в одной капле анализируемой пробы). Для более точной оценки содержания ооцист и цист в анализируемых пробах навоза определяют их количество в 1 г материала с использованием счётных камер (п. 4.9.7.1, 4.9.7.2). При установлении интенсивности инвазии учитывают одновременное присутствие разных видов паразитических простейших.</w:t>
      </w:r>
    </w:p>
    <w:p>
      <w:pPr>
        <w:widowControl w:val="0"/>
        <w:spacing w:before="0" w:after="60" w:line="240" w:lineRule="auto"/>
        <w:ind w:firstLine="709"/>
        <w:jc w:val="both"/>
      </w:pPr>
      <w:r>
        <w:rPr>
          <w:rFonts w:ascii="Times New Roman" w:hAnsi="Times New Roman"/>
          <w:sz w:val="28"/>
          <w:szCs w:val="28"/>
        </w:rPr>
        <w:t xml:space="preserve">4.9.7.4. Выражение результатов. Результаты выражают: в штуках на 1 г (для твёрдой фракции, помёта, компоста), в штуках на 1 кг твёрдой фракции данной влажности, в штуках на 1 см³ (на 1 дм³ либо на 100–1000 см³) жидкого навоза, жидкой фракции или стоков. Отдельно указывают общее число обнаруженных ооцист и цист и число жизнеспособных (в абсолютных значениях и в процентах от общего числа) — в соответствии с п. 3.1 ГОСТ Р 57782-2017. Результаты заносят в журнал по форме приложения А к ГОСТ Р 57782-2017 (место и дата отбора проб, дата анализа, метод анализа, масса (объём) анализируемой пробы, обнаружено ооцист и цист по видам, всего, деформированные, жизнеспособные).</w:t>
      </w:r>
    </w:p>
    <w:p>
      <w:pPr>
        <w:widowControl w:val="0"/>
        <w:spacing w:before="0" w:after="60" w:line="240" w:lineRule="auto"/>
        <w:ind w:firstLine="709"/>
        <w:jc w:val="both"/>
      </w:pPr>
      <w:r>
        <w:rPr>
          <w:rFonts w:ascii="Times New Roman" w:hAnsi="Times New Roman"/>
          <w:sz w:val="28"/>
          <w:szCs w:val="28"/>
        </w:rPr>
        <w:t xml:space="preserve">4.9.8. Определение жизнеспособности. Жизнеспособность яиц гельминтов, выделенных из навоза, помёта и навозных стоков, определяют методами раздела V: по внешнему виду и культивированием (п. 5.1), методом Фюллеборна (п. 5.2), окрашиванием (п. 5.3), люминесцентным методом (п. 5.4), биологической пробой (п. 5.5), для яиц описторхид — по п. 5.6. Жизнеспособность цист и ооцист простейших определяют по п. 5.7.</w:t>
      </w:r>
    </w:p>
    <w:p>
      <w:pPr>
        <w:widowControl w:val="0"/>
        <w:spacing w:before="0" w:after="60" w:line="240" w:lineRule="auto"/>
        <w:ind w:firstLine="709"/>
        <w:jc w:val="both"/>
      </w:pPr>
      <w:r>
        <w:rPr>
          <w:rFonts w:ascii="Times New Roman" w:hAnsi="Times New Roman"/>
          <w:sz w:val="28"/>
          <w:szCs w:val="28"/>
        </w:rPr>
        <w:t xml:space="preserve">Видовую принадлежность обнаруженных объектов указывают в протоколе обязательно: ооцисты кокцидий рода Eimeria (паразиты птиц и кроликов, не патогенные для человека) дифференцируют от ооцист Cryptosporidium spp. по размеру и морфологии; цисты Buxtonella spp. (паразиты крупного рогатого скота) — от цист Balantidium coli (Balantioides coli) (зоонозный возбудитель); яйца гельминтов животных, не патогенных для человека (Moniezia spp., Oesophagostomum spp. и др.), учитывают отдельно от зоонозных и антропонозных видов.</w:t>
      </w:r>
    </w:p>
    <w:p>
      <w:pPr>
        <w:widowControl w:val="0"/>
        <w:spacing w:before="0" w:after="60" w:line="240" w:lineRule="auto"/>
        <w:ind w:firstLine="709"/>
        <w:jc w:val="both"/>
      </w:pPr>
      <w:r>
        <w:rPr>
          <w:rFonts w:ascii="Times New Roman" w:hAnsi="Times New Roman"/>
          <w:sz w:val="28"/>
          <w:szCs w:val="28"/>
        </w:rPr>
        <w:t xml:space="preserve">4.9.9. Оценка результатов. Результаты исследований навоза, помёта, навозных стоков и органических удобрений на их основе оценивают как:</w:t>
      </w:r>
    </w:p>
    <w:p>
      <w:pPr>
        <w:widowControl w:val="0"/>
        <w:spacing w:before="0" w:after="60" w:line="240" w:lineRule="auto"/>
        <w:ind w:firstLine="709"/>
        <w:jc w:val="both"/>
      </w:pPr>
      <w:r>
        <w:rPr>
          <w:rFonts w:ascii="Times New Roman" w:hAnsi="Times New Roman"/>
          <w:sz w:val="28"/>
          <w:szCs w:val="28"/>
        </w:rPr>
        <w:t xml:space="preserve">— «не обнаружено» — при отсутствии жизнеспособных яиц гельминтов, цист патогенных кишечных простейших и ооцист криптоспоридий в исследованной массе (объёме) пробы; обнаружение нежизнеспособных объектов фиксируют в протоколе с указанием их числа и не является основанием для признания объекта загрязнённым;</w:t>
      </w:r>
    </w:p>
    <w:p>
      <w:pPr>
        <w:widowControl w:val="0"/>
        <w:spacing w:before="0" w:after="60" w:line="240" w:lineRule="auto"/>
        <w:ind w:firstLine="709"/>
        <w:jc w:val="both"/>
      </w:pPr>
      <w:r>
        <w:rPr>
          <w:rFonts w:ascii="Times New Roman" w:hAnsi="Times New Roman"/>
          <w:sz w:val="28"/>
          <w:szCs w:val="28"/>
        </w:rPr>
        <w:t xml:space="preserve">— «обнаружено» — при выявлении хотя бы одного жизнеспособного яйца гельминта, цисты патогенных простейших или ооцисты криптоспоридий.</w:t>
      </w:r>
    </w:p>
    <w:p>
      <w:pPr>
        <w:widowControl w:val="0"/>
        <w:spacing w:before="0" w:after="60" w:line="240" w:lineRule="auto"/>
        <w:ind w:firstLine="709"/>
        <w:jc w:val="both"/>
      </w:pPr>
      <w:r>
        <w:rPr>
          <w:rFonts w:ascii="Times New Roman" w:hAnsi="Times New Roman"/>
          <w:sz w:val="28"/>
          <w:szCs w:val="28"/>
        </w:rPr>
        <w:t xml:space="preserve">Органические удобрения классифицируют (по п. 3.3 ГОСТ Р 57782-2017): «чистые» — не содержат жизнеспособных ооцист и цист простейших (жизнеспособных яиц и личинок гельминтов) в 100 г твёрдой фракции и осадка лабораторной пробы массой не более 1 кг или в 1–10 дм³ жидкой консистенции лабораторной пробы, отбираемых в зависимости от технологии и степени очистки и анализируемых в трёхкратной повторности; «загрязнённые» — содержат любое количество жизнеспособных объектов в указанных массах (объёмах).</w:t>
      </w:r>
    </w:p>
    <w:p>
      <w:pPr>
        <w:widowControl w:val="0"/>
        <w:spacing w:before="0" w:after="60" w:line="240" w:lineRule="auto"/>
        <w:ind w:firstLine="709"/>
        <w:jc w:val="both"/>
      </w:pPr>
      <w:r>
        <w:rPr>
          <w:rFonts w:ascii="Times New Roman" w:hAnsi="Times New Roman"/>
          <w:sz w:val="28"/>
          <w:szCs w:val="28"/>
        </w:rPr>
        <w:t xml:space="preserve">При контроле эффективности дезинвазии (обеззараживания) результаты сопоставляют по пробам «до» и «после»: режим обеззараживания признают эффективным при отсутствии жизнеспособных объектов во всех пробах серии «после».</w:t>
      </w:r>
    </w:p>
    <w:p>
      <w:pPr>
        <w:widowControl w:val="0"/>
        <w:spacing w:before="0" w:after="60" w:line="240" w:lineRule="auto"/>
        <w:ind w:firstLine="709"/>
        <w:jc w:val="both"/>
      </w:pPr>
      <w:r>
        <w:rPr>
          <w:rFonts w:ascii="Times New Roman" w:hAnsi="Times New Roman"/>
          <w:sz w:val="28"/>
          <w:szCs w:val="28"/>
        </w:rPr>
        <w:t xml:space="preserve">4.9.10. Ограничения метода и источники неопределённости. При интерпретации результатов учитывают: неоднородность навоза и помёта (наличие подстилки, корма, неравномерное распределение инвазионного материала); высокую вязкость и тиксотропность жидкой фракции, затрудняющие перемешивание и отбор репрезентативной пробы; экранирующее действие детрита; самопроизвольное осаждение и всплывание отдельных фракций при транспортировке; снижение жизнеспособности возбудителей при хранении пробы (в связи с чем сроки хранения по п. 3.4.7 являются предельными, а аэрация и увлажнение проб — обязательными); невозможность отличить жизнеспособные стадии от нежизнеспособных методом ПЦР; понижение плотности раствора сернокислого цинка при хранении свыше 24 ч (п. 4.9.1-1); ограниченную выявляемость метода Падченко (п. 4.9.5-е). Число учтённых объектов и фактическую массу (объём) исследованной навески указывают в протоколе в обязательном порядке.</w:t>
      </w:r>
    </w:p>
    <w:p>
      <w:pPr>
        <w:widowControl w:val="0"/>
        <w:spacing w:before="0" w:after="60" w:line="240" w:lineRule="auto"/>
        <w:ind w:firstLine="709"/>
        <w:jc w:val="both"/>
      </w:pPr>
      <w:r>
        <w:rPr>
          <w:rFonts w:ascii="Times New Roman" w:hAnsi="Times New Roman"/>
          <w:sz w:val="28"/>
          <w:szCs w:val="28"/>
        </w:rPr>
        <w:t xml:space="preserve">4.9.11. Исследование почвы и тепличных грунтов на наличие ооцист и цист простейших (по ГОСТ Р 57782-2017, §12; применяется для почв территорий, удобряемых навозом, помётом и осадками, пастбищ, территорий ферм и теплиц).</w:t>
      </w:r>
    </w:p>
    <w:p>
      <w:pPr>
        <w:widowControl w:val="0"/>
        <w:spacing w:before="0" w:after="60" w:line="240" w:lineRule="auto"/>
        <w:ind w:firstLine="709"/>
        <w:jc w:val="both"/>
      </w:pPr>
      <w:r>
        <w:rPr>
          <w:rFonts w:ascii="Times New Roman" w:hAnsi="Times New Roman"/>
          <w:sz w:val="28"/>
          <w:szCs w:val="28"/>
        </w:rPr>
        <w:t xml:space="preserve">Исследование проводят на разном удалении от животноводческих помещений, на пастбище, в теплицах и других местах — с поверхности и с различной глубины; отбор проб — по п. 3.1 настоящих МУК (анализируемая проба массой 25 г).</w:t>
      </w:r>
    </w:p>
    <w:p>
      <w:pPr>
        <w:widowControl w:val="0"/>
        <w:spacing w:before="0" w:after="60" w:line="240" w:lineRule="auto"/>
        <w:ind w:firstLine="709"/>
        <w:jc w:val="both"/>
      </w:pPr>
      <w:r>
        <w:rPr>
          <w:rFonts w:ascii="Times New Roman" w:hAnsi="Times New Roman"/>
          <w:sz w:val="28"/>
          <w:szCs w:val="28"/>
        </w:rPr>
        <w:t xml:space="preserve">Анализируемую пробу почвы массой 25 г помещают в центрифужные пробирки вместимостью 80–100 см³ и заливают 3% раствором едкого натра или едкого кали в соотношении 1:1. Содержимое пробирок тщательно размешивают при помощи электромешалки или стеклянных палочек, отстаивают в течение 20–30 мин, затем центрифугируют 5 мин при 800 об/мин. Надосадочную жидкость сливают, почву промывают водой от одного до пяти раз в зависимости от типа почвы (для песчаных и супесчаных почв достаточно одной промывки; для глинистых, суглинистых и чернозёмных — от двух до пяти раз) до получения прозрачной жидкости.</w:t>
      </w:r>
    </w:p>
    <w:p>
      <w:pPr>
        <w:widowControl w:val="0"/>
        <w:spacing w:before="0" w:after="60" w:line="240" w:lineRule="auto"/>
        <w:ind w:firstLine="709"/>
        <w:jc w:val="both"/>
      </w:pPr>
      <w:r>
        <w:rPr>
          <w:rFonts w:ascii="Times New Roman" w:hAnsi="Times New Roman"/>
          <w:sz w:val="28"/>
          <w:szCs w:val="28"/>
        </w:rPr>
        <w:t xml:space="preserve">После промывки к почве добавляют 45 см³ насыщенного раствора нитрата натрия, тщательно размешивают и центрифугируют 3 мин (при отсутствии нитрата натрия допускается использовать раствор сульфата магния). После центрифугирования пробирки со смесью устанавливают в штатив и осторожно доливают раствор нитрата натрия до образования выпуклого мениска, затем покрывают предметными стёклами размером 10 × 6 см, предварительно обезжиренными смесью спирта с эфиром (в соотношении 1:2) либо прокипячёнными в воде со щёлочью или стиральным порошком. Смесь в пробирках отстаивают 30 мин.</w:t>
      </w:r>
    </w:p>
    <w:p>
      <w:pPr>
        <w:widowControl w:val="0"/>
        <w:spacing w:before="0" w:after="60" w:line="240" w:lineRule="auto"/>
        <w:ind w:firstLine="709"/>
        <w:jc w:val="both"/>
      </w:pPr>
      <w:r>
        <w:rPr>
          <w:rFonts w:ascii="Times New Roman" w:hAnsi="Times New Roman"/>
          <w:sz w:val="28"/>
          <w:szCs w:val="28"/>
        </w:rPr>
        <w:t xml:space="preserve">Во время отстаивания ооцисты и цисты простейших всплывают на поверхность и прилипают к стеклу. Стёкла снимают, а на их место устанавливают чистые. На снятые стёкла наносят несколько капель 50% водного раствора глицерина, капли накрывают покровным стеклом и микроскопируют; затем просматривают вторые стёкла.</w:t>
      </w:r>
    </w:p>
    <w:p>
      <w:pPr>
        <w:widowControl w:val="0"/>
        <w:spacing w:before="0" w:after="60" w:line="240" w:lineRule="auto"/>
        <w:ind w:firstLine="709"/>
        <w:jc w:val="both"/>
      </w:pPr>
      <w:r>
        <w:rPr>
          <w:rFonts w:ascii="Times New Roman" w:hAnsi="Times New Roman"/>
          <w:sz w:val="28"/>
          <w:szCs w:val="28"/>
        </w:rPr>
        <w:t xml:space="preserve">Для обнаружения ооцист и цист простейших предметные стёкла просматривают при увеличении 80–100 раз (окуляр ×10, объектив ×8–10), а для определения степени развития, жизнеспособности и степени деформации — при увеличении 400 раз (окуляр ×10, объектив ×40). Подсчитанное в двух предметных стёклах количество ооцист и цист простейших по видам даёт характеристику степени загрязнения (обсеменённости) пробы. Жизнеспособность определяют по п. 5.7.</w:t>
      </w:r>
    </w:p>
    <w:p>
      <w:pPr>
        <w:widowControl w:val="0"/>
        <w:spacing w:before="0" w:after="60" w:line="240" w:lineRule="auto"/>
        <w:ind w:firstLine="709"/>
        <w:jc w:val="both"/>
      </w:pPr>
      <w:r>
        <w:rPr>
          <w:rFonts w:ascii="Times New Roman" w:hAnsi="Times New Roman"/>
          <w:sz w:val="28"/>
          <w:szCs w:val="28"/>
        </w:rPr>
        <w:t xml:space="preserve">Результаты оформляют по форме приложения А к ГОСТ Р 57782-2017 с указанием массы анализируемой пробы в г (см³).</w:t>
      </w:r>
    </w:p>
    <w:p>
      <w:pPr>
        <w:widowControl w:val="0"/>
        <w:keepNext/>
        <w:keepLines/>
        <w:spacing w:before="360" w:after="120"/>
        <w:jc w:val="center"/>
        <w:outlineLvl w:val="0"/>
      </w:pPr>
      <w:r>
        <w:rPr>
          <w:rFonts w:ascii="Times New Roman" w:hAnsi="Times New Roman"/>
          <w:sz w:val="28"/>
          <w:szCs w:val="28"/>
        </w:rPr>
        <w:t xml:space="preserve">V. ОПРЕДЕЛЕНИЕ ЖИЗНЕСПОСОБНОСТИ ЯИЦ И ЛИЧИНОК ГЕЛЬМИНТОВ</w:t>
      </w:r>
    </w:p>
    <w:p>
      <w:pPr>
        <w:widowControl w:val="0"/>
        <w:spacing w:before="0" w:after="60" w:line="240" w:lineRule="auto"/>
        <w:ind w:firstLine="709"/>
        <w:jc w:val="both"/>
      </w:pPr>
      <w:r>
        <w:rPr>
          <w:rFonts w:ascii="Times New Roman" w:hAnsi="Times New Roman"/>
          <w:sz w:val="28"/>
          <w:szCs w:val="28"/>
        </w:rPr>
        <w:t xml:space="preserve">5.1. По внешнему виду выявленных яиц и личинок гельминтов. Яйца гельминтов микроскопируют вначале при увеличении: окуляр × 10, объектив × 10, далее объектив × 40. У деформированных и мертвых яиц гельминтов оболочка разорвана или прогнута внутрь, плазма мутная, разрыхлена. У сегментированных яиц шары дробления (бластомеры) неравного размера, неправильной формы, часто сдвинуты к одному полюсу. Иногда встречаются аномальные яйца, которые, имея внешние уродства, развиваются нормально. У живых личинок аскарид мелкая зернистость имеется только в средней части тела, по мере их гибели она распространяется по всему телу, появляются крупные блестящие гиалиновые вакуоли, так называемые «нитки жемчуга».</w:t>
      </w:r>
    </w:p>
    <w:p>
      <w:pPr>
        <w:widowControl w:val="0"/>
        <w:spacing w:before="0" w:after="60" w:line="240" w:lineRule="auto"/>
        <w:ind w:firstLine="709"/>
        <w:jc w:val="both"/>
      </w:pPr>
      <w:r>
        <w:rPr>
          <w:rFonts w:ascii="Times New Roman" w:hAnsi="Times New Roman"/>
          <w:sz w:val="28"/>
          <w:szCs w:val="28"/>
        </w:rPr>
        <w:t xml:space="preserve">5.1.1. Для определения жизнеспособности зрелых яиц аскарид, власоглавов, остриц препарат нагревают до температуры не выше плюс 37 °С (в термостате), чтобы вызвать активные движения личинок. Рекомендуется провести легкое надавливание на покровное стекло препарата препаровальной иглой или пинцетом, провоцируя выделение личинок аскарид и власоглавов из оболочки яйца. У инвазионных личинок аскарид часто отмечается чехлик, отслоившийся на головном конце, а у закончивших развитие в яйце личинок власоглавов на этом месте при большом увеличении обнаруживается стилет. У погибших личинок гельминтов внутренняя структура становится глыбчатой или зернистой, а тело мутным и непрозрачным. В теле обнаруживаются вакуоли, а на кутикуле – разрывы.</w:t>
      </w:r>
    </w:p>
    <w:p>
      <w:pPr>
        <w:widowControl w:val="0"/>
        <w:spacing w:before="0" w:after="60" w:line="240" w:lineRule="auto"/>
        <w:ind w:firstLine="709"/>
        <w:jc w:val="both"/>
      </w:pPr>
      <w:r>
        <w:rPr>
          <w:rFonts w:ascii="Times New Roman" w:hAnsi="Times New Roman"/>
          <w:sz w:val="28"/>
          <w:szCs w:val="28"/>
        </w:rPr>
        <w:t xml:space="preserve">5.1.2. Определение жизнеспособности незрелых яиц нематод следует изучать во влажной камере (чашках Петри), помещая яйца аскарид на фильтровальную бумагу, увлажненную 3% раствором формалина, приготовленном на изотоническом растворе натрия хлорида при температуре от 24 до 30 °С, яйца власоглавов – в 3% растворе соляной кислоты при температуре от 30 до 35 °С, яйца остриц – в изотоническом растворе натрия хлорида при температуре плюс 35 – 37 °С. Чашки Петри следует открывать 2 – 3 раза в неделю для лучшей аэрации и снова увлажнять фильтровальную бумагу чистой водой. Наблюдение за развитием яиц гельминтов ведут в течение до 60 суток, начиная с 14-го дня; закладку культуры проводят не позднее 24 ч после отбора пробы от начала исследования, проводя микроскопию материала не реже 2 раз в неделю. Отсутствие признаков развития свидетельствует о нежизнеспособности яиц. Признаками развития яиц гельминтов являются сначала стадии дробления, деление содержимого яйца на отдельные бластомеры. В течение первых дней развивается до 16 бластомер, которые переходят во вторую стадию – морулу и т.д.</w:t>
      </w:r>
    </w:p>
    <w:p>
      <w:pPr>
        <w:widowControl w:val="0"/>
        <w:spacing w:before="0" w:after="60" w:line="240" w:lineRule="auto"/>
        <w:ind w:firstLine="709"/>
        <w:jc w:val="both"/>
      </w:pPr>
      <w:r>
        <w:rPr>
          <w:rFonts w:ascii="Times New Roman" w:hAnsi="Times New Roman"/>
          <w:sz w:val="28"/>
          <w:szCs w:val="28"/>
        </w:rPr>
        <w:t xml:space="preserve">5.1.3. Жизнеспособность онкосфер тениид (бычьего, свиного цепней и др.) определяют по движению зародышей при воздействии на них пищеварительных ферментов. Яйца помещают на часовое стекло с желудочным соком или искусственным дуоденальным соком (состав: 0,5 г панкреатина; 0,09 г натрия бикарбоната, 5 мл дистиллированной воды). Часовые стекла с яйцами помещают в термостат при температуре плюс 36 – 38 °С на 4 ч. При этом живые зародыши освобождаются от оболочек (оболочки растворяются). Растворение оболочек наблюдается также при использовании подкисленного пепсина (пепсин 2,0г; раствор кислоты хлороводородной (1:10) -50 мл; вода дистиллированная -155 мл). Если поместить яйца тениид в 1% раствор натрия сульфида или 20% раствор натрия гипохлорита при температуре плюс (38 ± 1) °С, зрелые и живые зародыши освобождаются от оболочек и не изменяются в течение 1 суток. Незрелые и мертвые онкосферы сморщиваются или набухают и резко увеличиваются, а затем «растворяются» в течение 2 ч. Живые зародыши тениид также активно двигаются в смеси 1% раствора натрия хлорида, 0,5% раствора натрия гидрокарбоната и желчи при температуре плюс (38 ± 1) °С. 0,5 г панкреатина, 0,09 г NaHCO₃, 0,25 г бычьей жёлчи, довести до 50 мл водой, pH 8,1 ± 0,1; инкубация (37 ± 1) °С, 2 ч</w:t>
      </w:r>
    </w:p>
    <w:p>
      <w:pPr>
        <w:widowControl w:val="0"/>
        <w:spacing w:before="0" w:after="60" w:line="240" w:lineRule="auto"/>
        <w:ind w:firstLine="709"/>
        <w:jc w:val="both"/>
      </w:pPr>
      <w:r>
        <w:rPr>
          <w:rFonts w:ascii="Times New Roman" w:hAnsi="Times New Roman"/>
          <w:sz w:val="28"/>
          <w:szCs w:val="28"/>
        </w:rPr>
        <w:t xml:space="preserve">5.1.4. При определении жизнеспособности яиц карликового цепня (методика Н.С. Иониной) у живых яиц медианная пара эмбриональных крючьев или параллельна латеральным, или последние образуют с медианной угол у основания меньше 45°. У мертвых яиц – больше 45° или же крючья беспорядочно разбросаны (утрачивается их парное расположение). Иногда наблюдается сморщивание зародыша, образование зернистости. Более точен метод, основанный на появлении движений онкосферы при резкой смене температур: от плюс 5 – 10 °С до плюс 38 – 40 °С.</w:t>
      </w:r>
    </w:p>
    <w:p>
      <w:pPr>
        <w:widowControl w:val="0"/>
        <w:spacing w:before="0" w:after="60" w:line="240" w:lineRule="auto"/>
        <w:ind w:firstLine="709"/>
        <w:jc w:val="both"/>
      </w:pPr>
      <w:r>
        <w:rPr>
          <w:rFonts w:ascii="Times New Roman" w:hAnsi="Times New Roman"/>
          <w:sz w:val="28"/>
          <w:szCs w:val="28"/>
        </w:rPr>
        <w:t xml:space="preserve">5.1.5. Яйца гельминтов, естественно развивающиеся в воде, например, описторхисов, дифиллоботриид, фасциол и других, помещают на часовое стекло, чашку Петри или в другой сосуд, наливают небольшой слой чистой воды. Яйца фасциол развиваются быстрее в темноте, при этом, в живых яйцах при температуре плюс 22 – 24 °С через 9 – 12 суток формируется мирацидий. При микроскопировании развивающихся яиц трематод хорошо заметны движения мирацидия. Мирацидий фасциолы и корацидий лентецов из оболочек яйца выходит только на свету.</w:t>
      </w:r>
    </w:p>
    <w:p>
      <w:pPr>
        <w:widowControl w:val="0"/>
        <w:spacing w:before="0" w:after="60" w:line="240" w:lineRule="auto"/>
        <w:ind w:firstLine="709"/>
        <w:jc w:val="both"/>
      </w:pPr>
      <w:r>
        <w:rPr>
          <w:rFonts w:ascii="Times New Roman" w:hAnsi="Times New Roman"/>
          <w:sz w:val="28"/>
          <w:szCs w:val="28"/>
        </w:rPr>
        <w:t xml:space="preserve">5.2. Метод Фюллеборна. Личинки анкилостомид и стронгилид культивируют в чашке Петри на агаре с добавлением активированного угля. После выдерживания в термостате в течение 5 – 6 ч при температуре плюс 25 – 30 С личинки расползаются по агару, оставляя за собой дорожку из бактерий.</w:t>
      </w:r>
    </w:p>
    <w:p>
      <w:pPr>
        <w:widowControl w:val="0"/>
        <w:spacing w:before="0" w:after="60" w:line="240" w:lineRule="auto"/>
        <w:ind w:firstLine="709"/>
        <w:jc w:val="both"/>
      </w:pPr>
      <w:r>
        <w:rPr>
          <w:rFonts w:ascii="Times New Roman" w:hAnsi="Times New Roman"/>
          <w:sz w:val="28"/>
          <w:szCs w:val="28"/>
        </w:rPr>
        <w:t xml:space="preserve">5.3. Определение жизнеспособности яиц методом окрашивания. Мертвые ткани в большинстве случаев воспринимают краски быстрее, чем живые. Эти особенности используют в гельминтологии для определения жизнеспособности яиц и личинок гельминтов. В отдельных случаях некоторые красители лучше воспринимаются живыми тканями, чем мертвыми.</w:t>
      </w:r>
    </w:p>
    <w:p>
      <w:pPr>
        <w:widowControl w:val="0"/>
        <w:spacing w:before="0" w:after="60" w:line="240" w:lineRule="auto"/>
        <w:ind w:firstLine="709"/>
        <w:jc w:val="both"/>
      </w:pPr>
      <w:r>
        <w:rPr>
          <w:rFonts w:ascii="Times New Roman" w:hAnsi="Times New Roman"/>
          <w:sz w:val="28"/>
          <w:szCs w:val="28"/>
        </w:rPr>
        <w:t xml:space="preserve">5.3.1. Для окраски живых и мертвых тканей используют краситель метиленовый синий. Живая клетка или ткань редуцирует метиленовый синий и не окрашивается, мертвая ткань не обладает такой способностью, поэтому приобретает окраску. Критерием состояния яйца является окрашивание зародыша, но не оболочки. Такая его способность связана с условиями гибели яйца.</w:t>
      </w:r>
    </w:p>
    <w:p>
      <w:pPr>
        <w:widowControl w:val="0"/>
        <w:spacing w:before="0" w:after="60" w:line="240" w:lineRule="auto"/>
        <w:ind w:firstLine="709"/>
        <w:jc w:val="both"/>
      </w:pPr>
      <w:r>
        <w:rPr>
          <w:rFonts w:ascii="Times New Roman" w:hAnsi="Times New Roman"/>
          <w:sz w:val="28"/>
          <w:szCs w:val="28"/>
        </w:rPr>
        <w:t xml:space="preserve">5.3.2. Для окраски яиц аскарид используют метиленовый синий в растворе молочной кислоты с гидроксидом натрия (метиленового синего – 0,05 г;NaOH – 0,5 г; молочной кислоты – 15 мл). Живые яйца окраску не воспринимают, в то время как зародыши мертвых яиц окрашиваются в синий цвет.</w:t>
      </w:r>
    </w:p>
    <w:p>
      <w:pPr>
        <w:widowControl w:val="0"/>
        <w:spacing w:before="0" w:after="60" w:line="240" w:lineRule="auto"/>
        <w:ind w:firstLine="709"/>
        <w:jc w:val="both"/>
      </w:pPr>
      <w:r>
        <w:rPr>
          <w:rFonts w:ascii="Times New Roman" w:hAnsi="Times New Roman"/>
          <w:sz w:val="28"/>
          <w:szCs w:val="28"/>
        </w:rPr>
        <w:t xml:space="preserve">5.3.3. Для окраски яиц описторхов и онкосфер бычьего цепня используют раствор толуидинового синего (1:1000), раствор бриллианткрезилового синего (1:10000) для онкосфер бычьего цепня. При этом окрашиваются зародыши и оболочки, как мертвых, так и живых яиц. Поэтому после окраски яйца и онкосферы отмывают в чистой воде и дополнительно окрашивают их сафранином (в разведении 1:10000 спирта). Спирт удаляет краску с оболочек, а сафранин окрашивает в красный цвет. В результате живые яйца окрашиваются в красный цвет; яйца с мертвыми зародышами – в синий, а оболочка остается красной. Мертвые зародыши онкосфер бычьего цепня быстро, в течение нескольких минут, окрашиваются в ярко-красный или розовый цвет сафранином или в синий цвет бриллианткрезиловым синим в разведении 1:4000, или индигокармином в разведении 1:1000 – 1:2000. Живые зародыши не изменяются при окрашивании этими красителями даже спустя 2 – 7 ч.</w:t>
      </w:r>
    </w:p>
    <w:p>
      <w:pPr>
        <w:widowControl w:val="0"/>
        <w:spacing w:before="0" w:after="60" w:line="240" w:lineRule="auto"/>
        <w:ind w:firstLine="709"/>
        <w:jc w:val="both"/>
      </w:pPr>
      <w:r>
        <w:rPr>
          <w:rFonts w:ascii="Times New Roman" w:hAnsi="Times New Roman"/>
          <w:sz w:val="28"/>
          <w:szCs w:val="28"/>
        </w:rPr>
        <w:t xml:space="preserve">5.3.4. Для определения жизнеспособности яиц карликового цепня рекомендуется использовать следующие краски:</w:t>
      </w:r>
    </w:p>
    <w:p>
      <w:pPr>
        <w:widowControl w:val="0"/>
        <w:spacing w:before="0" w:after="60" w:line="240" w:lineRule="auto"/>
        <w:ind w:firstLine="709"/>
        <w:jc w:val="both"/>
      </w:pPr>
      <w:r>
        <w:rPr>
          <w:rFonts w:ascii="Times New Roman" w:hAnsi="Times New Roman"/>
          <w:sz w:val="28"/>
          <w:szCs w:val="28"/>
        </w:rPr>
        <w:t xml:space="preserve">бриллиантовый крезиловый синий (1:8000) – через 1 ч у мертвых яиц особенно ярко окрашивается онкосфера которая резко выделяется на бледном или бесцветном фоне остальной части яйца;</w:t>
      </w:r>
    </w:p>
    <w:p>
      <w:pPr>
        <w:widowControl w:val="0"/>
        <w:spacing w:before="0" w:after="60" w:line="240" w:lineRule="auto"/>
        <w:ind w:firstLine="709"/>
        <w:jc w:val="both"/>
      </w:pPr>
      <w:r>
        <w:rPr>
          <w:rFonts w:ascii="Times New Roman" w:hAnsi="Times New Roman"/>
          <w:sz w:val="28"/>
          <w:szCs w:val="28"/>
        </w:rPr>
        <w:t xml:space="preserve">сафранин (1:8000 при окрашивании в течение 2 ч и 1:5000 – в течение3 – 5 ч);</w:t>
      </w:r>
    </w:p>
    <w:p>
      <w:pPr>
        <w:widowControl w:val="0"/>
        <w:spacing w:before="0" w:after="60" w:line="240" w:lineRule="auto"/>
        <w:ind w:firstLine="709"/>
        <w:jc w:val="both"/>
      </w:pPr>
      <w:r>
        <w:rPr>
          <w:rFonts w:ascii="Times New Roman" w:hAnsi="Times New Roman"/>
          <w:sz w:val="28"/>
          <w:szCs w:val="28"/>
        </w:rPr>
        <w:t xml:space="preserve">50% раствор пирогалловой кислоты в разведении 1:2 при воздействии в течение 1 ч при температуре плюс (30 ± 1) °С (чем ниже температура, тем продолжительнее процесс окрашивания).</w:t>
      </w:r>
    </w:p>
    <w:p>
      <w:pPr>
        <w:widowControl w:val="0"/>
        <w:spacing w:before="0" w:after="60" w:line="240" w:lineRule="auto"/>
        <w:ind w:firstLine="709"/>
        <w:jc w:val="both"/>
      </w:pPr>
      <w:r>
        <w:rPr>
          <w:rFonts w:ascii="Times New Roman" w:hAnsi="Times New Roman"/>
          <w:sz w:val="28"/>
          <w:szCs w:val="28"/>
        </w:rPr>
        <w:t xml:space="preserve">5.4. Люминесцентный метод определения жизнеспособности яиц и личинок гельминтов. Люминесцентная микроскопия дает возможность дифференцировать живые и мертвые объекты без повреждения яйца. Флуоресценция наблюдается как при первичной люминесценции без применения красителей, так и при окраске объектов флюорохромами (акридиновый оранжевый, корифосфин, примулин, аурамин, сульфат берберина, трипафлавин, риванол, акрихин и др.). Для флуоресценции используется сине-фиолетовая часть видимого света.</w:t>
      </w:r>
    </w:p>
    <w:p>
      <w:pPr>
        <w:widowControl w:val="0"/>
        <w:spacing w:before="0" w:after="60" w:line="240" w:lineRule="auto"/>
        <w:ind w:firstLine="709"/>
        <w:jc w:val="both"/>
      </w:pPr>
      <w:r>
        <w:rPr>
          <w:rFonts w:ascii="Times New Roman" w:hAnsi="Times New Roman"/>
          <w:sz w:val="28"/>
          <w:szCs w:val="28"/>
        </w:rPr>
        <w:t xml:space="preserve">5.4.1. Живые и мертвые яйца аскарид, остриц, карликового цепня, бычьего цепня, лентецов и других гельминтов люминесцируют неодинаково. Неокрашенные, живые несегментированные яйца аскарид светятся ярко-зеленым светом с желтоватым оттенком; у мертвых яиц оболочка излучает зеленый свет значительно ярче, чем темно-зеленая зародышевая часть; у яиц аскарид с личинкой проявляется только оболочка, а у мертвых – и оболочка, и личинка ярко-желтого цвета. Непигментированные и несегментированные живые яйца остриц и карликовых цепней излучают зеленовато-желтый свет, у мертвых яиц интенсивно люминесцирует оболочка на фоне темно-зеленой зародышевой массы.</w:t>
      </w:r>
    </w:p>
    <w:p>
      <w:pPr>
        <w:widowControl w:val="0"/>
        <w:spacing w:before="0" w:after="60" w:line="240" w:lineRule="auto"/>
        <w:ind w:firstLine="709"/>
        <w:jc w:val="both"/>
      </w:pPr>
      <w:r>
        <w:rPr>
          <w:rFonts w:ascii="Times New Roman" w:hAnsi="Times New Roman"/>
          <w:sz w:val="28"/>
          <w:szCs w:val="28"/>
        </w:rPr>
        <w:t xml:space="preserve">5.4.2. При вторичной люминесценции (при окраске акридиновым оранжевым в разведении 1:10000 и 1:50000 от 30 мин до 2 ч) оболочка живых и мертвых нематод, трематод и цестод люминесцирует неодинаково. Оболочка живых и мертвых яиц аскарид, токсокар, остриц, карликового, крысиного, бычьего цепней, лентецов окрашиваются в оранжево-красный цвет. Зародыши живых яиц аскарид, токсокар, крысиного цепня, широкого лентеца и онкосферы бычьего цепня люминесцируют тусклым темно-зеленым или серо-зеленым цветом. Мертвые зародыши яиц этих гельминтов излучают «горящий» оранжево-красный цвет. Живые личинки остриц и токсокар (освобожденные от скорлупы яйца) излучают тусклый серо-зеленый свет, при их гибели цвет изменяется от головного конца в «горящий» светло-зеленый, затем в желтый и оранжевый. Живые яйца трематод (парагонимов и клонорхов) не люминесцируют после окраски акридиновым оранжевым, а от мертвых яиц исходит желтовато-зеленый цвет.</w:t>
      </w:r>
    </w:p>
    <w:p>
      <w:pPr>
        <w:widowControl w:val="0"/>
        <w:spacing w:before="0" w:after="60" w:line="240" w:lineRule="auto"/>
        <w:ind w:firstLine="709"/>
        <w:jc w:val="both"/>
      </w:pPr>
      <w:r>
        <w:rPr>
          <w:rFonts w:ascii="Times New Roman" w:hAnsi="Times New Roman"/>
          <w:sz w:val="28"/>
          <w:szCs w:val="28"/>
        </w:rPr>
        <w:t xml:space="preserve">5.4.3. При окраске флюорохромами – корифосфилом и примулином у мертвых яиц аскарид и власоглавов наблюдается свечение от лилово-желтого до медно-красного цвета. Жизнеспособные яйца не люминесцируют, а окрашиваются в темно-зеленый цвет.</w:t>
      </w:r>
    </w:p>
    <w:p>
      <w:pPr>
        <w:widowControl w:val="0"/>
        <w:spacing w:before="0" w:after="60" w:line="240" w:lineRule="auto"/>
        <w:ind w:firstLine="709"/>
        <w:jc w:val="both"/>
      </w:pPr>
      <w:r>
        <w:rPr>
          <w:rFonts w:ascii="Times New Roman" w:hAnsi="Times New Roman"/>
          <w:sz w:val="28"/>
          <w:szCs w:val="28"/>
        </w:rPr>
        <w:t xml:space="preserve">5.4.4. Обработанные раствором акридинового оранжевого (1:2000) личинки стронгилят, рабдитат светятся: живые – зеленым (с оттенком), мертвые – ярко-оранжевым светом. Живые мирацидии, вышедшие из оболочки, излучают тусклый голубоватый свет с еле заметным светло-желтым венчиком ресничек, но спустя 10 – 15 мин после гибели проявляются ярким «горящим» светло-зеленым, а затем – оранжево-красным светом.</w:t>
      </w:r>
    </w:p>
    <w:p>
      <w:pPr>
        <w:widowControl w:val="0"/>
        <w:spacing w:before="0" w:after="60" w:line="240" w:lineRule="auto"/>
        <w:ind w:firstLine="709"/>
        <w:jc w:val="both"/>
      </w:pPr>
      <w:r>
        <w:rPr>
          <w:rFonts w:ascii="Times New Roman" w:hAnsi="Times New Roman"/>
          <w:sz w:val="28"/>
          <w:szCs w:val="28"/>
        </w:rPr>
        <w:t xml:space="preserve">5.5. Биологическая проба – определение жизнеспособности инвазионных яиц гельминтов посредством их скармливания лабораторным животным. Это наиболее точный метод. Личинками гельминта заражают соответствующего промежуточного или окончательного хозяина, или можно использовать лабораторных животных, которым скармливают зрелые яйца или личинки паразитов.</w:t>
      </w:r>
    </w:p>
    <w:p>
      <w:pPr>
        <w:widowControl w:val="0"/>
        <w:spacing w:before="0" w:after="60" w:line="240" w:lineRule="auto"/>
        <w:ind w:firstLine="709"/>
        <w:jc w:val="both"/>
      </w:pPr>
      <w:r>
        <w:rPr>
          <w:rFonts w:ascii="Times New Roman" w:hAnsi="Times New Roman"/>
          <w:sz w:val="28"/>
          <w:szCs w:val="28"/>
        </w:rPr>
        <w:t xml:space="preserve">Все исследования с использованием лабораторных животных проводятся в соответствии с Европейской конвенцией о защите позвоночных животных, используемых для экспериментов или в иных научных целях (ETS N 123), директивой Европейского парламента и Совета Европейского Союза 2010/63/EC от 22.09.2010 г. о защите животных, использующихся для научных целей.</w:t>
      </w:r>
    </w:p>
    <w:p>
      <w:pPr>
        <w:widowControl w:val="0"/>
        <w:spacing w:before="0" w:after="60" w:line="240" w:lineRule="auto"/>
        <w:ind w:firstLine="709"/>
        <w:jc w:val="both"/>
      </w:pPr>
      <w:r>
        <w:rPr>
          <w:rFonts w:ascii="Times New Roman" w:hAnsi="Times New Roman"/>
          <w:sz w:val="28"/>
          <w:szCs w:val="28"/>
        </w:rPr>
        <w:t xml:space="preserve">5.5.1. Для определения жизнеспособности яиц аскаридат (аскариды свиные, человека, токсокары, токсоскарисы и др.) на одно животное (морские свинки, мыши) необходимо не менее 50 яиц с развившейся личинкой; при недостатке — не менее 20 яиц; при числе яиц менее 20 биопробу не ставят. Яйца аскаридат в изотоническом растворе натрия хлорида вводят пипеткой через рот мыши или морской свинке. Через 6 – 7 суток проводят эвтаназию с последующим вскрытием животного, исследуют его печень и легкие в отдельности на наличие личинок аскаридат. Для этого печень и легкие измельчают ножницами на мелкие кусочки и исследуют их по методу Бермана или Супряга.</w:t>
      </w:r>
    </w:p>
    <w:p>
      <w:pPr>
        <w:widowControl w:val="0"/>
        <w:spacing w:before="0" w:after="60" w:line="240" w:lineRule="auto"/>
        <w:ind w:firstLine="709"/>
        <w:jc w:val="both"/>
      </w:pPr>
      <w:r>
        <w:rPr>
          <w:rFonts w:ascii="Times New Roman" w:hAnsi="Times New Roman"/>
          <w:sz w:val="28"/>
          <w:szCs w:val="28"/>
        </w:rPr>
        <w:t xml:space="preserve">5.5.2. Для определения жизнеспособности яиц карликового цепня рекомендуется их скармливание незараженным ими ранее белым мышам с последующими: эвтаназией, вскрытием животных через 92 – 96 ч и выявлением цистицеркоидов в кишечных ворсинках или цестод в просвете кишечника.</w:t>
      </w:r>
    </w:p>
    <w:p>
      <w:pPr>
        <w:widowControl w:val="0"/>
        <w:spacing w:before="0" w:after="60" w:line="240" w:lineRule="auto"/>
        <w:ind w:firstLine="709"/>
        <w:jc w:val="both"/>
      </w:pPr>
      <w:r>
        <w:rPr>
          <w:rFonts w:ascii="Times New Roman" w:hAnsi="Times New Roman"/>
          <w:sz w:val="28"/>
          <w:szCs w:val="28"/>
        </w:rPr>
        <w:t xml:space="preserve">Б.1. Пункт 5.6 изложить в редакции:</w:t>
      </w:r>
    </w:p>
    <w:p>
      <w:pPr>
        <w:widowControl w:val="0"/>
        <w:spacing w:before="0" w:after="60" w:line="240" w:lineRule="auto"/>
        <w:ind w:firstLine="709"/>
        <w:jc w:val="both"/>
      </w:pPr>
      <w:r>
        <w:rPr>
          <w:rFonts w:ascii="Times New Roman" w:hAnsi="Times New Roman"/>
          <w:sz w:val="28"/>
          <w:szCs w:val="28"/>
        </w:rPr>
        <w:t xml:space="preserve">5.6. Определение жизнеспособности яиц описторхид</w:t>
      </w:r>
    </w:p>
    <w:p>
      <w:pPr>
        <w:widowControl w:val="0"/>
        <w:spacing w:before="0" w:after="60" w:line="240" w:lineRule="auto"/>
        <w:ind w:firstLine="709"/>
        <w:jc w:val="both"/>
      </w:pPr>
      <w:r>
        <w:rPr>
          <w:rFonts w:ascii="Times New Roman" w:hAnsi="Times New Roman"/>
          <w:sz w:val="28"/>
          <w:szCs w:val="28"/>
        </w:rPr>
        <w:t xml:space="preserve">5.6.1. Жизнеспособность яиц описторхид (Opisthorchis felineus, Opisthorchis viverrini, Clonorchis sinensis) определяют люминесцентным методом по п. 5.4 как основным. Препарат из осадка пробы обрабатывают раствором акридинового оранжевого в разведении 1:10000 или 1:50000 в течение от 30 мин до 2 ч и микроскопируют при люминесцентном освещении (сине-фиолетовый светофильтр). Живые яйца трематод после окраски акридиновым оранжевым не люминесцируют; от мёртвых яиц исходит желтовато-зелёное свечение (п. 5.4.2). Учёту подлежит не менее 20 яиц (при числе яиц от 20 до 100 учитывают все; при большем числе — не менее 100; при содержании в пробе менее 20 яиц исследуют все имеющиеся яйца с указанием фактического числа в протоколе).</w:t>
      </w:r>
    </w:p>
    <w:p>
      <w:pPr>
        <w:widowControl w:val="0"/>
        <w:spacing w:before="0" w:after="60" w:line="240" w:lineRule="auto"/>
        <w:ind w:firstLine="709"/>
        <w:jc w:val="both"/>
      </w:pPr>
      <w:r>
        <w:rPr>
          <w:rFonts w:ascii="Times New Roman" w:hAnsi="Times New Roman"/>
          <w:sz w:val="28"/>
          <w:szCs w:val="28"/>
        </w:rPr>
        <w:t xml:space="preserve">5.6.2. При выходе мирацидиев из оболочек их жизнеспособность подтверждают по п. 5.4.4: живые мирацидии излучают тусклый голубоватый свет с еле заметным светло-жёлтым венчиком ресничек; спустя 10–15 мин после гибели свечение изменяется на ярко-«горящий» светло-зелёный, затем оранжево-красный.</w:t>
      </w:r>
    </w:p>
    <w:p>
      <w:pPr>
        <w:widowControl w:val="0"/>
        <w:spacing w:before="0" w:after="60" w:line="240" w:lineRule="auto"/>
        <w:ind w:firstLine="709"/>
        <w:jc w:val="both"/>
      </w:pPr>
      <w:r>
        <w:rPr>
          <w:rFonts w:ascii="Times New Roman" w:hAnsi="Times New Roman"/>
          <w:sz w:val="28"/>
          <w:szCs w:val="28"/>
        </w:rPr>
        <w:t xml:space="preserve">5.6.3. Подтверждающим методом является метод активации железы вылупления по Герману С.М. и Беэру С.А. (1984): охлаждение взвеси яиц до плюс (10–12) °С, внесение в пробирку капли взвеси, содержащей не менее 20 яиц, осаждение яиц в течение 5–10 мин, удаление надосадочной жидкости фильтровальной бумагой, добавление 2 капель активирующей среды на 0,005 М трис-HCl буфере с 12–13% этанола и красителем (фуксин основной, сафранин, эозин или метиленовый синий), экспозиция 10 мин при лёгком покачивании, добавление 2 капель среды и микроскопирование при 20-кратном увеличении. У жизнеспособных яиц открывается крышечка и мирацидий активно выходит в среду, обездвиживается и окрашивается через 2–5 мин. Метод применяют при сомнительных результатах люминесцентного исследования, а также при необходимости документального подтверждения выхода мирацидия.</w:t>
      </w:r>
    </w:p>
    <w:p>
      <w:pPr>
        <w:widowControl w:val="0"/>
        <w:spacing w:before="0" w:after="60" w:line="240" w:lineRule="auto"/>
        <w:ind w:firstLine="709"/>
        <w:jc w:val="both"/>
      </w:pPr>
      <w:r>
        <w:rPr>
          <w:rFonts w:ascii="Times New Roman" w:hAnsi="Times New Roman"/>
          <w:sz w:val="28"/>
          <w:szCs w:val="28"/>
        </w:rPr>
        <w:t xml:space="preserve">5.6.4. При расхождении результатов п. 5.6.1 и п. 5.6.3 решающим считают подтверждение активного выхода мирацидия (п. 5.6.3), а при его недостижимости — результат культивирования яиц в воде по п. 5.1.5 (формирование мирацидия в живых яйцах при температуре плюс 22–24 °С в течение 9–12 суток; выход мирацидия описторхид и корацидия лентецов происходит только на свету).</w:t>
      </w:r>
    </w:p>
    <w:p>
      <w:pPr>
        <w:widowControl w:val="0"/>
        <w:spacing w:before="0" w:after="60" w:line="240" w:lineRule="auto"/>
        <w:ind w:firstLine="709"/>
        <w:jc w:val="both"/>
      </w:pPr>
      <w:r>
        <w:rPr>
          <w:rFonts w:ascii="Times New Roman" w:hAnsi="Times New Roman"/>
          <w:sz w:val="28"/>
          <w:szCs w:val="28"/>
        </w:rPr>
        <w:t xml:space="preserve">5.6.5. Результат выражают как долю (процент) жизнеспособных яиц от числа учтённых объектов с указанием метода, которым получено заключение, и фактического числа учтённых яиц.</w:t>
      </w:r>
    </w:p>
    <w:p>
      <w:pPr>
        <w:widowControl w:val="0"/>
        <w:spacing w:before="0" w:after="60" w:line="240" w:lineRule="auto"/>
        <w:ind w:firstLine="709"/>
        <w:jc w:val="both"/>
      </w:pPr>
      <w:r>
        <w:rPr>
          <w:rFonts w:ascii="Times New Roman" w:hAnsi="Times New Roman"/>
          <w:sz w:val="28"/>
          <w:szCs w:val="28"/>
        </w:rPr>
        <w:t xml:space="preserve">Примечание. Источник подтверждающего метода: Герман С.М., Беэр С.А. Медицинская паразитология и паразитарные болезни. 1984. № 1. С. 57–60; воспроизведение — МУК 4.2.2661-10 (п. 15.7).</w:t>
      </w:r>
    </w:p>
    <w:p>
      <w:pPr>
        <w:widowControl w:val="0"/>
        <w:spacing w:before="0" w:after="60" w:line="240" w:lineRule="auto"/>
        <w:ind w:firstLine="709"/>
        <w:jc w:val="both"/>
      </w:pPr>
      <w:r>
        <w:rPr>
          <w:rFonts w:ascii="Times New Roman" w:hAnsi="Times New Roman"/>
          <w:sz w:val="28"/>
          <w:szCs w:val="28"/>
        </w:rPr>
        <w:t xml:space="preserve">5.7. Определение жизнеспособности ооцист и цист простейших, выделенных из навоза, помёта, навозных стоков, органических удобрений и почв (по ГОСТ Р 57782-2017, §10)</w:t>
      </w:r>
    </w:p>
    <w:p>
      <w:pPr>
        <w:widowControl w:val="0"/>
        <w:spacing w:before="0" w:after="60" w:line="240" w:lineRule="auto"/>
        <w:ind w:firstLine="709"/>
        <w:jc w:val="both"/>
      </w:pPr>
      <w:r>
        <w:rPr>
          <w:rFonts w:ascii="Times New Roman" w:hAnsi="Times New Roman"/>
          <w:sz w:val="28"/>
          <w:szCs w:val="28"/>
        </w:rPr>
        <w:t xml:space="preserve">5.7.1. Метод световой микроскопии (основной). Под большим увеличением микроскопа (×400) выявляют резко выраженные признаки гибели ооцист и цист простейших:</w:t>
      </w:r>
    </w:p>
    <w:p>
      <w:pPr>
        <w:widowControl w:val="0"/>
        <w:spacing w:before="0" w:after="60" w:line="240" w:lineRule="auto"/>
        <w:ind w:firstLine="709"/>
        <w:jc w:val="both"/>
      </w:pPr>
      <w:r>
        <w:rPr>
          <w:rFonts w:ascii="Times New Roman" w:hAnsi="Times New Roman"/>
          <w:sz w:val="28"/>
          <w:szCs w:val="28"/>
        </w:rPr>
        <w:t xml:space="preserve">— деформация оболочек;</w:t>
      </w:r>
    </w:p>
    <w:p>
      <w:pPr>
        <w:widowControl w:val="0"/>
        <w:spacing w:before="0" w:after="60" w:line="240" w:lineRule="auto"/>
        <w:ind w:firstLine="709"/>
        <w:jc w:val="both"/>
      </w:pPr>
      <w:r>
        <w:rPr>
          <w:rFonts w:ascii="Times New Roman" w:hAnsi="Times New Roman"/>
          <w:sz w:val="28"/>
          <w:szCs w:val="28"/>
        </w:rPr>
        <w:t xml:space="preserve">— вакуолизация плазмы зародыша;</w:t>
      </w:r>
    </w:p>
    <w:p>
      <w:pPr>
        <w:widowControl w:val="0"/>
        <w:spacing w:before="0" w:after="60" w:line="240" w:lineRule="auto"/>
        <w:ind w:firstLine="709"/>
        <w:jc w:val="both"/>
      </w:pPr>
      <w:r>
        <w:rPr>
          <w:rFonts w:ascii="Times New Roman" w:hAnsi="Times New Roman"/>
          <w:sz w:val="28"/>
          <w:szCs w:val="28"/>
        </w:rPr>
        <w:t xml:space="preserve">— прогибание оболочек внутрь и их разрушение;</w:t>
      </w:r>
    </w:p>
    <w:p>
      <w:pPr>
        <w:widowControl w:val="0"/>
        <w:spacing w:before="0" w:after="60" w:line="240" w:lineRule="auto"/>
        <w:ind w:firstLine="709"/>
        <w:jc w:val="both"/>
      </w:pPr>
      <w:r>
        <w:rPr>
          <w:rFonts w:ascii="Times New Roman" w:hAnsi="Times New Roman"/>
          <w:sz w:val="28"/>
          <w:szCs w:val="28"/>
        </w:rPr>
        <w:t xml:space="preserve">— лизис ооцист, их склеивание;</w:t>
      </w:r>
    </w:p>
    <w:p>
      <w:pPr>
        <w:widowControl w:val="0"/>
        <w:spacing w:before="0" w:after="60" w:line="240" w:lineRule="auto"/>
        <w:ind w:firstLine="709"/>
        <w:jc w:val="both"/>
      </w:pPr>
      <w:r>
        <w:rPr>
          <w:rFonts w:ascii="Times New Roman" w:hAnsi="Times New Roman"/>
          <w:sz w:val="28"/>
          <w:szCs w:val="28"/>
        </w:rPr>
        <w:t xml:space="preserve">— отсутствие споруляции.</w:t>
      </w:r>
    </w:p>
    <w:p>
      <w:pPr>
        <w:widowControl w:val="0"/>
        <w:spacing w:before="0" w:after="60" w:line="240" w:lineRule="auto"/>
        <w:ind w:firstLine="709"/>
        <w:jc w:val="both"/>
      </w:pPr>
      <w:r>
        <w:rPr>
          <w:rFonts w:ascii="Times New Roman" w:hAnsi="Times New Roman"/>
          <w:sz w:val="28"/>
          <w:szCs w:val="28"/>
        </w:rPr>
        <w:t xml:space="preserve">Ооцисты и цисты, не имеющие перечисленных признаков гибели, считают жизнеспособными. Число деформированных и число жизнеспособных объектов учитывают раздельно и заносят в журнал (п. 4.9.7.4).</w:t>
      </w:r>
    </w:p>
    <w:p>
      <w:pPr>
        <w:widowControl w:val="0"/>
        <w:spacing w:before="0" w:after="60" w:line="240" w:lineRule="auto"/>
        <w:ind w:firstLine="709"/>
        <w:jc w:val="both"/>
      </w:pPr>
      <w:r>
        <w:rPr>
          <w:rFonts w:ascii="Times New Roman" w:hAnsi="Times New Roman"/>
          <w:sz w:val="28"/>
          <w:szCs w:val="28"/>
        </w:rPr>
        <w:t xml:space="preserve">5.7.2. Культивирование (подтверждающий метод). Создают условия для развития зародышей у жизнеспособных ооцист и цист простейших в процессе культивирования. Культивируют их в термостате при температуре от 26 °C до 28 °C во влажной камере в чашках Петри (тип ЧБН по ГОСТ 25336, общие технические условия — по ГОСТ 23932). Ооцисты и цисты, собранные на предметные стёкла (по ГОСТ 9284) и часовые стёкла (по ГОСТ 23932) или на фильтры, помещают в чашки Петри. На дно чашки для создания влажности кладут вату медицинскую гигроскопическую (по ГОСТ 5556), смоченную 2,5% раствором бихромата калия (калий двухромовокислый по ГОСТ 4220; приготовление — приложение 3). Чашку закрывают крышкой и помещают в термостат. С целью определения сроков достижения инвазионной стадии часть ооцист кокцидий ежедневно исследуют под микроскопом.</w:t>
      </w:r>
    </w:p>
    <w:p>
      <w:pPr>
        <w:widowControl w:val="0"/>
        <w:spacing w:before="0" w:after="60" w:line="240" w:lineRule="auto"/>
        <w:ind w:firstLine="709"/>
        <w:jc w:val="both"/>
      </w:pPr>
      <w:r>
        <w:rPr>
          <w:rFonts w:ascii="Times New Roman" w:hAnsi="Times New Roman"/>
          <w:sz w:val="28"/>
          <w:szCs w:val="28"/>
        </w:rPr>
        <w:t xml:space="preserve">В спорулированных ооцистах оценивают особенности споруляции: наличие остаточных тел в ооцисте и спороцистах; размер и форму спорозойтов. В процессе споруляции в ооцисте формируются четыре спороцисты (у изоспор — две спороцисты) и в каждой из них по два спорозойта (у изоспор — четыре спорозойта). Такие ооцисты называют спорулированными, или инвазионными; они способны заражать восприимчивых животных, в организме которых происходит развитие эндогенных стадий.</w:t>
      </w:r>
    </w:p>
    <w:p>
      <w:pPr>
        <w:widowControl w:val="0"/>
        <w:spacing w:before="0" w:after="60" w:line="240" w:lineRule="auto"/>
        <w:ind w:firstLine="709"/>
        <w:jc w:val="both"/>
      </w:pPr>
      <w:r>
        <w:rPr>
          <w:rFonts w:ascii="Times New Roman" w:hAnsi="Times New Roman"/>
          <w:sz w:val="28"/>
          <w:szCs w:val="28"/>
        </w:rPr>
        <w:t xml:space="preserve">5.7.3. Биологическая проба на молодняке сельскохозяйственных животных. Для подтверждения инвазионных свойств ооцист кокцидий применяют метод биопробы на молодняке сельскохозяйственных животных (цыплята, поросята, телята и др.). Биопробу проводят в порядке, установленном п. 5.5 настоящих МУК, с оформлением документов, предусмотренных для работы с лабораторными животными, и с соблюдением требований законодательства Российской Федерации в области обращения с животными, используемыми в эксперименте. Биопроба является подтверждающим методом и проводится по эпидемическим (эпизоотическим) показаниям либо при необходимости арбитражной оценки.</w:t>
      </w:r>
    </w:p>
    <w:p>
      <w:pPr>
        <w:widowControl w:val="0"/>
        <w:spacing w:before="0" w:after="60" w:line="240" w:lineRule="auto"/>
        <w:ind w:firstLine="709"/>
        <w:jc w:val="both"/>
      </w:pPr>
      <w:r>
        <w:rPr>
          <w:rFonts w:ascii="Times New Roman" w:hAnsi="Times New Roman"/>
          <w:sz w:val="28"/>
          <w:szCs w:val="28"/>
        </w:rPr>
        <w:t xml:space="preserve">5.7.4. Жизнеспособность цист патогенных кишечных простейших человека (Lamblia intestinalis, Entamoeba histolytica, Balantidium coli (Balantioides coli)) дополнительно оценивают по морфологическим признакам при микроскопировании нативного препарата: к жизнеспособным относят цисты с сохранной оболочкой, отчётливо различимыми ядрами, хроматоидными тельцами и гликогеновыми вакуолями, без признаков сморщивания, вакуолизации и разрушения внутренней структуры; к нежизнеспособным — цисты с деформированной, разрушенной или пустой оболочкой, с расплывчатым, гомогенным, зернистым содержимым (критерии п. 5.7.1 применяют в части деформации оболочек, вакуолизации плазмы, прогибания и разрушения оболочек, лизиса и склеивания).</w:t>
      </w:r>
    </w:p>
    <w:p>
      <w:pPr>
        <w:widowControl w:val="0"/>
        <w:spacing w:before="0" w:after="60" w:line="240" w:lineRule="auto"/>
        <w:ind w:firstLine="709"/>
        <w:jc w:val="both"/>
      </w:pPr>
      <w:r>
        <w:rPr>
          <w:rFonts w:ascii="Times New Roman" w:hAnsi="Times New Roman"/>
          <w:sz w:val="28"/>
          <w:szCs w:val="28"/>
        </w:rPr>
        <w:t xml:space="preserve">Подтверждение жизнеспособности допускается проводить окрашиванием витальными красителями — дополнительный метод, не заменяющий культивирование (п. 5.7.2): 0,1% водным раствором эозина или 0,1–0,2% водным раствором акридинового оранжевого (методики МУК 4.2.796-99 и МУК 4.2.2661-10). На предметное стекло наносят каплю раствора красителя, готовят препарат (отпечаток с мембранного фильтра либо каплю осадка), накрывают покровным стеклом и через 30–45 мин исследуют под световым (эозин) или люминесцентным (акридиновый оранжевый) микроскопом. Живые цисты не окрашиваются эозином и не дают яркой оранжево-красной флуоресценции акридинового оранжевого; погибшие и дегенерирующие цисты окрашиваются (флуоресцируют) интенсивно. Подсчитывают число неокрашенных (живых) и окрашенных (мёртвых и дегенерирующих) цист каждого вида.</w:t>
      </w:r>
    </w:p>
    <w:p>
      <w:pPr>
        <w:widowControl w:val="0"/>
        <w:spacing w:before="0" w:after="60" w:line="240" w:lineRule="auto"/>
        <w:ind w:firstLine="709"/>
        <w:jc w:val="both"/>
      </w:pPr>
      <w:r>
        <w:rPr>
          <w:rFonts w:ascii="Times New Roman" w:hAnsi="Times New Roman"/>
          <w:sz w:val="28"/>
          <w:szCs w:val="28"/>
        </w:rPr>
        <w:t xml:space="preserve">5.7.5. Жизнеспособность ооцист Cryptosporidium spp. оценивают по морфологии при окраске по Цилю–Нильсену (п. 4.9.5-в) с применением критериев п. 5.7.1: жизнеспособными считают ооцисты с сохранной оболочкой и различимыми четырьмя спорозойтами; нежизнеспособными — пустые, сморщенные, разрушенные ооцисты, ооцисты с деформацией и прогибанием оболочек, с лизисом и склеиванием, а также ооцисты без различимых спорозойтов. При наличии условий жизнеспособность подтверждают иммунофлуоресцентным мечением (п. 4.7) с учётом свечения, характерного для интактных ооцист.</w:t>
      </w:r>
    </w:p>
    <w:p>
      <w:pPr>
        <w:widowControl w:val="0"/>
        <w:spacing w:before="0" w:after="60" w:line="240" w:lineRule="auto"/>
        <w:ind w:firstLine="709"/>
        <w:jc w:val="both"/>
      </w:pPr>
      <w:r>
        <w:rPr>
          <w:rFonts w:ascii="Times New Roman" w:hAnsi="Times New Roman"/>
          <w:sz w:val="28"/>
          <w:szCs w:val="28"/>
        </w:rPr>
        <w:t xml:space="preserve">Примечание. Ооцисты Cryptosporidium spp. выделяются из организма хозяина уже спорулированными (инвазионными), в связи с чем критерий споруляции в культуре (п. 5.7.2) к ним не применяется: культивирование при 26–28 °C используют для ооцист кокцидий рода Eimeria, Isospora (Cystoisospora) и цист других простейших, завершающих споруляцию во внешней среде. Оценка жизнеспособности ооцист криптоспоридий — по п. 5.7.1 и п. 5.7.5; при необходимости подтверждения инвазионности применяют клеточные культуры и биопробу (вне рамок настоящих МУК).</w:t>
      </w:r>
    </w:p>
    <w:p>
      <w:pPr>
        <w:widowControl w:val="0"/>
        <w:spacing w:before="0" w:after="60" w:line="240" w:lineRule="auto"/>
        <w:ind w:firstLine="709"/>
        <w:jc w:val="both"/>
      </w:pPr>
      <w:r>
        <w:rPr>
          <w:rFonts w:ascii="Times New Roman" w:hAnsi="Times New Roman"/>
          <w:sz w:val="28"/>
          <w:szCs w:val="28"/>
        </w:rPr>
        <w:t xml:space="preserve">5.7.6. Объекты, не патогенные для человека. Ооцисты кокцидий рода Eimeria, цисты Buxtonella spp. и другие объекты, не патогенные для человека, при оценке результатов по показателям 2 и 3 приложения 36 к СанПиН 3.3686-21 не учитывают; сведения о них приводят в протоколе справочно. Указанные объекты подлежат учёту при ветеринарно-санитарной и зоогигиенической оценке удобрения, а также при установлении интенсивности инвазии (п. 4.9.7.3).</w:t>
      </w:r>
    </w:p>
    <w:p>
      <w:pPr>
        <w:widowControl w:val="0"/>
        <w:spacing w:before="0" w:after="60" w:line="240" w:lineRule="auto"/>
        <w:ind w:firstLine="709"/>
        <w:jc w:val="both"/>
      </w:pPr>
      <w:r>
        <w:rPr>
          <w:rFonts w:ascii="Times New Roman" w:hAnsi="Times New Roman"/>
          <w:sz w:val="28"/>
          <w:szCs w:val="28"/>
        </w:rPr>
        <w:t xml:space="preserve">5.7.7. Выражение результата. Результат выражают числом жизнеспособных цист (ооцист) в исследованной массе (объёме) пробы и их долей (в процентах) от общего числа обнаруженных объектов, с указанием фактического числа учтённых объектов, применённого метода (п. 5.7.1, 5.7.2, 5.7.3, 5.7.4, 5.7.5) и числа просмотренных препаратов (камер, стёкол).</w:t>
      </w:r>
    </w:p>
    <w:p>
      <w:pPr>
        <w:widowControl w:val="0"/>
        <w:keepNext/>
        <w:keepLines/>
        <w:spacing w:before="360" w:after="120"/>
        <w:jc w:val="center"/>
        <w:outlineLvl w:val="0"/>
      </w:pPr>
      <w:r>
        <w:rPr>
          <w:rFonts w:ascii="Times New Roman" w:hAnsi="Times New Roman"/>
          <w:sz w:val="28"/>
          <w:szCs w:val="28"/>
        </w:rPr>
        <w:t xml:space="preserve">VI. НОРМАТИВНЫЕ ССЫЛКИ</w:t>
      </w:r>
    </w:p>
    <w:p>
      <w:pPr>
        <w:widowControl w:val="0"/>
        <w:spacing w:before="0" w:after="60" w:line="240" w:lineRule="auto"/>
        <w:ind w:firstLine="709"/>
        <w:jc w:val="both"/>
      </w:pPr>
      <w:r>
        <w:rPr>
          <w:rFonts w:ascii="Times New Roman" w:hAnsi="Times New Roman"/>
          <w:sz w:val="28"/>
          <w:szCs w:val="28"/>
        </w:rPr>
        <w:t xml:space="preserve">В настоящих методических указаниях использованы нормативные ссылки на следующие документы (при пользовании настоящими МУК целесообразно проверить действие ссылочных документов; если ссылочный документ заменён, следует руководствоваться действующей редакцией):</w:t>
      </w:r>
    </w:p>
    <w:p>
      <w:pPr>
        <w:widowControl w:val="0"/>
        <w:spacing w:before="0" w:after="60" w:line="240" w:lineRule="auto"/>
        <w:ind w:firstLine="709"/>
        <w:jc w:val="both"/>
      </w:pPr>
      <w:r>
        <w:rPr>
          <w:rFonts w:ascii="Times New Roman" w:hAnsi="Times New Roman"/>
          <w:sz w:val="28"/>
          <w:szCs w:val="28"/>
        </w:rPr>
        <w:t xml:space="preserve">Федеральный закон от 30.03.1999 № 52-ФЗ «О санитарно-эпидемиологическом благополучии населения»;</w:t>
      </w:r>
    </w:p>
    <w:p>
      <w:pPr>
        <w:widowControl w:val="0"/>
        <w:spacing w:before="0" w:after="60" w:line="240" w:lineRule="auto"/>
        <w:ind w:firstLine="709"/>
        <w:jc w:val="both"/>
      </w:pPr>
      <w:r>
        <w:rPr>
          <w:rFonts w:ascii="Times New Roman" w:hAnsi="Times New Roman"/>
          <w:sz w:val="28"/>
          <w:szCs w:val="28"/>
        </w:rPr>
        <w:t xml:space="preserve">Федеральный закон от 26.06.2008 № 102-ФЗ «Об обеспечении единства измерений»;</w:t>
      </w:r>
    </w:p>
    <w:p>
      <w:pPr>
        <w:widowControl w:val="0"/>
        <w:spacing w:before="0" w:after="60" w:line="240" w:lineRule="auto"/>
        <w:ind w:firstLine="709"/>
        <w:jc w:val="both"/>
      </w:pPr>
      <w:r>
        <w:rPr>
          <w:rFonts w:ascii="Times New Roman" w:hAnsi="Times New Roman"/>
          <w:sz w:val="28"/>
          <w:szCs w:val="28"/>
        </w:rPr>
        <w:t xml:space="preserve">Федеральный закон от 10.01.2002 № 7-ФЗ «Об охране окружающей среды»;</w:t>
      </w:r>
    </w:p>
    <w:p>
      <w:pPr>
        <w:widowControl w:val="0"/>
        <w:spacing w:before="0" w:after="60" w:line="240" w:lineRule="auto"/>
        <w:ind w:firstLine="709"/>
        <w:jc w:val="both"/>
      </w:pPr>
      <w:r>
        <w:rPr>
          <w:rFonts w:ascii="Times New Roman" w:hAnsi="Times New Roman"/>
          <w:sz w:val="28"/>
          <w:szCs w:val="28"/>
        </w:rPr>
        <w:t xml:space="preserve">СанПиН 3.3686-21 «Санитарно-эпидемиологические требования по профилактике инфекционных болезней»;</w:t>
      </w:r>
    </w:p>
    <w:p>
      <w:pPr>
        <w:widowControl w:val="0"/>
        <w:spacing w:before="0" w:after="60" w:line="240" w:lineRule="auto"/>
        <w:ind w:firstLine="709"/>
        <w:jc w:val="both"/>
      </w:pPr>
      <w:r>
        <w:rPr>
          <w:rFonts w:ascii="Times New Roman" w:hAnsi="Times New Roman"/>
          <w:sz w:val="28"/>
          <w:szCs w:val="28"/>
        </w:rPr>
        <w:t xml:space="preserve">СанПиН 2.1.3684-21 «Санитарно-эпидемиологические требования к содержанию территорий городских и сельских поселений…»;</w:t>
      </w:r>
    </w:p>
    <w:p>
      <w:pPr>
        <w:widowControl w:val="0"/>
        <w:spacing w:before="0" w:after="60" w:line="240" w:lineRule="auto"/>
        <w:ind w:firstLine="709"/>
        <w:jc w:val="both"/>
      </w:pPr>
      <w:r>
        <w:rPr>
          <w:rFonts w:ascii="Times New Roman" w:hAnsi="Times New Roman"/>
          <w:sz w:val="28"/>
          <w:szCs w:val="28"/>
        </w:rPr>
        <w:t xml:space="preserve">СанПиН 1.2.3685-21 «Гигиенические нормативы и требования к обеспечению безопасности и (или) безвредности для человека факторов среды обитания»;</w:t>
      </w:r>
    </w:p>
    <w:p>
      <w:pPr>
        <w:widowControl w:val="0"/>
        <w:spacing w:before="0" w:after="60" w:line="240" w:lineRule="auto"/>
        <w:ind w:firstLine="709"/>
        <w:jc w:val="both"/>
      </w:pPr>
      <w:r>
        <w:rPr>
          <w:rFonts w:ascii="Times New Roman" w:hAnsi="Times New Roman"/>
          <w:sz w:val="28"/>
          <w:szCs w:val="28"/>
        </w:rPr>
        <w:t xml:space="preserve">СП 2.1.4284-26 «Санитарно-эпидемиологические требования к эксплуатации плавательных бассейнов и аквапарков»;</w:t>
      </w:r>
    </w:p>
    <w:p>
      <w:pPr>
        <w:widowControl w:val="0"/>
        <w:spacing w:before="0" w:after="60" w:line="240" w:lineRule="auto"/>
        <w:ind w:firstLine="709"/>
        <w:jc w:val="both"/>
      </w:pPr>
      <w:r>
        <w:rPr>
          <w:rFonts w:ascii="Times New Roman" w:hAnsi="Times New Roman"/>
          <w:sz w:val="28"/>
          <w:szCs w:val="28"/>
        </w:rPr>
        <w:t xml:space="preserve">МУ 1.3.2569-09 «Организация работы лабораторий, использующих методы амплификации нуклеиновых кислот…»;</w:t>
      </w:r>
    </w:p>
    <w:p>
      <w:pPr>
        <w:pStyle w:val="ConsPlusTitle"/>
        <w:contextualSpacing/>
        <w:jc w:val="center"/>
      </w:pPr>
      <w:r>
        <w:rPr>
          <w:rFonts w:ascii="Times New Roman" w:hAnsi="Times New Roman"/>
          <w:sz w:val="28"/>
          <w:szCs w:val="28"/>
        </w:rPr>
        <w:t xml:space="preserve">МУК 4.2.3964-23 «Методы лабораторных исследований объектов окружающей среды и биологического материала человека на наличие ооцист криптоспоридий»;</w:t>
      </w:r>
    </w:p>
    <w:p>
      <w:pPr>
        <w:pStyle w:val="ConsPlusTitle"/>
        <w:contextualSpacing/>
        <w:jc w:val="center"/>
      </w:pPr>
      <w:r>
        <w:rPr>
          <w:rFonts w:ascii="Times New Roman" w:hAnsi="Times New Roman"/>
          <w:sz w:val="28"/>
          <w:szCs w:val="28"/>
        </w:rPr>
        <w:t xml:space="preserve">МУК 4.2.3145-13 «Лабораторная диагностика гельминтозов и протозоозов»;</w:t>
      </w:r>
    </w:p>
    <w:p>
      <w:pPr>
        <w:pStyle w:val="ConsPlusTitle"/>
        <w:contextualSpacing/>
        <w:jc w:val="center"/>
      </w:pPr>
      <w:r>
        <w:rPr>
          <w:rFonts w:ascii="Times New Roman" w:hAnsi="Times New Roman"/>
          <w:sz w:val="28"/>
          <w:szCs w:val="28"/>
        </w:rPr>
        <w:t xml:space="preserve">МУК 4.2.3016-12 «Санитарно-паразитологические исследования плодоовощной, плодово-ягодной и растительной продукции»;</w:t>
      </w:r>
    </w:p>
    <w:p>
      <w:pPr>
        <w:widowControl w:val="0"/>
        <w:spacing w:before="0" w:after="60" w:line="240" w:lineRule="auto"/>
        <w:ind w:firstLine="709"/>
        <w:jc w:val="both"/>
      </w:pPr>
      <w:r>
        <w:rPr>
          <w:rFonts w:ascii="Times New Roman" w:hAnsi="Times New Roman"/>
          <w:sz w:val="28"/>
          <w:szCs w:val="28"/>
        </w:rPr>
        <w:t xml:space="preserve">ГОСТ Р 58973-2020 «Оценка соответствия. Правила к оформлению протоколов испытаний»;</w:t>
      </w:r>
    </w:p>
    <w:p>
      <w:pPr>
        <w:widowControl w:val="0"/>
        <w:spacing w:before="0" w:after="60" w:line="240" w:lineRule="auto"/>
        <w:ind w:firstLine="709"/>
        <w:jc w:val="both"/>
      </w:pPr>
      <w:r>
        <w:rPr>
          <w:rFonts w:ascii="Times New Roman" w:hAnsi="Times New Roman"/>
          <w:sz w:val="28"/>
          <w:szCs w:val="28"/>
        </w:rPr>
        <w:t xml:space="preserve">ГОСТ ISO/IEC 17025-2019 «Общие требования к компетентности испытательных и калибровочных лабораторий»;</w:t>
      </w:r>
    </w:p>
    <w:p>
      <w:pPr>
        <w:widowControl w:val="0"/>
        <w:spacing w:before="0" w:after="60" w:line="240" w:lineRule="auto"/>
        <w:ind w:firstLine="709"/>
        <w:jc w:val="both"/>
      </w:pPr>
      <w:r>
        <w:rPr>
          <w:rFonts w:ascii="Times New Roman" w:hAnsi="Times New Roman"/>
          <w:sz w:val="28"/>
          <w:szCs w:val="28"/>
        </w:rPr>
        <w:t xml:space="preserve">ГОСТ Р ИСО 5725 (части 1–6) «Точность (правильность и прецизионность) методов и результатов измерений»;</w:t>
      </w:r>
    </w:p>
    <w:p>
      <w:pPr>
        <w:widowControl w:val="0"/>
        <w:spacing w:before="0" w:after="60" w:line="240" w:lineRule="auto"/>
        <w:ind w:firstLine="709"/>
        <w:jc w:val="both"/>
      </w:pPr>
      <w:r>
        <w:rPr>
          <w:rFonts w:ascii="Times New Roman" w:hAnsi="Times New Roman"/>
          <w:sz w:val="28"/>
          <w:szCs w:val="28"/>
        </w:rPr>
        <w:t xml:space="preserve">РМГ 61-2010 «ГСИ. Показатели точности, правильности, прецизионности методик количественного химического анализа. Методы оценки»;</w:t>
      </w:r>
    </w:p>
    <w:p>
      <w:pPr>
        <w:widowControl w:val="0"/>
        <w:spacing w:before="0" w:after="60" w:line="240" w:lineRule="auto"/>
        <w:ind w:firstLine="709"/>
        <w:jc w:val="both"/>
      </w:pPr>
      <w:r>
        <w:rPr>
          <w:rFonts w:ascii="Times New Roman" w:hAnsi="Times New Roman"/>
          <w:sz w:val="28"/>
          <w:szCs w:val="28"/>
        </w:rPr>
        <w:t xml:space="preserve">ГОСТ ISO 16140-2-2021 «Микробиология пищевой цепи. Валидация методов. Часть 2…»;</w:t>
      </w:r>
    </w:p>
    <w:p>
      <w:pPr>
        <w:widowControl w:val="0"/>
        <w:spacing w:before="0" w:after="60" w:line="240" w:lineRule="auto"/>
        <w:ind w:firstLine="709"/>
        <w:jc w:val="both"/>
      </w:pPr>
      <w:r>
        <w:rPr>
          <w:rFonts w:ascii="Times New Roman" w:hAnsi="Times New Roman"/>
          <w:sz w:val="28"/>
          <w:szCs w:val="28"/>
        </w:rPr>
        <w:t xml:space="preserve">ГОСТ Р 70152-2022 «Качество воды. Методы внутреннего лабораторного контроля качества проведения микробиологических и паразитологических исследований»;</w:t>
      </w:r>
    </w:p>
    <w:p>
      <w:pPr>
        <w:widowControl w:val="0"/>
        <w:spacing w:before="0" w:after="60" w:line="240" w:lineRule="auto"/>
        <w:ind w:firstLine="709"/>
        <w:jc w:val="both"/>
      </w:pPr>
      <w:r>
        <w:rPr>
          <w:rFonts w:ascii="Times New Roman" w:hAnsi="Times New Roman"/>
          <w:sz w:val="28"/>
          <w:szCs w:val="28"/>
        </w:rPr>
        <w:t xml:space="preserve">ГОСТ Р 70151-2022 «Качество воды. Отбор проб для проведения паразитологических исследований»;</w:t>
      </w:r>
    </w:p>
    <w:p>
      <w:pPr>
        <w:widowControl w:val="0"/>
        <w:spacing w:before="0" w:after="60" w:line="240" w:lineRule="auto"/>
        <w:ind w:firstLine="709"/>
        <w:jc w:val="both"/>
      </w:pPr>
      <w:r>
        <w:rPr>
          <w:rFonts w:ascii="Times New Roman" w:hAnsi="Times New Roman"/>
          <w:sz w:val="28"/>
          <w:szCs w:val="28"/>
        </w:rPr>
        <w:t xml:space="preserve">ГОСТ 35239-2025 «Вода питьевая. Методы санитарно-паразитологического анализа воды»;</w:t>
      </w:r>
    </w:p>
    <w:p>
      <w:pPr>
        <w:widowControl w:val="0"/>
        <w:spacing w:before="0" w:after="60" w:line="240" w:lineRule="auto"/>
        <w:ind w:firstLine="709"/>
        <w:jc w:val="both"/>
      </w:pPr>
      <w:r>
        <w:rPr>
          <w:rFonts w:ascii="Times New Roman" w:hAnsi="Times New Roman"/>
          <w:sz w:val="28"/>
          <w:szCs w:val="28"/>
        </w:rPr>
        <w:t xml:space="preserve">ГОСТ Р 71327-2024 «Качество воды. Методы определения санитарно-микробиологических и санитарно-паразитологических показателей при оценке воды поверхностных водных объектов и сточных вод»;</w:t>
      </w:r>
    </w:p>
    <w:p>
      <w:pPr>
        <w:widowControl w:val="0"/>
        <w:spacing w:before="0" w:after="60" w:line="240" w:lineRule="auto"/>
        <w:ind w:firstLine="709"/>
        <w:jc w:val="both"/>
      </w:pPr>
      <w:r>
        <w:rPr>
          <w:rFonts w:ascii="Times New Roman" w:hAnsi="Times New Roman"/>
          <w:sz w:val="28"/>
          <w:szCs w:val="28"/>
        </w:rPr>
        <w:t xml:space="preserve">ГОСТ Р 57175-2016 «Требования к качеству и безопасности ПЦР-наборов…»;</w:t>
      </w:r>
    </w:p>
    <w:p>
      <w:pPr>
        <w:widowControl w:val="0"/>
        <w:spacing w:before="0" w:after="60" w:line="240" w:lineRule="auto"/>
        <w:ind w:firstLine="709"/>
        <w:jc w:val="both"/>
      </w:pPr>
      <w:r>
        <w:rPr>
          <w:rFonts w:ascii="Times New Roman" w:hAnsi="Times New Roman"/>
          <w:sz w:val="28"/>
          <w:szCs w:val="28"/>
        </w:rPr>
        <w:t xml:space="preserve">ГОСТ Р 56919-2016 «Организация испытаний ПЦР-наборов…»;</w:t>
      </w:r>
    </w:p>
    <w:p>
      <w:pPr>
        <w:widowControl w:val="0"/>
        <w:spacing w:before="0" w:after="60" w:line="240" w:lineRule="auto"/>
        <w:ind w:firstLine="709"/>
        <w:jc w:val="both"/>
      </w:pPr>
      <w:r>
        <w:rPr>
          <w:rFonts w:ascii="Times New Roman" w:hAnsi="Times New Roman"/>
          <w:sz w:val="28"/>
          <w:szCs w:val="28"/>
        </w:rPr>
        <w:t xml:space="preserve">ГОСТ Р 56226-2014 «Ресурсосбережение. Осадки сточных вод. Методы отбора и подготовки проб»;</w:t>
      </w:r>
    </w:p>
    <w:p>
      <w:pPr>
        <w:widowControl w:val="0"/>
        <w:spacing w:before="0" w:after="60" w:line="240" w:lineRule="auto"/>
        <w:ind w:firstLine="709"/>
        <w:jc w:val="both"/>
      </w:pPr>
      <w:r>
        <w:rPr>
          <w:rFonts w:ascii="Times New Roman" w:hAnsi="Times New Roman"/>
          <w:sz w:val="28"/>
          <w:szCs w:val="28"/>
        </w:rPr>
        <w:t xml:space="preserve">ГОСТ 17.4.4.02-2017 «Охрана природы. Почвы. Методы отбора и подготовки проб…»;</w:t>
      </w:r>
    </w:p>
    <w:p>
      <w:pPr>
        <w:widowControl w:val="0"/>
        <w:spacing w:before="0" w:after="60" w:line="240" w:lineRule="auto"/>
        <w:ind w:firstLine="709"/>
        <w:jc w:val="both"/>
      </w:pPr>
      <w:r>
        <w:rPr>
          <w:rFonts w:ascii="Times New Roman" w:hAnsi="Times New Roman"/>
          <w:sz w:val="28"/>
          <w:szCs w:val="28"/>
        </w:rPr>
        <w:t xml:space="preserve">ГОСТ Р ЕН 12469-2010 «Биотехнология. Технические требования к боксам микробиологической безопасности»;</w:t>
      </w:r>
    </w:p>
    <w:p>
      <w:pPr>
        <w:widowControl w:val="0"/>
        <w:spacing w:before="0" w:after="60" w:line="240" w:lineRule="auto"/>
        <w:ind w:firstLine="709"/>
        <w:jc w:val="both"/>
      </w:pPr>
      <w:r>
        <w:rPr>
          <w:rFonts w:ascii="Times New Roman" w:hAnsi="Times New Roman"/>
          <w:sz w:val="28"/>
          <w:szCs w:val="28"/>
        </w:rPr>
        <w:t xml:space="preserve">ГОСТ 30813-2002 «Вода и водоподготовка. Термины и определения».</w:t>
      </w:r>
    </w:p>
    <w:p>
      <w:pPr>
        <w:widowControl w:val="0"/>
        <w:spacing w:before="0" w:after="60" w:line="240" w:lineRule="auto"/>
        <w:ind w:firstLine="709"/>
        <w:jc w:val="both"/>
      </w:pPr>
      <w:r>
        <w:rPr>
          <w:rFonts w:ascii="Times New Roman" w:hAnsi="Times New Roman"/>
          <w:sz w:val="28"/>
          <w:szCs w:val="28"/>
        </w:rPr>
        <w:t xml:space="preserve">ГОСТ Р 54001-2010 «Удобрения органические. Методы гельминтологического анализа».</w:t>
      </w:r>
    </w:p>
    <w:p>
      <w:pPr>
        <w:widowControl w:val="0"/>
        <w:spacing w:before="0" w:after="60" w:line="240" w:lineRule="auto"/>
        <w:ind w:firstLine="709"/>
        <w:jc w:val="both"/>
      </w:pPr>
      <w:r>
        <w:rPr>
          <w:rFonts w:ascii="Times New Roman" w:hAnsi="Times New Roman"/>
          <w:sz w:val="28"/>
          <w:szCs w:val="28"/>
        </w:rPr>
        <w:t xml:space="preserve">ГОСТ Р 57782-2017 «Удобрения органические. Методы паразитологического анализа. Методы определения ооцист и цист простейших».</w:t>
      </w:r>
    </w:p>
    <w:p>
      <w:pPr>
        <w:widowControl w:val="0"/>
        <w:spacing w:before="0" w:after="60" w:line="240" w:lineRule="auto"/>
        <w:ind w:firstLine="709"/>
        <w:jc w:val="both"/>
      </w:pPr>
      <w:r>
        <w:rPr>
          <w:rFonts w:ascii="Times New Roman" w:hAnsi="Times New Roman"/>
          <w:sz w:val="28"/>
          <w:szCs w:val="28"/>
        </w:rPr>
        <w:t xml:space="preserve">ГОСТ Р 58487-2019 «Удобрения органические. Методы отбора проб».</w:t>
      </w:r>
    </w:p>
    <w:p>
      <w:pPr>
        <w:widowControl w:val="0"/>
        <w:spacing w:before="0" w:after="60" w:line="240" w:lineRule="auto"/>
        <w:ind w:firstLine="709"/>
        <w:jc w:val="both"/>
      </w:pPr>
      <w:r>
        <w:rPr>
          <w:rFonts w:ascii="Times New Roman" w:hAnsi="Times New Roman"/>
          <w:sz w:val="28"/>
          <w:szCs w:val="28"/>
        </w:rPr>
        <w:t xml:space="preserve">ГОСТ Р 58138 «Удобрения органические. Методы определения личинок синантропных мух».</w:t>
      </w:r>
    </w:p>
    <w:p>
      <w:pPr>
        <w:widowControl w:val="0"/>
        <w:spacing w:before="0" w:after="60" w:line="240" w:lineRule="auto"/>
        <w:ind w:firstLine="709"/>
        <w:jc w:val="both"/>
      </w:pPr>
      <w:r>
        <w:rPr>
          <w:rFonts w:ascii="Times New Roman" w:hAnsi="Times New Roman"/>
          <w:sz w:val="28"/>
          <w:szCs w:val="28"/>
        </w:rPr>
        <w:t xml:space="preserve">ГОСТ 26074 «Навоз жидкий. Ветеринарно-санитарные требования к обработке, хранению, транспортированию и использованию».</w:t>
      </w:r>
    </w:p>
    <w:p>
      <w:pPr>
        <w:widowControl w:val="0"/>
        <w:spacing w:before="0" w:after="60" w:line="240" w:lineRule="auto"/>
        <w:ind w:firstLine="709"/>
        <w:jc w:val="both"/>
      </w:pPr>
      <w:r>
        <w:rPr>
          <w:rFonts w:ascii="Times New Roman" w:hAnsi="Times New Roman"/>
          <w:sz w:val="28"/>
          <w:szCs w:val="28"/>
        </w:rPr>
        <w:t xml:space="preserve">ГОСТ 26713 «Удобрения органические. Метод определения влаги и сухого остатка».</w:t>
      </w:r>
    </w:p>
    <w:p>
      <w:pPr>
        <w:pStyle w:val="ConsPlusTitle"/>
        <w:contextualSpacing/>
        <w:jc w:val="center"/>
      </w:pPr>
      <w:r>
        <w:rPr>
          <w:rFonts w:ascii="Times New Roman" w:hAnsi="Times New Roman"/>
          <w:sz w:val="28"/>
          <w:szCs w:val="28"/>
        </w:rPr>
        <w:t xml:space="preserve">МУК 4.2.796-99 — методы лабораторного контроля за объектами окружающей среды (почва, сточные воды, их осадки, навоз и навозные стоки, предметы обихода и др.); пункты 6.6–6.9 и 7.1–7.8 продолжают применяться в части методов для навоза, навозных стоков и ряда других объектов (см. п. 3 вводной части и раздел 3).</w:t>
      </w:r>
    </w:p>
    <w:p>
      <w:pPr>
        <w:widowControl w:val="0"/>
        <w:keepNext/>
        <w:keepLines/>
        <w:spacing w:before="360" w:after="120"/>
        <w:jc w:val="center"/>
        <w:outlineLvl w:val="0"/>
      </w:pPr>
      <w:r>
        <w:rPr>
          <w:rFonts w:ascii="Times New Roman" w:hAnsi="Times New Roman"/>
          <w:sz w:val="28"/>
          <w:szCs w:val="28"/>
        </w:rPr>
        <w:t xml:space="preserve">VII. ТЕРМИНЫ, ОПРЕДЕЛЕНИЯ И СОКРАЩЕНИЯ</w:t>
      </w:r>
    </w:p>
    <w:p>
      <w:pPr>
        <w:widowControl w:val="0"/>
        <w:spacing w:before="0" w:after="60" w:line="240" w:lineRule="auto"/>
        <w:ind w:firstLine="709"/>
        <w:jc w:val="both"/>
      </w:pPr>
      <w:r>
        <w:rPr>
          <w:rFonts w:ascii="Times New Roman" w:hAnsi="Times New Roman"/>
          <w:sz w:val="28"/>
          <w:szCs w:val="28"/>
        </w:rPr>
        <w:t xml:space="preserve">7.1. В настоящих методических указаниях применены следующие термины с соответствующими определениями:</w:t>
      </w:r>
    </w:p>
    <w:p>
      <w:pPr>
        <w:widowControl w:val="0"/>
        <w:spacing w:before="0" w:after="60" w:line="240" w:lineRule="auto"/>
        <w:ind w:firstLine="709"/>
        <w:jc w:val="both"/>
      </w:pPr>
      <w:r>
        <w:rPr>
          <w:rFonts w:ascii="Times New Roman" w:hAnsi="Times New Roman"/>
          <w:sz w:val="28"/>
          <w:szCs w:val="28"/>
        </w:rPr>
        <w:t xml:space="preserve">7.1.1 патогенные биологические агенты; ПБА: патогенные для человека микроорганизмы, гельминты, а также материал, подозрительный на содержание перечисленных агентов, включая биологические жидкости и объекты окружающей среды (по ГОСТ Р 70152-2022, пункт 3.8).</w:t>
      </w:r>
    </w:p>
    <w:p>
      <w:pPr>
        <w:widowControl w:val="0"/>
        <w:spacing w:before="0" w:after="60" w:line="240" w:lineRule="auto"/>
        <w:ind w:firstLine="709"/>
        <w:jc w:val="both"/>
      </w:pPr>
      <w:r>
        <w:rPr>
          <w:rFonts w:ascii="Times New Roman" w:hAnsi="Times New Roman"/>
          <w:sz w:val="28"/>
          <w:szCs w:val="28"/>
        </w:rPr>
        <w:t xml:space="preserve">7.1.2 точечная проба: проба, отбираемая за один приём из одного места (слоя) объекта.</w:t>
      </w:r>
    </w:p>
    <w:p>
      <w:pPr>
        <w:widowControl w:val="0"/>
        <w:spacing w:before="0" w:after="60" w:line="240" w:lineRule="auto"/>
        <w:ind w:firstLine="709"/>
        <w:jc w:val="both"/>
      </w:pPr>
      <w:r>
        <w:rPr>
          <w:rFonts w:ascii="Times New Roman" w:hAnsi="Times New Roman"/>
          <w:sz w:val="28"/>
          <w:szCs w:val="28"/>
        </w:rPr>
        <w:t xml:space="preserve">7.1.3 объединённая проба: проба, составленная из нескольких точечных проб, перемешанных и объединённых в одну (для почвы — 10 точечных проб массой по 20 г, по ГОСТ 17.4.4.02).</w:t>
      </w:r>
    </w:p>
    <w:p>
      <w:pPr>
        <w:widowControl w:val="0"/>
        <w:spacing w:before="0" w:after="60" w:line="240" w:lineRule="auto"/>
        <w:ind w:firstLine="709"/>
        <w:jc w:val="both"/>
      </w:pPr>
      <w:r>
        <w:rPr>
          <w:rFonts w:ascii="Times New Roman" w:hAnsi="Times New Roman"/>
          <w:sz w:val="28"/>
          <w:szCs w:val="28"/>
        </w:rPr>
        <w:t xml:space="preserve">7.1.4 навеска: часть объединённой пробы (масса или объём), предназначенная для одного определения.</w:t>
      </w:r>
    </w:p>
    <w:p>
      <w:pPr>
        <w:widowControl w:val="0"/>
        <w:spacing w:before="0" w:after="60" w:line="240" w:lineRule="auto"/>
        <w:ind w:firstLine="709"/>
        <w:jc w:val="both"/>
      </w:pPr>
      <w:r>
        <w:rPr>
          <w:rFonts w:ascii="Times New Roman" w:hAnsi="Times New Roman"/>
          <w:sz w:val="28"/>
          <w:szCs w:val="28"/>
        </w:rPr>
        <w:t xml:space="preserve">7.1.5 интенсивный показатель загрязнённости (ИПЗ): число яиц/личинок гельминтов или цист (ооцист) патогенных простейших в единице массы (объёма) пробы: ИПЗц — цисты, экз./100 г; ИПЗя — яйца, экз./кг; ИПЗл — личинки, экз./кг.</w:t>
      </w:r>
    </w:p>
    <w:p>
      <w:pPr>
        <w:widowControl w:val="0"/>
        <w:spacing w:before="0" w:after="60" w:line="240" w:lineRule="auto"/>
        <w:ind w:firstLine="709"/>
        <w:jc w:val="both"/>
      </w:pPr>
      <w:r>
        <w:rPr>
          <w:rFonts w:ascii="Times New Roman" w:hAnsi="Times New Roman"/>
          <w:sz w:val="28"/>
          <w:szCs w:val="28"/>
        </w:rPr>
        <w:t xml:space="preserve">7.1.6 жизнеспособность: способность яиц, личинок, цист к развитию, движению или выходу личинки (мирацидия); критерии — раздел V.</w:t>
      </w:r>
    </w:p>
    <w:p>
      <w:pPr>
        <w:widowControl w:val="0"/>
        <w:spacing w:before="0" w:after="60" w:line="240" w:lineRule="auto"/>
        <w:ind w:firstLine="709"/>
        <w:jc w:val="both"/>
      </w:pPr>
      <w:r>
        <w:rPr>
          <w:rFonts w:ascii="Times New Roman" w:hAnsi="Times New Roman"/>
          <w:sz w:val="28"/>
          <w:szCs w:val="28"/>
        </w:rPr>
        <w:t xml:space="preserve">7.1.7 флотация: концентрирование яиц/цист во всплывшей поверхностной плёнке раствора с плотностью, превышающей плотность объектов.</w:t>
      </w:r>
    </w:p>
    <w:p>
      <w:pPr>
        <w:widowControl w:val="0"/>
        <w:spacing w:before="0" w:after="60" w:line="240" w:lineRule="auto"/>
        <w:ind w:firstLine="709"/>
        <w:jc w:val="both"/>
      </w:pPr>
      <w:r>
        <w:rPr>
          <w:rFonts w:ascii="Times New Roman" w:hAnsi="Times New Roman"/>
          <w:sz w:val="28"/>
          <w:szCs w:val="28"/>
        </w:rPr>
        <w:t xml:space="preserve">7.1.8 концентрат (концентрированная проба): осадок, полученный после фильтрования, коагуляции, центрифугирования или седиментации пробы.</w:t>
      </w:r>
    </w:p>
    <w:p>
      <w:pPr>
        <w:widowControl w:val="0"/>
        <w:spacing w:before="0" w:after="60" w:line="240" w:lineRule="auto"/>
        <w:ind w:firstLine="709"/>
        <w:jc w:val="both"/>
      </w:pPr>
      <w:r>
        <w:rPr>
          <w:rFonts w:ascii="Times New Roman" w:hAnsi="Times New Roman"/>
          <w:sz w:val="28"/>
          <w:szCs w:val="28"/>
        </w:rPr>
        <w:t xml:space="preserve">7.1.9 предел обнаружения (LOD): наименьшее число объектов в единице массы/объёма, которое может быть обнаружено данным методом с заданной вероятностью (теоретический — от массы/объёма просмотренного препарата; практический — с учётом извлечения).</w:t>
      </w:r>
    </w:p>
    <w:p>
      <w:pPr>
        <w:widowControl w:val="0"/>
        <w:spacing w:before="0" w:after="60" w:line="240" w:lineRule="auto"/>
        <w:ind w:firstLine="709"/>
        <w:jc w:val="both"/>
      </w:pPr>
      <w:r>
        <w:rPr>
          <w:rFonts w:ascii="Times New Roman" w:hAnsi="Times New Roman"/>
          <w:sz w:val="28"/>
          <w:szCs w:val="28"/>
        </w:rPr>
        <w:t xml:space="preserve">7.1.10 повторяемость (сходимость): прецизионность в одинаковых условиях (один исполнитель, оборудование, партия реактивов, короткий интервал) — по ГОСТ Р ИСО 5725-1.</w:t>
      </w:r>
    </w:p>
    <w:p>
      <w:pPr>
        <w:widowControl w:val="0"/>
        <w:spacing w:before="0" w:after="60" w:line="240" w:lineRule="auto"/>
        <w:ind w:firstLine="709"/>
        <w:jc w:val="both"/>
      </w:pPr>
      <w:r>
        <w:rPr>
          <w:rFonts w:ascii="Times New Roman" w:hAnsi="Times New Roman"/>
          <w:sz w:val="28"/>
          <w:szCs w:val="28"/>
        </w:rPr>
        <w:t xml:space="preserve">7.1.11 воспроизводимость: прецизионность в разных лабораториях — по ГОСТ Р ИСО 5725-2.</w:t>
      </w:r>
    </w:p>
    <w:p>
      <w:pPr>
        <w:widowControl w:val="0"/>
        <w:spacing w:before="0" w:after="60" w:line="240" w:lineRule="auto"/>
        <w:ind w:firstLine="709"/>
        <w:jc w:val="both"/>
      </w:pPr>
      <w:r>
        <w:rPr>
          <w:rFonts w:ascii="Times New Roman" w:hAnsi="Times New Roman"/>
          <w:sz w:val="28"/>
          <w:szCs w:val="28"/>
        </w:rPr>
        <w:t xml:space="preserve">7.2. Сокращения: АТМ — аналитическая трековая мембрана; ИМС — иммуномагнитная сепарация; ИФМ — иммунофлуоресцентное мечение; ПЦР — полимеразная цепная реакция; МФАС — мембранный фильтр ацетатцеллюлозный санитарный; ВЛК — внутрилабораторный контроль; ББ — бокс биологической безопасности; ПБА — патогенные биологические агенты.</w:t>
      </w:r>
    </w:p>
    <w:p>
      <w:pPr>
        <w:widowControl w:val="0"/>
        <w:keepNext/>
        <w:keepLines/>
        <w:spacing w:before="360" w:after="120"/>
        <w:jc w:val="center"/>
        <w:outlineLvl w:val="0"/>
      </w:pPr>
      <w:r>
        <w:rPr>
          <w:rFonts w:ascii="Times New Roman" w:hAnsi="Times New Roman"/>
          <w:sz w:val="28"/>
          <w:szCs w:val="28"/>
        </w:rPr>
        <w:t xml:space="preserve">VIII. ПОКАЗАТЕЛИ ТОЧНОСТИ МЕТОДОВ И АТТЕСТАЦИЯ МЕТОДИК</w:t>
      </w:r>
    </w:p>
    <w:p>
      <w:pPr>
        <w:widowControl w:val="0"/>
        <w:spacing w:before="0" w:after="60" w:line="240" w:lineRule="auto"/>
        <w:ind w:firstLine="709"/>
        <w:jc w:val="both"/>
      </w:pPr>
      <w:r>
        <w:rPr>
          <w:rFonts w:ascii="Times New Roman" w:hAnsi="Times New Roman"/>
          <w:sz w:val="28"/>
          <w:szCs w:val="28"/>
        </w:rPr>
        <w:t xml:space="preserve">8.1. Методы, применяемые в настоящих МУК, являются методиками (методами) измерений. При применении методик при федеральном государственном санитарно-эпидемиологическом контроле (надзоре) и производственном контроле они подлежат аттестации (валидации) в лаборатории в соответствии с Федеральным законом от 26.06.2008 № 102-ФЗ и ГОСТ ISO/IEC 17025-2019 (пункт 7.2).</w:t>
      </w:r>
    </w:p>
    <w:p>
      <w:pPr>
        <w:widowControl w:val="0"/>
        <w:spacing w:before="0" w:after="60" w:line="240" w:lineRule="auto"/>
        <w:ind w:firstLine="709"/>
        <w:jc w:val="both"/>
      </w:pPr>
      <w:r>
        <w:rPr>
          <w:rFonts w:ascii="Times New Roman" w:hAnsi="Times New Roman"/>
          <w:sz w:val="28"/>
          <w:szCs w:val="28"/>
        </w:rPr>
        <w:t xml:space="preserve">8.2. Для количественных определений (ИПЗц, ИПЗя, ИПЗл — пункт 4.3) устанавливают показатели: предел повторяемости; среднеквадратичное отклонение повторяемости и внутрилабораторной прецизионности; воспроизводимость; правильность (коэффициент извлечения объектов из матрицы); расширенную неопределённость результатов. Оценку проводят по ГОСТ Р ИСО 5725 (части 1–6) и РМГ 61-2010 на модельных образцах (стерильная матрица + суспензия яиц/цист с точно подсчитанным числом) не менее чем на трёх уровнях содержания (1–2, 3–5 и 10 пределов обнаружения), не менее 10 повторностей на уровень, с участием не менее двух операторов.</w:t>
      </w:r>
    </w:p>
    <w:p>
      <w:pPr>
        <w:widowControl w:val="0"/>
        <w:spacing w:before="0" w:after="60" w:line="240" w:lineRule="auto"/>
        <w:ind w:firstLine="709"/>
        <w:jc w:val="both"/>
      </w:pPr>
      <w:r>
        <w:rPr>
          <w:rFonts w:ascii="Times New Roman" w:hAnsi="Times New Roman"/>
          <w:sz w:val="28"/>
          <w:szCs w:val="28"/>
        </w:rPr>
        <w:t xml:space="preserve">8.3. Для качественных методов (обнаружение/не обнаружение) устанавливают: предел обнаружения (таблица 8.1), относительную чувствительность и специфичность, долю ложноположительных и ложноотрицательных результатов, согласованность с референтным методом — по ГОСТ ISO 16140-2.</w:t>
      </w:r>
    </w:p>
    <w:p>
      <w:pPr>
        <w:widowControl w:val="0"/>
        <w:spacing w:before="0" w:after="60" w:line="240" w:lineRule="auto"/>
        <w:ind w:firstLine="709"/>
        <w:jc w:val="both"/>
      </w:pPr>
      <w:r>
        <w:rPr>
          <w:rFonts w:ascii="Times New Roman" w:hAnsi="Times New Roman"/>
          <w:sz w:val="28"/>
          <w:szCs w:val="28"/>
        </w:rPr>
        <w:t xml:space="preserve">8.4. Теоретические пределы обнаружения рассчитывают от массы (объёма) фактически просмотренного препарата (таблица 8.1). Практические пределы обнаружения с учётом извлечения объектов из матрицы, а также численные значения повторяемости, воспроизводимости, правильности и неопределённости устанавливаются при аттестации (валидации) методик в лаборатории и документируются. При поступлении протоколов валидации разработчиков настоящий раздел дополняется установленными значениями.</w:t>
      </w:r>
    </w:p>
    <w:p>
      <w:pPr>
        <w:widowControl w:val="0"/>
        <w:spacing w:before="0" w:after="60" w:line="240" w:lineRule="auto"/>
        <w:ind w:firstLine="709"/>
        <w:jc w:val="both"/>
      </w:pPr>
      <w:r>
        <w:rPr>
          <w:rFonts w:ascii="Times New Roman" w:hAnsi="Times New Roman"/>
          <w:sz w:val="28"/>
          <w:szCs w:val="28"/>
        </w:rPr>
        <w:t xml:space="preserve">8.5. При результате «объекты не обнаружены» в протоколе указывают предел обнаружения применённого метода по таблице 8.1; формулировка результата — «Не обнаружено (на уровне предела обнаружения __ экз./кг (экз./дм³))». Без указания предела обнаружения результат «Не обнаружено» недействителен для целей оценки соответствия нормативам.</w:t>
      </w:r>
    </w:p>
    <w:p>
      <w:pPr>
        <w:widowControl w:val="0"/>
        <w:spacing w:before="0" w:after="60" w:line="240" w:lineRule="auto"/>
        <w:ind w:firstLine="709"/>
        <w:jc w:val="both"/>
      </w:pPr>
      <w:r>
        <w:rPr>
          <w:rFonts w:ascii="Times New Roman" w:hAnsi="Times New Roman"/>
          <w:sz w:val="28"/>
          <w:szCs w:val="28"/>
        </w:rPr>
        <w:t xml:space="preserve">8.6. Контроль стабильности показателей точности во времени — внутрилабораторный контроль по разделу IX и ГОСТ Р 70152-2022.</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1504"/>
        <w:gridCol w:w="1504"/>
        <w:gridCol w:w="1504"/>
        <w:gridCol w:w="1504"/>
        <w:gridCol w:w="1504"/>
        <w:gridCol w:w="1504"/>
      </w:tblGrid>
      <w:tr>
        <w:tc>
          <w:tcPr>
            <w:tcW w:w="0" w:type="auto"/>
          </w:tcPr>
          <w:p>
            <w:pPr>
              <w:pStyle w:val="TablCenter"/>
              <w:rPr>
                <w:b/>
              </w:rPr>
            </w:pPr>
            <w:r>
              <w:rPr>
                <w:rFonts w:ascii="Times New Roman" w:hAnsi="Times New Roman"/>
                <w:b/>
                <w:sz w:val="28"/>
                <w:szCs w:val="28"/>
              </w:rPr>
              <w:t xml:space="preserve">Метод (пункт МУК)</w:t>
            </w:r>
          </w:p>
        </w:tc>
        <w:tc>
          <w:tcPr>
            <w:tcW w:w="0" w:type="auto"/>
          </w:tcPr>
          <w:p>
            <w:pPr>
              <w:pStyle w:val="TablCenter"/>
              <w:rPr>
                <w:b/>
              </w:rPr>
            </w:pPr>
            <w:r>
              <w:rPr>
                <w:rFonts w:ascii="Times New Roman" w:hAnsi="Times New Roman"/>
                <w:b/>
                <w:sz w:val="28"/>
                <w:szCs w:val="28"/>
              </w:rPr>
              <w:t xml:space="preserve">Матрица</w:t>
            </w:r>
          </w:p>
        </w:tc>
        <w:tc>
          <w:tcPr>
            <w:tcW w:w="0" w:type="auto"/>
          </w:tcPr>
          <w:p>
            <w:pPr>
              <w:pStyle w:val="TablCenter"/>
              <w:rPr>
                <w:b/>
              </w:rPr>
            </w:pPr>
            <w:r>
              <w:rPr>
                <w:rFonts w:ascii="Times New Roman" w:hAnsi="Times New Roman"/>
                <w:b/>
                <w:sz w:val="28"/>
                <w:szCs w:val="28"/>
              </w:rPr>
              <w:t xml:space="preserve">Просмотренный материал (</w:t>
            </w:r>
            <w:r>
              <w:rPr>
                <w:rFonts w:ascii="Times New Roman" w:hAnsi="Times New Roman"/>
                <w:b/>
                <w:sz w:val="28"/>
                <w:szCs w:val="28"/>
              </w:rPr>
              <w:t xml:space="preserve">m</w:t>
            </w:r>
            <w:r>
              <w:rPr>
                <w:rFonts w:ascii="Times New Roman" w:hAnsi="Times New Roman"/>
                <w:sz w:val="28"/>
                <w:vertAlign w:val="subscript"/>
              </w:rPr>
              <w:t xml:space="preserve">просм</w:t>
            </w:r>
            <w:r>
              <w:rPr>
                <w:rFonts w:ascii="Times New Roman" w:hAnsi="Times New Roman"/>
                <w:b/>
                <w:sz w:val="28"/>
                <w:szCs w:val="28"/>
              </w:rPr>
              <w:t xml:space="preserve"> / </w:t>
            </w:r>
            <w:r>
              <w:rPr>
                <w:rFonts w:ascii="Times New Roman" w:hAnsi="Times New Roman"/>
                <w:b/>
                <w:sz w:val="28"/>
                <w:szCs w:val="28"/>
              </w:rPr>
              <w:t xml:space="preserve">V</w:t>
            </w:r>
            <w:r>
              <w:rPr>
                <w:rFonts w:ascii="Times New Roman" w:hAnsi="Times New Roman"/>
                <w:sz w:val="28"/>
                <w:vertAlign w:val="subscript"/>
              </w:rPr>
              <w:t xml:space="preserve">просм</w:t>
            </w:r>
            <w:r>
              <w:rPr>
                <w:rFonts w:ascii="Times New Roman" w:hAnsi="Times New Roman"/>
                <w:b/>
                <w:sz w:val="28"/>
                <w:szCs w:val="28"/>
              </w:rPr>
              <w:t xml:space="preserve">)</w:t>
            </w:r>
          </w:p>
        </w:tc>
        <w:tc>
          <w:tcPr>
            <w:tcW w:w="0" w:type="auto"/>
          </w:tcPr>
          <w:p>
            <w:pPr>
              <w:pStyle w:val="TablCenter"/>
              <w:rPr>
                <w:b/>
              </w:rPr>
            </w:pPr>
            <w:r>
              <w:rPr>
                <w:rFonts w:ascii="Times New Roman" w:hAnsi="Times New Roman"/>
                <w:b/>
                <w:sz w:val="28"/>
                <w:szCs w:val="28"/>
              </w:rPr>
              <w:t xml:space="preserve">Теорет. LOD (1 объект)</w:t>
            </w:r>
          </w:p>
        </w:tc>
        <w:tc>
          <w:tcPr>
            <w:tcW w:w="0" w:type="auto"/>
          </w:tcPr>
          <w:p>
            <w:pPr>
              <w:pStyle w:val="TablCenter"/>
              <w:rPr>
                <w:b/>
              </w:rPr>
            </w:pPr>
            <w:r>
              <w:rPr>
                <w:rFonts w:ascii="Times New Roman" w:hAnsi="Times New Roman"/>
                <w:b/>
                <w:sz w:val="28"/>
                <w:szCs w:val="28"/>
              </w:rPr>
              <w:t xml:space="preserve">LOD 95 % (≈3 объекта)</w:t>
            </w:r>
          </w:p>
        </w:tc>
        <w:tc>
          <w:tcPr>
            <w:tcW w:w="0" w:type="auto"/>
          </w:tcPr>
          <w:p>
            <w:pPr>
              <w:pStyle w:val="TablCenter"/>
              <w:rPr>
                <w:b/>
              </w:rPr>
            </w:pPr>
            <w:r>
              <w:rPr>
                <w:rFonts w:ascii="Times New Roman" w:hAnsi="Times New Roman"/>
                <w:b/>
                <w:sz w:val="28"/>
                <w:szCs w:val="28"/>
              </w:rPr>
              <w:t xml:space="preserve">Примечание</w:t>
            </w:r>
          </w:p>
        </w:tc>
      </w:tr>
      <w:tr>
        <w:tc>
          <w:tcPr>
            <w:tcW w:w="0" w:type="auto"/>
          </w:tcPr>
          <w:p>
            <w:pPr>
              <w:pStyle w:val="TablCenter"/>
            </w:pPr>
            <w:r>
              <w:rPr>
                <w:rFonts w:ascii="Times New Roman" w:hAnsi="Times New Roman"/>
                <w:sz w:val="28"/>
                <w:szCs w:val="28"/>
              </w:rPr>
              <w:t xml:space="preserve">Романенко, флотация под стекло (4.1.1)</w:t>
            </w:r>
          </w:p>
        </w:tc>
        <w:tc>
          <w:tcPr>
            <w:tcW w:w="0" w:type="auto"/>
          </w:tcPr>
          <w:p>
            <w:pPr>
              <w:pStyle w:val="TablCenter"/>
            </w:pPr>
            <w:r>
              <w:rPr>
                <w:rFonts w:ascii="Times New Roman" w:hAnsi="Times New Roman"/>
                <w:sz w:val="28"/>
                <w:szCs w:val="28"/>
              </w:rPr>
              <w:t xml:space="preserve">почва/песок</w:t>
            </w:r>
          </w:p>
        </w:tc>
        <w:tc>
          <w:tcPr>
            <w:tcW w:w="0" w:type="auto"/>
          </w:tcPr>
          <w:p>
            <w:pPr>
              <w:pStyle w:val="TablCenter"/>
            </w:pPr>
            <w:r>
              <w:rPr>
                <w:rFonts w:ascii="Times New Roman" w:hAnsi="Times New Roman"/>
                <w:sz w:val="28"/>
                <w:szCs w:val="28"/>
              </w:rPr>
              <w:t xml:space="preserve">4×25 г = 100 г; просматриваются поверхностные плёнки с 2–3 стёкол на каждую пробирку</w:t>
            </w:r>
          </w:p>
        </w:tc>
        <w:tc>
          <w:tcPr>
            <w:tcW w:w="0" w:type="auto"/>
          </w:tcPr>
          <w:p>
            <w:pPr>
              <w:pStyle w:val="TablCenter"/>
            </w:pPr>
            <w:r>
              <w:rPr>
                <w:rFonts w:ascii="Times New Roman" w:hAnsi="Times New Roman"/>
                <w:sz w:val="28"/>
                <w:szCs w:val="28"/>
              </w:rPr>
              <w:t xml:space="preserve">10 экз./кг</w:t>
            </w:r>
          </w:p>
        </w:tc>
        <w:tc>
          <w:tcPr>
            <w:tcW w:w="0" w:type="auto"/>
          </w:tcPr>
          <w:p>
            <w:pPr>
              <w:pStyle w:val="TablCenter"/>
            </w:pPr>
            <w:r>
              <w:rPr>
                <w:rFonts w:ascii="Times New Roman" w:hAnsi="Times New Roman"/>
                <w:sz w:val="28"/>
                <w:szCs w:val="28"/>
              </w:rPr>
              <w:t xml:space="preserve">30 экз./кг</w:t>
            </w:r>
          </w:p>
        </w:tc>
        <w:tc>
          <w:tcPr>
            <w:tcW w:w="0" w:type="auto"/>
          </w:tcPr>
          <w:p>
            <w:pPr>
              <w:pStyle w:val="TablCenter"/>
            </w:pPr>
            <w:r>
              <w:rPr>
                <w:rFonts w:ascii="Times New Roman" w:hAnsi="Times New Roman"/>
                <w:sz w:val="28"/>
                <w:szCs w:val="28"/>
              </w:rPr>
              <w:t xml:space="preserve">извлечение флотации &lt; 100 % — фактический LOD выше, устанавливается аттестацией; для «тяжёлых» яиц (описторхисы, клонорхисы) — раствор ZnCl₂ ρ 1,78</w:t>
            </w:r>
          </w:p>
        </w:tc>
      </w:tr>
      <w:tr>
        <w:tc>
          <w:tcPr>
            <w:tcW w:w="0" w:type="auto"/>
          </w:tcPr>
          <w:p>
            <w:pPr>
              <w:pStyle w:val="TablCenter"/>
            </w:pPr>
            <w:r>
              <w:rPr>
                <w:rFonts w:ascii="Times New Roman" w:hAnsi="Times New Roman"/>
                <w:sz w:val="28"/>
                <w:szCs w:val="28"/>
              </w:rPr>
              <w:t xml:space="preserve">Модиф. Романенко на АТМ (4.1.2)</w:t>
            </w:r>
          </w:p>
        </w:tc>
        <w:tc>
          <w:tcPr>
            <w:tcW w:w="0" w:type="auto"/>
          </w:tcPr>
          <w:p>
            <w:pPr>
              <w:pStyle w:val="TablCenter"/>
            </w:pPr>
            <w:r>
              <w:rPr>
                <w:rFonts w:ascii="Times New Roman" w:hAnsi="Times New Roman"/>
                <w:sz w:val="28"/>
                <w:szCs w:val="28"/>
              </w:rPr>
              <w:t xml:space="preserve">почва/песок</w:t>
            </w:r>
          </w:p>
        </w:tc>
        <w:tc>
          <w:tcPr>
            <w:tcW w:w="0" w:type="auto"/>
          </w:tcPr>
          <w:p>
            <w:pPr>
              <w:pStyle w:val="TablCenter"/>
            </w:pPr>
            <w:r>
              <w:rPr>
                <w:rFonts w:ascii="Times New Roman" w:hAnsi="Times New Roman"/>
                <w:sz w:val="28"/>
                <w:szCs w:val="28"/>
              </w:rPr>
              <w:t xml:space="preserve">100 г; вся мембрана (2,5–3,0 мкм) просматривается полностью</w:t>
            </w:r>
          </w:p>
        </w:tc>
        <w:tc>
          <w:tcPr>
            <w:tcW w:w="0" w:type="auto"/>
          </w:tcPr>
          <w:p>
            <w:pPr>
              <w:pStyle w:val="TablCenter"/>
            </w:pPr>
            <w:r>
              <w:rPr>
                <w:rFonts w:ascii="Times New Roman" w:hAnsi="Times New Roman"/>
                <w:sz w:val="28"/>
                <w:szCs w:val="28"/>
              </w:rPr>
              <w:t xml:space="preserve">10 экз./кг</w:t>
            </w:r>
          </w:p>
        </w:tc>
        <w:tc>
          <w:tcPr>
            <w:tcW w:w="0" w:type="auto"/>
          </w:tcPr>
          <w:p>
            <w:pPr>
              <w:pStyle w:val="TablCenter"/>
            </w:pPr>
            <w:r>
              <w:rPr>
                <w:rFonts w:ascii="Times New Roman" w:hAnsi="Times New Roman"/>
                <w:sz w:val="28"/>
                <w:szCs w:val="28"/>
              </w:rPr>
              <w:t xml:space="preserve">30 экз./кг</w:t>
            </w:r>
          </w:p>
        </w:tc>
        <w:tc>
          <w:tcPr>
            <w:tcW w:w="0" w:type="auto"/>
          </w:tcPr>
          <w:p>
            <w:pPr>
              <w:pStyle w:val="TablCenter"/>
            </w:pPr>
            <w:r>
              <w:rPr>
                <w:rFonts w:ascii="Times New Roman" w:hAnsi="Times New Roman"/>
                <w:sz w:val="28"/>
                <w:szCs w:val="28"/>
              </w:rPr>
              <w:t xml:space="preserve">весь флотант фильтруется — потери на перестёклах исключены</w:t>
            </w:r>
          </w:p>
        </w:tc>
      </w:tr>
      <w:tr>
        <w:tc>
          <w:tcPr>
            <w:tcW w:w="0" w:type="auto"/>
          </w:tcPr>
          <w:p>
            <w:pPr>
              <w:pStyle w:val="TablCenter"/>
            </w:pPr>
            <w:r>
              <w:rPr>
                <w:rFonts w:ascii="Times New Roman" w:hAnsi="Times New Roman"/>
                <w:sz w:val="28"/>
                <w:szCs w:val="28"/>
              </w:rPr>
              <w:t xml:space="preserve">Падченко (4.1.4)</w:t>
            </w:r>
          </w:p>
        </w:tc>
        <w:tc>
          <w:tcPr>
            <w:tcW w:w="0" w:type="auto"/>
          </w:tcPr>
          <w:p>
            <w:pPr>
              <w:pStyle w:val="TablCenter"/>
            </w:pPr>
            <w:r>
              <w:rPr>
                <w:rFonts w:ascii="Times New Roman" w:hAnsi="Times New Roman"/>
                <w:sz w:val="28"/>
                <w:szCs w:val="28"/>
              </w:rPr>
              <w:t xml:space="preserve">почва</w:t>
            </w:r>
          </w:p>
        </w:tc>
        <w:tc>
          <w:tcPr>
            <w:tcW w:w="0" w:type="auto"/>
          </w:tcPr>
          <w:p>
            <w:pPr>
              <w:pStyle w:val="TablCenter"/>
            </w:pPr>
            <w:r>
              <w:rPr>
                <w:rFonts w:ascii="Times New Roman" w:hAnsi="Times New Roman"/>
                <w:sz w:val="28"/>
                <w:szCs w:val="28"/>
              </w:rPr>
              <w:t xml:space="preserve">навеска 25 г; «микроскопируют не менее 1 см³ осадка» из общего V</w:t>
            </w:r>
          </w:p>
        </w:tc>
        <w:tc>
          <w:tcPr>
            <w:tcW w:w="0" w:type="auto"/>
          </w:tcPr>
          <w:p>
            <w:pPr>
              <w:pStyle w:val="TablCenter"/>
            </w:pPr>
            <w:r>
              <w:rPr>
                <w:rFonts w:ascii="Times New Roman" w:hAnsi="Times New Roman"/>
                <w:sz w:val="28"/>
                <w:szCs w:val="28"/>
              </w:rPr>
              <w:t xml:space="preserve">при просмотре всего осадка — 40 экз./кг; при 1 см³ из V — 10×V экз./кг</w:t>
            </w:r>
          </w:p>
        </w:tc>
        <w:tc>
          <w:tcPr>
            <w:tcW w:w="0" w:type="auto"/>
          </w:tcPr>
          <w:p>
            <w:pPr>
              <w:pStyle w:val="TablCenter"/>
            </w:pPr>
            <w:r>
              <w:rPr>
                <w:rFonts w:ascii="Times New Roman" w:hAnsi="Times New Roman"/>
                <w:sz w:val="28"/>
                <w:szCs w:val="28"/>
              </w:rPr>
              <w:t xml:space="preserve">×3</w:t>
            </w:r>
          </w:p>
        </w:tc>
        <w:tc>
          <w:tcPr>
            <w:tcW w:w="0" w:type="auto"/>
          </w:tcPr>
          <w:p>
            <w:pPr>
              <w:pStyle w:val="TablCenter"/>
            </w:pPr>
            <w:r>
              <w:rPr>
                <w:rFonts w:ascii="Times New Roman" w:hAnsi="Times New Roman"/>
                <w:sz w:val="28"/>
                <w:szCs w:val="28"/>
              </w:rPr>
              <w:t xml:space="preserve">нельзя интерпретировать «Не обнаружено» без записи V и </w:t>
            </w:r>
            <w:r>
              <w:rPr>
                <w:rFonts w:ascii="Times New Roman" w:hAnsi="Times New Roman"/>
                <w:sz w:val="28"/>
                <w:szCs w:val="28"/>
              </w:rPr>
              <w:t xml:space="preserve">V</w:t>
            </w:r>
            <w:r>
              <w:rPr>
                <w:rFonts w:ascii="Times New Roman" w:hAnsi="Times New Roman"/>
                <w:sz w:val="28"/>
                <w:vertAlign w:val="subscript"/>
              </w:rPr>
              <w:t xml:space="preserve">просм</w:t>
            </w:r>
          </w:p>
        </w:tc>
      </w:tr>
      <w:tr>
        <w:tc>
          <w:tcPr>
            <w:tcW w:w="0" w:type="auto"/>
          </w:tcPr>
          <w:p>
            <w:pPr>
              <w:pStyle w:val="TablCenter"/>
            </w:pPr>
            <w:r>
              <w:rPr>
                <w:rFonts w:ascii="Times New Roman" w:hAnsi="Times New Roman"/>
                <w:sz w:val="28"/>
                <w:szCs w:val="28"/>
              </w:rPr>
              <w:t xml:space="preserve">Бермана (4.2.1)</w:t>
            </w:r>
          </w:p>
        </w:tc>
        <w:tc>
          <w:tcPr>
            <w:tcW w:w="0" w:type="auto"/>
          </w:tcPr>
          <w:p>
            <w:pPr>
              <w:pStyle w:val="TablCenter"/>
            </w:pPr>
            <w:r>
              <w:rPr>
                <w:rFonts w:ascii="Times New Roman" w:hAnsi="Times New Roman"/>
                <w:sz w:val="28"/>
                <w:szCs w:val="28"/>
              </w:rPr>
              <w:t xml:space="preserve">почва/песок, личинки</w:t>
            </w:r>
          </w:p>
        </w:tc>
        <w:tc>
          <w:tcPr>
            <w:tcW w:w="0" w:type="auto"/>
          </w:tcPr>
          <w:p>
            <w:pPr>
              <w:pStyle w:val="TablCenter"/>
            </w:pPr>
            <w:r>
              <w:rPr>
                <w:rFonts w:ascii="Times New Roman" w:hAnsi="Times New Roman"/>
                <w:sz w:val="28"/>
                <w:szCs w:val="28"/>
              </w:rPr>
              <w:t xml:space="preserve">20 г; весь осадок после центрифугирования</w:t>
            </w:r>
          </w:p>
        </w:tc>
        <w:tc>
          <w:tcPr>
            <w:tcW w:w="0" w:type="auto"/>
          </w:tcPr>
          <w:p>
            <w:pPr>
              <w:pStyle w:val="TablCenter"/>
            </w:pPr>
            <w:r>
              <w:rPr>
                <w:rFonts w:ascii="Times New Roman" w:hAnsi="Times New Roman"/>
                <w:sz w:val="28"/>
                <w:szCs w:val="28"/>
              </w:rPr>
              <w:t xml:space="preserve">50 экз./кг</w:t>
            </w:r>
          </w:p>
        </w:tc>
        <w:tc>
          <w:tcPr>
            <w:tcW w:w="0" w:type="auto"/>
          </w:tcPr>
          <w:p>
            <w:pPr>
              <w:pStyle w:val="TablCenter"/>
            </w:pPr>
            <w:r>
              <w:rPr>
                <w:rFonts w:ascii="Times New Roman" w:hAnsi="Times New Roman"/>
                <w:sz w:val="28"/>
                <w:szCs w:val="28"/>
              </w:rPr>
              <w:t xml:space="preserve">150 экз./кг</w:t>
            </w:r>
          </w:p>
        </w:tc>
        <w:tc>
          <w:tcPr>
            <w:tcW w:w="0" w:type="auto"/>
          </w:tcPr>
          <w:p>
            <w:pPr>
              <w:pStyle w:val="TablCenter"/>
            </w:pPr>
            <w:r>
              <w:rPr>
                <w:rFonts w:ascii="Times New Roman" w:hAnsi="Times New Roman"/>
                <w:sz w:val="28"/>
                <w:szCs w:val="28"/>
              </w:rPr>
              <w:t xml:space="preserve">экспозиция 3–4 ч (рекомендуется 12–24 ч)</w:t>
            </w:r>
          </w:p>
        </w:tc>
      </w:tr>
      <w:tr>
        <w:tc>
          <w:tcPr>
            <w:tcW w:w="0" w:type="auto"/>
          </w:tcPr>
          <w:p>
            <w:pPr>
              <w:pStyle w:val="TablCenter"/>
            </w:pPr>
            <w:r>
              <w:rPr>
                <w:rFonts w:ascii="Times New Roman" w:hAnsi="Times New Roman"/>
                <w:sz w:val="28"/>
                <w:szCs w:val="28"/>
              </w:rPr>
              <w:t xml:space="preserve">Супряги (4.2.2)</w:t>
            </w:r>
          </w:p>
        </w:tc>
        <w:tc>
          <w:tcPr>
            <w:tcW w:w="0" w:type="auto"/>
          </w:tcPr>
          <w:p>
            <w:pPr>
              <w:pStyle w:val="TablCenter"/>
            </w:pPr>
            <w:r>
              <w:rPr>
                <w:rFonts w:ascii="Times New Roman" w:hAnsi="Times New Roman"/>
                <w:sz w:val="28"/>
                <w:szCs w:val="28"/>
              </w:rPr>
              <w:t xml:space="preserve">почва/песок, личинки</w:t>
            </w:r>
          </w:p>
        </w:tc>
        <w:tc>
          <w:tcPr>
            <w:tcW w:w="0" w:type="auto"/>
          </w:tcPr>
          <w:p>
            <w:pPr>
              <w:pStyle w:val="TablCenter"/>
            </w:pPr>
            <w:r>
              <w:rPr>
                <w:rFonts w:ascii="Times New Roman" w:hAnsi="Times New Roman"/>
                <w:sz w:val="28"/>
                <w:szCs w:val="28"/>
              </w:rPr>
              <w:t xml:space="preserve">10 г; вся жидкость в чашке Петри</w:t>
            </w:r>
          </w:p>
        </w:tc>
        <w:tc>
          <w:tcPr>
            <w:tcW w:w="0" w:type="auto"/>
          </w:tcPr>
          <w:p>
            <w:pPr>
              <w:pStyle w:val="TablCenter"/>
            </w:pPr>
            <w:r>
              <w:rPr>
                <w:rFonts w:ascii="Times New Roman" w:hAnsi="Times New Roman"/>
                <w:sz w:val="28"/>
                <w:szCs w:val="28"/>
              </w:rPr>
              <w:t xml:space="preserve">100 экз./кг</w:t>
            </w:r>
          </w:p>
        </w:tc>
        <w:tc>
          <w:tcPr>
            <w:tcW w:w="0" w:type="auto"/>
          </w:tcPr>
          <w:p>
            <w:pPr>
              <w:pStyle w:val="TablCenter"/>
            </w:pPr>
            <w:r>
              <w:rPr>
                <w:rFonts w:ascii="Times New Roman" w:hAnsi="Times New Roman"/>
                <w:sz w:val="28"/>
                <w:szCs w:val="28"/>
              </w:rPr>
              <w:t xml:space="preserve">300 экз./кг</w:t>
            </w:r>
          </w:p>
        </w:tc>
        <w:tc>
          <w:tcPr>
            <w:tcW w:w="0" w:type="auto"/>
          </w:tcPr>
          <w:p>
            <w:pPr>
              <w:pStyle w:val="TablCenter"/>
            </w:pPr>
          </w:p>
        </w:tc>
      </w:tr>
      <w:tr>
        <w:tc>
          <w:tcPr>
            <w:tcW w:w="0" w:type="auto"/>
          </w:tcPr>
          <w:p>
            <w:pPr>
              <w:pStyle w:val="TablCenter"/>
            </w:pPr>
            <w:r>
              <w:rPr>
                <w:rFonts w:ascii="Times New Roman" w:hAnsi="Times New Roman"/>
                <w:sz w:val="28"/>
                <w:szCs w:val="28"/>
              </w:rPr>
              <w:t xml:space="preserve">Осадки сточных вод, донные отложения (4.4)</w:t>
            </w:r>
          </w:p>
        </w:tc>
        <w:tc>
          <w:tcPr>
            <w:tcW w:w="0" w:type="auto"/>
          </w:tcPr>
          <w:p>
            <w:pPr>
              <w:pStyle w:val="TablCenter"/>
            </w:pPr>
            <w:r>
              <w:rPr>
                <w:rFonts w:ascii="Times New Roman" w:hAnsi="Times New Roman"/>
                <w:sz w:val="28"/>
                <w:szCs w:val="28"/>
              </w:rPr>
              <w:t xml:space="preserve">осадок/д/о</w:t>
            </w:r>
          </w:p>
        </w:tc>
        <w:tc>
          <w:tcPr>
            <w:tcW w:w="0" w:type="auto"/>
          </w:tcPr>
          <w:p>
            <w:pPr>
              <w:pStyle w:val="TablCenter"/>
            </w:pPr>
            <w:r>
              <w:rPr>
                <w:rFonts w:ascii="Times New Roman" w:hAnsi="Times New Roman"/>
                <w:sz w:val="28"/>
                <w:szCs w:val="28"/>
              </w:rPr>
              <w:t xml:space="preserve">4×25 г = 100 г (обезвоженные); для «сырых» — после обезвоживания</w:t>
            </w:r>
          </w:p>
        </w:tc>
        <w:tc>
          <w:tcPr>
            <w:tcW w:w="0" w:type="auto"/>
          </w:tcPr>
          <w:p>
            <w:pPr>
              <w:pStyle w:val="TablCenter"/>
            </w:pPr>
            <w:r>
              <w:rPr>
                <w:rFonts w:ascii="Times New Roman" w:hAnsi="Times New Roman"/>
                <w:sz w:val="28"/>
                <w:szCs w:val="28"/>
              </w:rPr>
              <w:t xml:space="preserve">10 экз./кг</w:t>
            </w:r>
          </w:p>
        </w:tc>
        <w:tc>
          <w:tcPr>
            <w:tcW w:w="0" w:type="auto"/>
          </w:tcPr>
          <w:p>
            <w:pPr>
              <w:pStyle w:val="TablCenter"/>
            </w:pPr>
            <w:r>
              <w:rPr>
                <w:rFonts w:ascii="Times New Roman" w:hAnsi="Times New Roman"/>
                <w:sz w:val="28"/>
                <w:szCs w:val="28"/>
              </w:rPr>
              <w:t xml:space="preserve">30 экз./кг</w:t>
            </w:r>
          </w:p>
        </w:tc>
        <w:tc>
          <w:tcPr>
            <w:tcW w:w="0" w:type="auto"/>
          </w:tcPr>
          <w:p>
            <w:pPr>
              <w:pStyle w:val="TablCenter"/>
            </w:pPr>
            <w:r>
              <w:rPr>
                <w:rFonts w:ascii="Times New Roman" w:hAnsi="Times New Roman"/>
                <w:sz w:val="28"/>
                <w:szCs w:val="28"/>
              </w:rPr>
              <w:t xml:space="preserve">влажность фиксировать; результат — на сырую массу</w:t>
            </w:r>
          </w:p>
        </w:tc>
      </w:tr>
      <w:tr>
        <w:tc>
          <w:tcPr>
            <w:tcW w:w="0" w:type="auto"/>
          </w:tcPr>
          <w:p>
            <w:pPr>
              <w:pStyle w:val="TablCenter"/>
            </w:pPr>
            <w:r>
              <w:rPr>
                <w:rFonts w:ascii="Times New Roman" w:hAnsi="Times New Roman"/>
                <w:sz w:val="28"/>
                <w:szCs w:val="28"/>
              </w:rPr>
              <w:t xml:space="preserve">АТМ-фильтрация воды (4.5.6)</w:t>
            </w:r>
          </w:p>
        </w:tc>
        <w:tc>
          <w:tcPr>
            <w:tcW w:w="0" w:type="auto"/>
          </w:tcPr>
          <w:p>
            <w:pPr>
              <w:pStyle w:val="TablCenter"/>
            </w:pPr>
            <w:r>
              <w:rPr>
                <w:rFonts w:ascii="Times New Roman" w:hAnsi="Times New Roman"/>
                <w:sz w:val="28"/>
                <w:szCs w:val="28"/>
              </w:rPr>
              <w:t xml:space="preserve">питьевая, бассейны, аквапарки</w:t>
            </w:r>
          </w:p>
        </w:tc>
        <w:tc>
          <w:tcPr>
            <w:tcW w:w="0" w:type="auto"/>
          </w:tcPr>
          <w:p>
            <w:pPr>
              <w:pStyle w:val="TablCenter"/>
            </w:pPr>
            <w:r>
              <w:rPr>
                <w:rFonts w:ascii="Times New Roman" w:hAnsi="Times New Roman"/>
                <w:sz w:val="28"/>
                <w:szCs w:val="28"/>
              </w:rPr>
              <w:t xml:space="preserve">50 дм³ (питьё/бассейны), 25 дм³ (поверхностные) — вся мембрана</w:t>
            </w:r>
          </w:p>
        </w:tc>
        <w:tc>
          <w:tcPr>
            <w:tcW w:w="0" w:type="auto"/>
          </w:tcPr>
          <w:p>
            <w:pPr>
              <w:pStyle w:val="TablCenter"/>
            </w:pPr>
            <w:r>
              <w:rPr>
                <w:rFonts w:ascii="Times New Roman" w:hAnsi="Times New Roman"/>
                <w:sz w:val="28"/>
                <w:szCs w:val="28"/>
              </w:rPr>
              <w:t xml:space="preserve">0,02 экз./дм³ (50 дм³); 0,04 экз./дм³ (25 дм³)</w:t>
            </w:r>
          </w:p>
        </w:tc>
        <w:tc>
          <w:tcPr>
            <w:tcW w:w="0" w:type="auto"/>
          </w:tcPr>
          <w:p>
            <w:pPr>
              <w:pStyle w:val="TablCenter"/>
            </w:pPr>
            <w:r>
              <w:rPr>
                <w:rFonts w:ascii="Times New Roman" w:hAnsi="Times New Roman"/>
                <w:sz w:val="28"/>
                <w:szCs w:val="28"/>
              </w:rPr>
              <w:t xml:space="preserve">0,06 / 0,12 экз./дм³</w:t>
            </w:r>
          </w:p>
        </w:tc>
        <w:tc>
          <w:tcPr>
            <w:tcW w:w="0" w:type="auto"/>
          </w:tcPr>
          <w:p>
            <w:pPr>
              <w:pStyle w:val="TablCenter"/>
            </w:pPr>
            <w:r>
              <w:rPr>
                <w:rFonts w:ascii="Times New Roman" w:hAnsi="Times New Roman"/>
                <w:sz w:val="28"/>
                <w:szCs w:val="28"/>
              </w:rPr>
              <w:t xml:space="preserve">норматив — «отсутствие» (табл. 3.5–3.8 СанПиН 1.2.3685-21)</w:t>
            </w:r>
          </w:p>
        </w:tc>
      </w:tr>
      <w:tr>
        <w:tc>
          <w:tcPr>
            <w:tcW w:w="0" w:type="auto"/>
          </w:tcPr>
          <w:p>
            <w:pPr>
              <w:pStyle w:val="TablCenter"/>
            </w:pPr>
            <w:r>
              <w:rPr>
                <w:rFonts w:ascii="Times New Roman" w:hAnsi="Times New Roman"/>
                <w:sz w:val="28"/>
                <w:szCs w:val="28"/>
              </w:rPr>
              <w:t xml:space="preserve">Отбор в ёмкости 1,5–2,0 дм³ с интервалом 5 мин (3.2.5)</w:t>
            </w:r>
          </w:p>
        </w:tc>
        <w:tc>
          <w:tcPr>
            <w:tcW w:w="0" w:type="auto"/>
          </w:tcPr>
          <w:p>
            <w:pPr>
              <w:pStyle w:val="TablCenter"/>
            </w:pPr>
            <w:r>
              <w:rPr>
                <w:rFonts w:ascii="Times New Roman" w:hAnsi="Times New Roman"/>
                <w:sz w:val="28"/>
                <w:szCs w:val="28"/>
              </w:rPr>
              <w:t xml:space="preserve">поверхностные воды</w:t>
            </w:r>
          </w:p>
        </w:tc>
        <w:tc>
          <w:tcPr>
            <w:tcW w:w="0" w:type="auto"/>
          </w:tcPr>
          <w:p>
            <w:pPr>
              <w:pStyle w:val="TablCenter"/>
            </w:pPr>
            <w:r>
              <w:rPr>
                <w:rFonts w:ascii="Times New Roman" w:hAnsi="Times New Roman"/>
                <w:sz w:val="28"/>
                <w:szCs w:val="28"/>
              </w:rPr>
              <w:t xml:space="preserve">1,5–2,0 дм³</w:t>
            </w:r>
          </w:p>
        </w:tc>
        <w:tc>
          <w:tcPr>
            <w:tcW w:w="0" w:type="auto"/>
          </w:tcPr>
          <w:p>
            <w:pPr>
              <w:pStyle w:val="TablCenter"/>
            </w:pPr>
            <w:r>
              <w:rPr>
                <w:rFonts w:ascii="Times New Roman" w:hAnsi="Times New Roman"/>
                <w:sz w:val="28"/>
                <w:szCs w:val="28"/>
              </w:rPr>
              <w:t xml:space="preserve">0,5–0,7 экз./дм³</w:t>
            </w:r>
          </w:p>
        </w:tc>
        <w:tc>
          <w:tcPr>
            <w:tcW w:w="0" w:type="auto"/>
          </w:tcPr>
          <w:p>
            <w:pPr>
              <w:pStyle w:val="TablCenter"/>
            </w:pPr>
            <w:r>
              <w:rPr>
                <w:rFonts w:ascii="Times New Roman" w:hAnsi="Times New Roman"/>
                <w:sz w:val="28"/>
                <w:szCs w:val="28"/>
              </w:rPr>
              <w:t xml:space="preserve">1,5–2 экз./дм³</w:t>
            </w:r>
          </w:p>
        </w:tc>
        <w:tc>
          <w:tcPr>
            <w:tcW w:w="0" w:type="auto"/>
          </w:tcPr>
          <w:p>
            <w:pPr>
              <w:pStyle w:val="TablCenter"/>
            </w:pPr>
            <w:r>
              <w:rPr>
                <w:rFonts w:ascii="Times New Roman" w:hAnsi="Times New Roman"/>
                <w:sz w:val="28"/>
                <w:szCs w:val="28"/>
              </w:rPr>
              <w:t xml:space="preserve">в 25–50 раз грубее фильтрации; годится только для качественной оценки — в протоколе запись «предел обнаружения не обеспечивает количественную оценку»</w:t>
            </w:r>
          </w:p>
        </w:tc>
      </w:tr>
      <w:tr>
        <w:tc>
          <w:tcPr>
            <w:tcW w:w="0" w:type="auto"/>
          </w:tcPr>
          <w:p>
            <w:pPr>
              <w:pStyle w:val="TablCenter"/>
            </w:pPr>
            <w:r>
              <w:rPr>
                <w:rFonts w:ascii="Times New Roman" w:hAnsi="Times New Roman"/>
                <w:sz w:val="28"/>
                <w:szCs w:val="28"/>
              </w:rPr>
              <w:t xml:space="preserve">Сточные воды (3.2.7, 4.5)</w:t>
            </w:r>
          </w:p>
        </w:tc>
        <w:tc>
          <w:tcPr>
            <w:tcW w:w="0" w:type="auto"/>
          </w:tcPr>
          <w:p>
            <w:pPr>
              <w:pStyle w:val="TablCenter"/>
            </w:pPr>
            <w:r>
              <w:rPr>
                <w:rFonts w:ascii="Times New Roman" w:hAnsi="Times New Roman"/>
                <w:sz w:val="28"/>
                <w:szCs w:val="28"/>
              </w:rPr>
              <w:t xml:space="preserve">сточная</w:t>
            </w:r>
          </w:p>
        </w:tc>
        <w:tc>
          <w:tcPr>
            <w:tcW w:w="0" w:type="auto"/>
          </w:tcPr>
          <w:p>
            <w:pPr>
              <w:pStyle w:val="TablCenter"/>
            </w:pPr>
            <w:r>
              <w:rPr>
                <w:rFonts w:ascii="Times New Roman" w:hAnsi="Times New Roman"/>
                <w:sz w:val="28"/>
                <w:szCs w:val="28"/>
              </w:rPr>
              <w:t xml:space="preserve">10 дм³ (до очистки), 25 дм³ (после)</w:t>
            </w:r>
          </w:p>
        </w:tc>
        <w:tc>
          <w:tcPr>
            <w:tcW w:w="0" w:type="auto"/>
          </w:tcPr>
          <w:p>
            <w:pPr>
              <w:pStyle w:val="TablCenter"/>
            </w:pPr>
            <w:r>
              <w:rPr>
                <w:rFonts w:ascii="Times New Roman" w:hAnsi="Times New Roman"/>
                <w:sz w:val="28"/>
                <w:szCs w:val="28"/>
              </w:rPr>
              <w:t xml:space="preserve">0,1 экз./дм³ (10 дм³); 0,04 (25 дм³)</w:t>
            </w:r>
          </w:p>
        </w:tc>
        <w:tc>
          <w:tcPr>
            <w:tcW w:w="0" w:type="auto"/>
          </w:tcPr>
          <w:p>
            <w:pPr>
              <w:pStyle w:val="TablCenter"/>
            </w:pPr>
            <w:r>
              <w:rPr>
                <w:rFonts w:ascii="Times New Roman" w:hAnsi="Times New Roman"/>
                <w:sz w:val="28"/>
                <w:szCs w:val="28"/>
              </w:rPr>
              <w:t xml:space="preserve">0,3 / 0,12</w:t>
            </w:r>
          </w:p>
        </w:tc>
        <w:tc>
          <w:tcPr>
            <w:tcW w:w="0" w:type="auto"/>
          </w:tcPr>
          <w:p>
            <w:pPr>
              <w:pStyle w:val="TablCenter"/>
            </w:pPr>
            <w:r>
              <w:rPr>
                <w:rFonts w:ascii="Times New Roman" w:hAnsi="Times New Roman"/>
                <w:sz w:val="28"/>
                <w:szCs w:val="28"/>
              </w:rPr>
              <w:t xml:space="preserve">норматив табл. 3.9 СанПиН 1.2.3685-21 («яйца/личинки гельминтов — отсутствие»; «цисты патогенных кишечных простейших — отсутствие»)</w:t>
            </w:r>
          </w:p>
        </w:tc>
      </w:tr>
      <w:tr>
        <w:tc>
          <w:tcPr>
            <w:tcW w:w="0" w:type="auto"/>
          </w:tcPr>
          <w:p>
            <w:pPr>
              <w:pStyle w:val="TablCenter"/>
            </w:pPr>
            <w:r>
              <w:rPr>
                <w:rFonts w:ascii="Times New Roman" w:hAnsi="Times New Roman"/>
                <w:sz w:val="28"/>
                <w:szCs w:val="28"/>
              </w:rPr>
              <w:t xml:space="preserve">Порошковая фильтрация (4.5.7)</w:t>
            </w:r>
          </w:p>
        </w:tc>
        <w:tc>
          <w:tcPr>
            <w:tcW w:w="0" w:type="auto"/>
          </w:tcPr>
          <w:p>
            <w:pPr>
              <w:pStyle w:val="TablCenter"/>
            </w:pPr>
            <w:r>
              <w:rPr>
                <w:rFonts w:ascii="Times New Roman" w:hAnsi="Times New Roman"/>
                <w:sz w:val="28"/>
                <w:szCs w:val="28"/>
              </w:rPr>
              <w:t xml:space="preserve">вода</w:t>
            </w:r>
          </w:p>
        </w:tc>
        <w:tc>
          <w:tcPr>
            <w:tcW w:w="0" w:type="auto"/>
          </w:tcPr>
          <w:p>
            <w:pPr>
              <w:pStyle w:val="TablCenter"/>
            </w:pPr>
            <w:r>
              <w:rPr>
                <w:rFonts w:ascii="Times New Roman" w:hAnsi="Times New Roman"/>
                <w:sz w:val="28"/>
                <w:szCs w:val="28"/>
              </w:rPr>
              <w:t xml:space="preserve">V фильтрования по паспорту прибора (фиксируется в протоколе)</w:t>
            </w:r>
          </w:p>
        </w:tc>
        <w:tc>
          <w:tcPr>
            <w:tcW w:w="0" w:type="auto"/>
          </w:tcPr>
          <w:p>
            <w:pPr>
              <w:pStyle w:val="TablCenter"/>
            </w:pPr>
            <w:r>
              <w:rPr>
                <w:rFonts w:ascii="Times New Roman" w:hAnsi="Times New Roman"/>
                <w:sz w:val="28"/>
                <w:szCs w:val="28"/>
              </w:rPr>
              <w:t xml:space="preserve">1/V экз./дм³</w:t>
            </w:r>
          </w:p>
        </w:tc>
        <w:tc>
          <w:tcPr>
            <w:tcW w:w="0" w:type="auto"/>
          </w:tcPr>
          <w:p>
            <w:pPr>
              <w:pStyle w:val="TablCenter"/>
            </w:pPr>
            <w:r>
              <w:rPr>
                <w:rFonts w:ascii="Times New Roman" w:hAnsi="Times New Roman"/>
                <w:sz w:val="28"/>
                <w:szCs w:val="28"/>
              </w:rPr>
              <w:t xml:space="preserve">×3</w:t>
            </w:r>
          </w:p>
        </w:tc>
        <w:tc>
          <w:tcPr>
            <w:tcW w:w="0" w:type="auto"/>
          </w:tcPr>
          <w:p>
            <w:pPr>
              <w:pStyle w:val="TablCenter"/>
            </w:pPr>
            <w:r>
              <w:rPr>
                <w:rFonts w:ascii="Times New Roman" w:hAnsi="Times New Roman"/>
                <w:sz w:val="28"/>
                <w:szCs w:val="28"/>
              </w:rPr>
              <w:t xml:space="preserve">V обязателен в протоколе</w:t>
            </w:r>
          </w:p>
        </w:tc>
      </w:tr>
      <w:tr>
        <w:tc>
          <w:tcPr>
            <w:tcW w:w="0" w:type="auto"/>
          </w:tcPr>
          <w:p>
            <w:pPr>
              <w:pStyle w:val="TablCenter"/>
            </w:pPr>
            <w:r>
              <w:rPr>
                <w:rFonts w:ascii="Times New Roman" w:hAnsi="Times New Roman"/>
                <w:sz w:val="28"/>
                <w:szCs w:val="28"/>
              </w:rPr>
              <w:t xml:space="preserve">Коагуляция (Прил. 2)</w:t>
            </w:r>
          </w:p>
        </w:tc>
        <w:tc>
          <w:tcPr>
            <w:tcW w:w="0" w:type="auto"/>
          </w:tcPr>
          <w:p>
            <w:pPr>
              <w:pStyle w:val="TablCenter"/>
            </w:pPr>
            <w:r>
              <w:rPr>
                <w:rFonts w:ascii="Times New Roman" w:hAnsi="Times New Roman"/>
                <w:sz w:val="28"/>
                <w:szCs w:val="28"/>
              </w:rPr>
              <w:t xml:space="preserve">вода</w:t>
            </w:r>
          </w:p>
        </w:tc>
        <w:tc>
          <w:tcPr>
            <w:tcW w:w="0" w:type="auto"/>
          </w:tcPr>
          <w:p>
            <w:pPr>
              <w:pStyle w:val="TablCenter"/>
            </w:pPr>
            <w:r>
              <w:rPr>
                <w:rFonts w:ascii="Times New Roman" w:hAnsi="Times New Roman"/>
                <w:sz w:val="28"/>
                <w:szCs w:val="28"/>
              </w:rPr>
              <w:t xml:space="preserve">по ГОСТ Р 70151-2022: питьё/бассейны ≥ 50 дм³, сточная до ВОС ≥ 1 дм³</w:t>
            </w:r>
          </w:p>
        </w:tc>
        <w:tc>
          <w:tcPr>
            <w:tcW w:w="0" w:type="auto"/>
          </w:tcPr>
          <w:p>
            <w:pPr>
              <w:pStyle w:val="TablCenter"/>
            </w:pPr>
            <w:r>
              <w:rPr>
                <w:rFonts w:ascii="Times New Roman" w:hAnsi="Times New Roman"/>
                <w:sz w:val="28"/>
                <w:szCs w:val="28"/>
              </w:rPr>
              <w:t xml:space="preserve">0,02 / 1 экз./дм³</w:t>
            </w:r>
          </w:p>
        </w:tc>
        <w:tc>
          <w:tcPr>
            <w:tcW w:w="0" w:type="auto"/>
          </w:tcPr>
          <w:p>
            <w:pPr>
              <w:pStyle w:val="TablCenter"/>
            </w:pPr>
            <w:r>
              <w:rPr>
                <w:rFonts w:ascii="Times New Roman" w:hAnsi="Times New Roman"/>
                <w:sz w:val="28"/>
                <w:szCs w:val="28"/>
              </w:rPr>
              <w:t xml:space="preserve">×3</w:t>
            </w:r>
          </w:p>
        </w:tc>
        <w:tc>
          <w:tcPr>
            <w:tcW w:w="0" w:type="auto"/>
          </w:tcPr>
          <w:p>
            <w:pPr>
              <w:pStyle w:val="TablCenter"/>
            </w:pPr>
            <w:r>
              <w:rPr>
                <w:rFonts w:ascii="Times New Roman" w:hAnsi="Times New Roman"/>
                <w:sz w:val="28"/>
                <w:szCs w:val="28"/>
              </w:rPr>
              <w:t xml:space="preserve">дозы коагулянта — по ГОСТ Р 70151-2022</w:t>
            </w:r>
          </w:p>
        </w:tc>
      </w:tr>
      <w:tr>
        <w:tc>
          <w:tcPr>
            <w:tcW w:w="0" w:type="auto"/>
          </w:tcPr>
          <w:p>
            <w:pPr>
              <w:pStyle w:val="TablCenter"/>
            </w:pPr>
            <w:r>
              <w:rPr>
                <w:rFonts w:ascii="Times New Roman" w:hAnsi="Times New Roman"/>
                <w:sz w:val="28"/>
                <w:szCs w:val="28"/>
              </w:rPr>
              <w:t xml:space="preserve">Смывы (4.6, 3.3)</w:t>
            </w:r>
          </w:p>
        </w:tc>
        <w:tc>
          <w:tcPr>
            <w:tcW w:w="0" w:type="auto"/>
          </w:tcPr>
          <w:p>
            <w:pPr>
              <w:pStyle w:val="TablCenter"/>
            </w:pPr>
            <w:r>
              <w:rPr>
                <w:rFonts w:ascii="Times New Roman" w:hAnsi="Times New Roman"/>
                <w:sz w:val="28"/>
                <w:szCs w:val="28"/>
              </w:rPr>
              <w:t xml:space="preserve">поверхности, руки</w:t>
            </w:r>
          </w:p>
        </w:tc>
        <w:tc>
          <w:tcPr>
            <w:tcW w:w="0" w:type="auto"/>
          </w:tcPr>
          <w:p>
            <w:pPr>
              <w:pStyle w:val="TablCenter"/>
            </w:pPr>
            <w:r>
              <w:rPr>
                <w:rFonts w:ascii="Times New Roman" w:hAnsi="Times New Roman"/>
                <w:sz w:val="28"/>
                <w:szCs w:val="28"/>
              </w:rPr>
              <w:t xml:space="preserve">1 смыв с 0,25 м² (поверхности) или с одного объекта (руки)</w:t>
            </w:r>
          </w:p>
        </w:tc>
        <w:tc>
          <w:tcPr>
            <w:tcW w:w="0" w:type="auto"/>
          </w:tcPr>
          <w:p>
            <w:pPr>
              <w:pStyle w:val="TablCenter"/>
            </w:pPr>
            <w:r>
              <w:rPr>
                <w:rFonts w:ascii="Times New Roman" w:hAnsi="Times New Roman"/>
                <w:sz w:val="28"/>
                <w:szCs w:val="28"/>
              </w:rPr>
              <w:t xml:space="preserve">1 экз./смыв (на 0,25 м²)</w:t>
            </w:r>
          </w:p>
        </w:tc>
        <w:tc>
          <w:tcPr>
            <w:tcW w:w="0" w:type="auto"/>
          </w:tcPr>
          <w:p>
            <w:pPr>
              <w:pStyle w:val="TablCenter"/>
            </w:pPr>
            <w:r>
              <w:rPr>
                <w:rFonts w:ascii="Times New Roman" w:hAnsi="Times New Roman"/>
                <w:sz w:val="28"/>
                <w:szCs w:val="28"/>
              </w:rPr>
              <w:t xml:space="preserve">3 экз./смыв</w:t>
            </w:r>
          </w:p>
        </w:tc>
        <w:tc>
          <w:tcPr>
            <w:tcW w:w="0" w:type="auto"/>
          </w:tcPr>
          <w:p>
            <w:pPr>
              <w:pStyle w:val="TablCenter"/>
            </w:pPr>
            <w:r>
              <w:rPr>
                <w:rFonts w:ascii="Times New Roman" w:hAnsi="Times New Roman"/>
                <w:sz w:val="28"/>
                <w:szCs w:val="28"/>
              </w:rPr>
              <w:t xml:space="preserve">норматив — «не обнаружено» (Прил. 36 СанПиН 3.3686-21)</w:t>
            </w:r>
          </w:p>
        </w:tc>
      </w:tr>
      <w:tr>
        <w:tc>
          <w:tcPr>
            <w:tcW w:w="0" w:type="auto"/>
          </w:tcPr>
          <w:p>
            <w:pPr>
              <w:pStyle w:val="TablCenter"/>
            </w:pPr>
            <w:r>
              <w:rPr>
                <w:rFonts w:ascii="Times New Roman" w:hAnsi="Times New Roman"/>
                <w:sz w:val="28"/>
                <w:szCs w:val="28"/>
              </w:rPr>
              <w:t xml:space="preserve">ИМС/ИФМ (4.7)</w:t>
            </w:r>
          </w:p>
        </w:tc>
        <w:tc>
          <w:tcPr>
            <w:tcW w:w="0" w:type="auto"/>
          </w:tcPr>
          <w:p>
            <w:pPr>
              <w:pStyle w:val="TablCenter"/>
            </w:pPr>
            <w:r>
              <w:rPr>
                <w:rFonts w:ascii="Times New Roman" w:hAnsi="Times New Roman"/>
                <w:sz w:val="28"/>
                <w:szCs w:val="28"/>
              </w:rPr>
              <w:t xml:space="preserve">вода, почва, смывы</w:t>
            </w:r>
          </w:p>
        </w:tc>
        <w:tc>
          <w:tcPr>
            <w:tcW w:w="0" w:type="auto"/>
          </w:tcPr>
          <w:p>
            <w:pPr>
              <w:pStyle w:val="TablCenter"/>
            </w:pPr>
            <w:r>
              <w:rPr>
                <w:rFonts w:ascii="Times New Roman" w:hAnsi="Times New Roman"/>
                <w:sz w:val="28"/>
                <w:szCs w:val="28"/>
              </w:rPr>
              <w:t xml:space="preserve">порция концентрата ≤ 0,5 см³ в одной ИМС-пробирке (по ГОСТ Р 70152 Прил. Б.1.5); исходный объём/масса — по методу концентрирования</w:t>
            </w:r>
          </w:p>
        </w:tc>
        <w:tc>
          <w:tcPr>
            <w:tcW w:w="0" w:type="auto"/>
          </w:tcPr>
          <w:p>
            <w:pPr>
              <w:pStyle w:val="TablCenter"/>
            </w:pPr>
            <w:r>
              <w:rPr>
                <w:rFonts w:ascii="Times New Roman" w:hAnsi="Times New Roman"/>
                <w:sz w:val="28"/>
                <w:szCs w:val="28"/>
              </w:rPr>
              <w:t xml:space="preserve">определяется концентратом; для воды 50 дм³ — 0,02 экз./дм³ теор.</w:t>
            </w:r>
          </w:p>
        </w:tc>
        <w:tc>
          <w:tcPr>
            <w:tcW w:w="0" w:type="auto"/>
          </w:tcPr>
          <w:p>
            <w:pPr>
              <w:pStyle w:val="TablCenter"/>
            </w:pPr>
            <w:r>
              <w:rPr>
                <w:rFonts w:ascii="Times New Roman" w:hAnsi="Times New Roman"/>
                <w:sz w:val="28"/>
                <w:szCs w:val="28"/>
              </w:rPr>
              <w:t xml:space="preserve">×3</w:t>
            </w:r>
          </w:p>
        </w:tc>
        <w:tc>
          <w:tcPr>
            <w:tcW w:w="0" w:type="auto"/>
          </w:tcPr>
          <w:p>
            <w:pPr>
              <w:pStyle w:val="TablCenter"/>
            </w:pPr>
            <w:r>
              <w:rPr>
                <w:rFonts w:ascii="Times New Roman" w:hAnsi="Times New Roman"/>
                <w:sz w:val="28"/>
                <w:szCs w:val="28"/>
              </w:rPr>
              <w:t xml:space="preserve">положительный контроль — суспензия с точно подсчитанным числом цист/ооцист (набор); критерии приемки — §7.4 ГОСТ Р 70152-2022</w:t>
            </w:r>
          </w:p>
        </w:tc>
      </w:tr>
      <w:tr>
        <w:tc>
          <w:tcPr>
            <w:tcW w:w="0" w:type="auto"/>
          </w:tcPr>
          <w:p>
            <w:pPr>
              <w:pStyle w:val="TablCenter"/>
            </w:pPr>
            <w:r>
              <w:rPr>
                <w:rFonts w:ascii="Times New Roman" w:hAnsi="Times New Roman"/>
                <w:sz w:val="28"/>
                <w:szCs w:val="28"/>
              </w:rPr>
              <w:t xml:space="preserve">ПЦР (4.8)</w:t>
            </w:r>
          </w:p>
        </w:tc>
        <w:tc>
          <w:tcPr>
            <w:tcW w:w="0" w:type="auto"/>
          </w:tcPr>
          <w:p>
            <w:pPr>
              <w:pStyle w:val="TablCenter"/>
            </w:pPr>
            <w:r>
              <w:rPr>
                <w:rFonts w:ascii="Times New Roman" w:hAnsi="Times New Roman"/>
                <w:sz w:val="28"/>
                <w:szCs w:val="28"/>
              </w:rPr>
              <w:t xml:space="preserve">почва (0,5 г на выделение), концентраты воды</w:t>
            </w:r>
          </w:p>
        </w:tc>
        <w:tc>
          <w:tcPr>
            <w:tcW w:w="0" w:type="auto"/>
          </w:tcPr>
          <w:p>
            <w:pPr>
              <w:pStyle w:val="TablCenter"/>
            </w:pPr>
            <w:r>
              <w:rPr>
                <w:rFonts w:ascii="Times New Roman" w:hAnsi="Times New Roman"/>
                <w:sz w:val="28"/>
                <w:szCs w:val="28"/>
              </w:rPr>
              <w:t xml:space="preserve">LOD набора в копиях/реакцию × пересчёт на навеску/объём</w:t>
            </w:r>
          </w:p>
        </w:tc>
        <w:tc>
          <w:tcPr>
            <w:tcW w:w="0" w:type="auto"/>
          </w:tcPr>
          <w:p>
            <w:pPr>
              <w:pStyle w:val="TablCenter"/>
            </w:pPr>
            <w:r>
              <w:rPr>
                <w:rFonts w:ascii="Times New Roman" w:hAnsi="Times New Roman"/>
                <w:sz w:val="28"/>
                <w:szCs w:val="28"/>
              </w:rPr>
              <w:t xml:space="preserve">по паспорту набора, подтверждается аттестацией; для почвы 0,5 г — теоретический «1 эквивалент объекта в 0,5 г» = 2000/кг по матрице (до концентрирования)</w:t>
            </w:r>
          </w:p>
        </w:tc>
        <w:tc>
          <w:tcPr>
            <w:tcW w:w="0" w:type="auto"/>
          </w:tcPr>
          <w:p>
            <w:pPr>
              <w:pStyle w:val="TablCenter"/>
            </w:pPr>
            <w:r>
              <w:rPr>
                <w:rFonts w:ascii="Times New Roman" w:hAnsi="Times New Roman"/>
                <w:sz w:val="28"/>
                <w:szCs w:val="28"/>
              </w:rPr>
              <w:t xml:space="preserve">—</w:t>
            </w:r>
          </w:p>
        </w:tc>
        <w:tc>
          <w:tcPr>
            <w:tcW w:w="0" w:type="auto"/>
          </w:tcPr>
          <w:p>
            <w:pPr>
              <w:pStyle w:val="TablCenter"/>
            </w:pPr>
            <w:r>
              <w:rPr>
                <w:rFonts w:ascii="Times New Roman" w:hAnsi="Times New Roman"/>
                <w:sz w:val="28"/>
                <w:szCs w:val="28"/>
              </w:rPr>
              <w:t xml:space="preserve">обязательны НТК, положительный контроль экстракции, внутренний контроль; ДНК-метод не различает жизнеспособность</w:t>
            </w:r>
          </w:p>
        </w:tc>
      </w:tr>
    </w:tbl>
    <w:p>
      <w:pPr>
        <w:spacing w:after="60"/>
      </w:pPr>
    </w:p>
    <w:p>
      <w:pPr>
        <w:widowControl w:val="0"/>
        <w:keepNext/>
        <w:keepLines/>
        <w:spacing w:before="360" w:after="120"/>
        <w:jc w:val="center"/>
        <w:outlineLvl w:val="0"/>
      </w:pPr>
      <w:r>
        <w:rPr>
          <w:rFonts w:ascii="Times New Roman" w:hAnsi="Times New Roman"/>
          <w:sz w:val="28"/>
          <w:szCs w:val="28"/>
        </w:rPr>
        <w:t xml:space="preserve">IX. КОНТРОЛЬ КАЧЕСТВА РЕЗУЛЬТАТОВ ИССЛЕДОВАНИЙ</w:t>
      </w:r>
    </w:p>
    <w:p>
      <w:pPr>
        <w:widowControl w:val="0"/>
        <w:spacing w:before="0" w:after="60" w:line="240" w:lineRule="auto"/>
        <w:ind w:firstLine="709"/>
        <w:jc w:val="both"/>
      </w:pPr>
      <w:r>
        <w:rPr>
          <w:rFonts w:ascii="Times New Roman" w:hAnsi="Times New Roman"/>
          <w:sz w:val="28"/>
          <w:szCs w:val="28"/>
        </w:rPr>
        <w:t xml:space="preserve">9.1. Внутренний лабораторный контроль качества проводят в соответствии с ГОСТ Р 70152-2022 «Качество воды. Методы внутреннего лабораторного контроля качества проведения микробиологических и паразитологических исследований».</w:t>
      </w:r>
    </w:p>
    <w:p>
      <w:pPr>
        <w:widowControl w:val="0"/>
        <w:spacing w:before="0" w:after="60" w:line="240" w:lineRule="auto"/>
        <w:ind w:firstLine="709"/>
        <w:jc w:val="both"/>
      </w:pPr>
      <w:r>
        <w:rPr>
          <w:rFonts w:ascii="Times New Roman" w:hAnsi="Times New Roman"/>
          <w:sz w:val="28"/>
          <w:szCs w:val="28"/>
        </w:rPr>
        <w:t xml:space="preserve">9.2. Направления контроля (по ГОСТ Р 70152-2022, пункт 4.1): условия проведения анализа (помещения, воздушная среда, температурные режимы, дезинфекция и стерилизация); контроль качества реактивов, флотационных растворов (плотность по ареометру перед каждой серией, Прил. 3), мембранных фильтров и АТМ, диагностических наборов (ИМС, ПЦР), дистиллированной воды; систематическая оценка контрольных процедур по плану ВЛК.</w:t>
      </w:r>
    </w:p>
    <w:p>
      <w:pPr>
        <w:widowControl w:val="0"/>
        <w:spacing w:before="0" w:after="60" w:line="240" w:lineRule="auto"/>
        <w:ind w:firstLine="709"/>
        <w:jc w:val="both"/>
      </w:pPr>
      <w:r>
        <w:rPr>
          <w:rFonts w:ascii="Times New Roman" w:hAnsi="Times New Roman"/>
          <w:sz w:val="28"/>
          <w:szCs w:val="28"/>
        </w:rPr>
        <w:t xml:space="preserve">9.3. Контрольные процедуры:</w:t>
      </w:r>
    </w:p>
    <w:p>
      <w:pPr>
        <w:widowControl w:val="0"/>
        <w:spacing w:before="0" w:after="60" w:line="240" w:lineRule="auto"/>
        <w:ind w:firstLine="709"/>
        <w:jc w:val="both"/>
      </w:pPr>
      <w:r>
        <w:rPr>
          <w:rFonts w:ascii="Times New Roman" w:hAnsi="Times New Roman"/>
          <w:sz w:val="28"/>
          <w:szCs w:val="28"/>
        </w:rPr>
        <w:t xml:space="preserve">а) положительный контроль при ИМС/ИФМ — препарат контрольной суспензии с точно подсчитанным числом цист лямблий и ооцист криптоспоридий из диагностического набора; просматривается при каждой новой партии реагентов и перед серией (по ГОСТ Р 70152-2022, Б.1.10); критерий — характерная яблочно-зелёная флуоресценция, размеры 10–18 мкм (цисты) и 2,5–6 мкм (ооцисты);</w:t>
      </w:r>
    </w:p>
    <w:p>
      <w:pPr>
        <w:widowControl w:val="0"/>
        <w:spacing w:before="0" w:after="60" w:line="240" w:lineRule="auto"/>
        <w:ind w:firstLine="709"/>
        <w:jc w:val="both"/>
      </w:pPr>
      <w:r>
        <w:rPr>
          <w:rFonts w:ascii="Times New Roman" w:hAnsi="Times New Roman"/>
          <w:sz w:val="28"/>
          <w:szCs w:val="28"/>
        </w:rPr>
        <w:t xml:space="preserve">б) отрицательный контроль — заведомо отрицательная проба (стерильная вода/матрица) через все стадии обработки;</w:t>
      </w:r>
    </w:p>
    <w:p>
      <w:pPr>
        <w:widowControl w:val="0"/>
        <w:spacing w:before="0" w:after="60" w:line="240" w:lineRule="auto"/>
        <w:ind w:firstLine="709"/>
        <w:jc w:val="both"/>
      </w:pPr>
      <w:r>
        <w:rPr>
          <w:rFonts w:ascii="Times New Roman" w:hAnsi="Times New Roman"/>
          <w:sz w:val="28"/>
          <w:szCs w:val="28"/>
        </w:rPr>
        <w:t xml:space="preserve">в) при ПЦР — отрицательный контроль экстракции и отрицательный контроль амплификации в каждой серии, положительный контроль экстракции и внутренний контроль в каждой реакции (п. 4.8);</w:t>
      </w:r>
    </w:p>
    <w:p>
      <w:pPr>
        <w:widowControl w:val="0"/>
        <w:spacing w:before="0" w:after="60" w:line="240" w:lineRule="auto"/>
        <w:ind w:firstLine="709"/>
        <w:jc w:val="both"/>
      </w:pPr>
      <w:r>
        <w:rPr>
          <w:rFonts w:ascii="Times New Roman" w:hAnsi="Times New Roman"/>
          <w:sz w:val="28"/>
          <w:szCs w:val="28"/>
        </w:rPr>
        <w:t xml:space="preserve">г) для флотационных и седиментационных методов — контрольный препарат из суспензии яиц (цист) с известным числом не реже 1 раза в месяц и при каждой новой партии флотационного раствора;</w:t>
      </w:r>
    </w:p>
    <w:p>
      <w:pPr>
        <w:widowControl w:val="0"/>
        <w:spacing w:before="0" w:after="60" w:line="240" w:lineRule="auto"/>
        <w:ind w:firstLine="709"/>
        <w:jc w:val="both"/>
      </w:pPr>
      <w:r>
        <w:rPr>
          <w:rFonts w:ascii="Times New Roman" w:hAnsi="Times New Roman"/>
          <w:sz w:val="28"/>
          <w:szCs w:val="28"/>
        </w:rPr>
        <w:t xml:space="preserve">д) контроль среды/растворов: плотность флотационных растворов ареометром при (20 ± 2) °С перед серией, отклонение &gt; ±0,01 г/см³ — коррекция с записью в протокол.</w:t>
      </w:r>
    </w:p>
    <w:p>
      <w:pPr>
        <w:widowControl w:val="0"/>
        <w:spacing w:before="0" w:after="60" w:line="240" w:lineRule="auto"/>
        <w:ind w:firstLine="709"/>
        <w:jc w:val="both"/>
      </w:pPr>
      <w:r>
        <w:rPr>
          <w:rFonts w:ascii="Times New Roman" w:hAnsi="Times New Roman"/>
          <w:sz w:val="28"/>
          <w:szCs w:val="28"/>
        </w:rPr>
        <w:t xml:space="preserve">9.4. Санитарно-паразитологический контроль помещений: смывы с поверхностей (столы, микроскопы, руки, спецодежда, ручки дверей, раковины, фильтровальные установки, полы) — не реже 1 раза в месяц по ГОСТ Р 70152-2022 (Б.1.1); площадь одной пробы — не менее 0,25 м²; результат — объекты не обнаружены. Контроль воздуха и пыли паразитологических помещений — по Б.2 того же стандарта.</w:t>
      </w:r>
    </w:p>
    <w:p>
      <w:pPr>
        <w:widowControl w:val="0"/>
        <w:spacing w:before="0" w:after="60" w:line="240" w:lineRule="auto"/>
        <w:ind w:firstLine="709"/>
        <w:jc w:val="both"/>
      </w:pPr>
      <w:r>
        <w:rPr>
          <w:rFonts w:ascii="Times New Roman" w:hAnsi="Times New Roman"/>
          <w:sz w:val="28"/>
          <w:szCs w:val="28"/>
        </w:rPr>
        <w:t xml:space="preserve">9.5. Регистрация и хранение результатов контроля — на бумажных или электронных носителях (формуляры — Приложение 8 к настоящим МУК, по образцу Приложения А ГОСТ Р 70152-2022). Не реже 1 раза в год проводят анализ результатов контрольных процедур с корректировкой мероприятий (ГОСТ Р 70152-2022, пункт 4.5).</w:t>
      </w:r>
    </w:p>
    <w:p>
      <w:pPr>
        <w:widowControl w:val="0"/>
        <w:spacing w:before="0" w:after="60" w:line="240" w:lineRule="auto"/>
        <w:ind w:firstLine="709"/>
        <w:jc w:val="both"/>
      </w:pPr>
      <w:r>
        <w:rPr>
          <w:rFonts w:ascii="Times New Roman" w:hAnsi="Times New Roman"/>
          <w:sz w:val="28"/>
          <w:szCs w:val="28"/>
        </w:rPr>
        <w:t xml:space="preserve">9.6. При неудовлетворительных результатах контроля серию исследований приостанавливают, выясняют и устраняют причину, результаты серии выдают только после повторного контроля.</w:t>
      </w:r>
    </w:p>
    <w:p>
      <w:pPr>
        <w:widowControl w:val="0"/>
        <w:keepNext/>
        <w:keepLines/>
        <w:spacing w:before="360" w:after="120"/>
        <w:jc w:val="center"/>
        <w:outlineLvl w:val="0"/>
      </w:pPr>
      <w:r>
        <w:rPr>
          <w:rFonts w:ascii="Times New Roman" w:hAnsi="Times New Roman"/>
          <w:sz w:val="28"/>
          <w:szCs w:val="28"/>
        </w:rPr>
        <w:t xml:space="preserve">X. ТРЕБОВАНИЯ БЕЗОПАСНОСТИ</w:t>
      </w:r>
    </w:p>
    <w:p>
      <w:pPr>
        <w:widowControl w:val="0"/>
        <w:spacing w:before="0" w:after="60" w:line="240" w:lineRule="auto"/>
        <w:ind w:firstLine="709"/>
        <w:jc w:val="both"/>
      </w:pPr>
      <w:r>
        <w:rPr>
          <w:rFonts w:ascii="Times New Roman" w:hAnsi="Times New Roman"/>
          <w:sz w:val="28"/>
          <w:szCs w:val="28"/>
        </w:rPr>
        <w:t xml:space="preserve">10.1. Работы с материалом, содержащим (подозрительным на содержание) патогенные биологические агенты, проводят в соответствии с СанПиН 3.3686-21 (глава IV «Санитарно-эпидемиологические требования к обеспечению безопасности при работе с ПБА») и требованиями биологической безопасности для агентов III–IV групп патогенности (яйца и личинки гельминтов, цисты патогенных простейших в объектах внешней среды).</w:t>
      </w:r>
    </w:p>
    <w:p>
      <w:pPr>
        <w:widowControl w:val="0"/>
        <w:spacing w:before="0" w:after="60" w:line="240" w:lineRule="auto"/>
        <w:ind w:firstLine="709"/>
        <w:jc w:val="both"/>
      </w:pPr>
      <w:r>
        <w:rPr>
          <w:rFonts w:ascii="Times New Roman" w:hAnsi="Times New Roman"/>
          <w:sz w:val="28"/>
          <w:szCs w:val="28"/>
        </w:rPr>
        <w:t xml:space="preserve">10.2. Работы, связанные с образованием аэрозоля (центрифугирование, гомогенизация, вскрытие емкостей), и работы с концентрированными пробами проводят в боксе биологической безопасности II класса по ГОСТ Р ЕН 12469-2010; бокс аттестуют после монтажа и затем не реже 1 раза в год.</w:t>
      </w:r>
    </w:p>
    <w:p>
      <w:pPr>
        <w:widowControl w:val="0"/>
        <w:spacing w:before="0" w:after="60" w:line="240" w:lineRule="auto"/>
        <w:ind w:firstLine="709"/>
        <w:jc w:val="both"/>
      </w:pPr>
      <w:r>
        <w:rPr>
          <w:rFonts w:ascii="Times New Roman" w:hAnsi="Times New Roman"/>
          <w:sz w:val="28"/>
          <w:szCs w:val="28"/>
        </w:rPr>
        <w:t xml:space="preserve">10.3. Работы с применением методов амплификации нуклеиновых кислот (ПЦР) организуют по МУ 1.3.2569-09: раздельные помещения (зоны) для приёма материала, экстракции нуклеиновых кислот, приготовления реакционной смеси и амплификации; однонаправленность потоков; персонал — с подготовкой по работе с микроорганизмами I–IV групп.</w:t>
      </w:r>
    </w:p>
    <w:p>
      <w:pPr>
        <w:widowControl w:val="0"/>
        <w:spacing w:before="0" w:after="60" w:line="240" w:lineRule="auto"/>
        <w:ind w:firstLine="709"/>
        <w:jc w:val="both"/>
      </w:pPr>
      <w:r>
        <w:rPr>
          <w:rFonts w:ascii="Times New Roman" w:hAnsi="Times New Roman"/>
          <w:sz w:val="28"/>
          <w:szCs w:val="28"/>
        </w:rPr>
        <w:t xml:space="preserve">10.4. Работа с вредными химическими веществами:</w:t>
      </w:r>
    </w:p>
    <w:p>
      <w:pPr>
        <w:widowControl w:val="0"/>
        <w:spacing w:before="0" w:after="60" w:line="240" w:lineRule="auto"/>
        <w:ind w:firstLine="709"/>
        <w:jc w:val="both"/>
      </w:pPr>
      <w:r>
        <w:rPr>
          <w:rFonts w:ascii="Times New Roman" w:hAnsi="Times New Roman"/>
          <w:sz w:val="28"/>
          <w:szCs w:val="28"/>
        </w:rPr>
        <w:t xml:space="preserve">– этидий бромистый (окраска гелей) — канцероген; работа в нитриловых перчатках, в защитных очках, в специально выделенной зоне; растворы и контактировавшие материалы собирают в маркированную ёмкость для отдельной утилизации; предпочтительно замена на менее токсичные красители (GelRed, SYBR Safe); хранение — посуда из тёмного стекла;</w:t>
      </w:r>
    </w:p>
    <w:p>
      <w:pPr>
        <w:widowControl w:val="0"/>
        <w:spacing w:before="0" w:after="60" w:line="240" w:lineRule="auto"/>
        <w:ind w:firstLine="709"/>
        <w:jc w:val="both"/>
      </w:pPr>
      <w:r>
        <w:rPr>
          <w:rFonts w:ascii="Times New Roman" w:hAnsi="Times New Roman"/>
          <w:sz w:val="28"/>
          <w:szCs w:val="28"/>
        </w:rPr>
        <w:t xml:space="preserve">– хлороформ (экстракция при выделении ДНК) — токсичен, летуч; работа в вытяжном шкафу, в перчатках; отходы — отдельная маркированная ёмкость;</w:t>
      </w:r>
    </w:p>
    <w:p>
      <w:pPr>
        <w:widowControl w:val="0"/>
        <w:spacing w:before="0" w:after="60" w:line="240" w:lineRule="auto"/>
        <w:ind w:firstLine="709"/>
        <w:jc w:val="both"/>
      </w:pPr>
      <w:r>
        <w:rPr>
          <w:rFonts w:ascii="Times New Roman" w:hAnsi="Times New Roman"/>
          <w:sz w:val="28"/>
          <w:szCs w:val="28"/>
        </w:rPr>
        <w:t xml:space="preserve">– формалин (формальдегид) и растворы едких щелочей/кислот (NaOH, HCl, серная кислота, гипохлорит натрия) — работа в перчатках и защитных очках; концентрированные кислоты приливают к воде (а не наоборот); гипохлорит после работы нейтрализуют тиосульфатом натрия;</w:t>
      </w:r>
    </w:p>
    <w:p>
      <w:pPr>
        <w:widowControl w:val="0"/>
        <w:spacing w:before="0" w:after="60" w:line="240" w:lineRule="auto"/>
        <w:ind w:firstLine="709"/>
        <w:jc w:val="both"/>
      </w:pPr>
      <w:r>
        <w:rPr>
          <w:rFonts w:ascii="Times New Roman" w:hAnsi="Times New Roman"/>
          <w:sz w:val="28"/>
          <w:szCs w:val="28"/>
        </w:rPr>
        <w:t xml:space="preserve">– ртутьсодержащие консерванты (мертиолят/тимерозал, при применении) — отходы собирают раздельно как ртутьсодержащие.</w:t>
      </w:r>
    </w:p>
    <w:p>
      <w:pPr>
        <w:widowControl w:val="0"/>
        <w:spacing w:before="0" w:after="60" w:line="240" w:lineRule="auto"/>
        <w:ind w:firstLine="709"/>
        <w:jc w:val="both"/>
      </w:pPr>
      <w:r>
        <w:rPr>
          <w:rFonts w:ascii="Times New Roman" w:hAnsi="Times New Roman"/>
          <w:sz w:val="28"/>
          <w:szCs w:val="28"/>
        </w:rPr>
        <w:t xml:space="preserve">10.5. Отходы, содержащие ПБА (пробы после исследования, фильтры, посуда, смывы), обеззараживают автоклавированием (121 °С, 30 мин) или дезинфицирующими средствами по СанПиН 3.3686-21 до сброса/утилизации; слив необеззараженных жидкостей в канализацию не допускается.</w:t>
      </w:r>
    </w:p>
    <w:p>
      <w:pPr>
        <w:widowControl w:val="0"/>
        <w:spacing w:before="0" w:after="60" w:line="240" w:lineRule="auto"/>
        <w:ind w:firstLine="709"/>
        <w:jc w:val="both"/>
      </w:pPr>
      <w:r>
        <w:rPr>
          <w:rFonts w:ascii="Times New Roman" w:hAnsi="Times New Roman"/>
          <w:sz w:val="28"/>
          <w:szCs w:val="28"/>
        </w:rPr>
        <w:t xml:space="preserve">10.6. Персонал обеспечивают средствами индивидуальной защиты (халат, перчатки, при необходимости — маска, защитные очки); по окончании работы — гигиеническая обработка рук. При аварии (разбрызгивание, пролив) — дезинфекция по инструкции, регистрация в журнале.</w:t>
      </w:r>
    </w:p>
    <w:p>
      <w:pPr>
        <w:widowControl w:val="0"/>
        <w:keepNext/>
        <w:keepLines/>
        <w:spacing w:before="360" w:after="120"/>
        <w:jc w:val="center"/>
        <w:outlineLvl w:val="0"/>
      </w:pPr>
      <w:r>
        <w:rPr>
          <w:rFonts w:ascii="Times New Roman" w:hAnsi="Times New Roman"/>
          <w:sz w:val="28"/>
          <w:szCs w:val="28"/>
        </w:rPr>
        <w:t xml:space="preserve">XI. ТРЕБОВАНИЯ К КВАЛИФИКАЦИИ ПЕРСОНАЛА</w:t>
      </w:r>
    </w:p>
    <w:p>
      <w:pPr>
        <w:widowControl w:val="0"/>
        <w:spacing w:before="0" w:after="60" w:line="240" w:lineRule="auto"/>
        <w:ind w:firstLine="709"/>
        <w:jc w:val="both"/>
      </w:pPr>
      <w:r>
        <w:rPr>
          <w:rFonts w:ascii="Times New Roman" w:hAnsi="Times New Roman"/>
          <w:sz w:val="28"/>
          <w:szCs w:val="28"/>
        </w:rPr>
        <w:t xml:space="preserve">11.1. К отбору проб допускаются специалисты, прошедшие обучение (инструктаж) по отбору проб для санитарно-паразитологических исследований.</w:t>
      </w:r>
    </w:p>
    <w:p>
      <w:pPr>
        <w:widowControl w:val="0"/>
        <w:spacing w:before="0" w:after="60" w:line="240" w:lineRule="auto"/>
        <w:ind w:firstLine="709"/>
        <w:jc w:val="both"/>
      </w:pPr>
      <w:r>
        <w:rPr>
          <w:rFonts w:ascii="Times New Roman" w:hAnsi="Times New Roman"/>
          <w:sz w:val="28"/>
          <w:szCs w:val="28"/>
        </w:rPr>
        <w:t xml:space="preserve">11.2. К подготовке проб, санитарно-паразитологическим исследованиям и обработке результатов допускаются лица с высшим или средним профессиональным (медицинским, биологическим, ветеринарным) образованием, прошедшие специальную подготовку по биологической безопасности и имеющие повышение квалификации по паразитологии (лабораторным паразитологическим исследованиям).</w:t>
      </w:r>
    </w:p>
    <w:p>
      <w:pPr>
        <w:widowControl w:val="0"/>
        <w:spacing w:before="0" w:after="60" w:line="240" w:lineRule="auto"/>
        <w:ind w:firstLine="709"/>
        <w:jc w:val="both"/>
      </w:pPr>
      <w:r>
        <w:rPr>
          <w:rFonts w:ascii="Times New Roman" w:hAnsi="Times New Roman"/>
          <w:sz w:val="28"/>
          <w:szCs w:val="28"/>
        </w:rPr>
        <w:t xml:space="preserve">11.3. К работам с применением методов амплификации нуклеиновых кислот допускаются специалисты с высшим или средним медицинским (биологическим, ветеринарным) образованием, прошедшие подготовку на лицензированных курсах по работе с микроорганизмами I–IV групп патогенности (МУ 1.3.2569-09, пункт 6).</w:t>
      </w:r>
    </w:p>
    <w:p>
      <w:pPr>
        <w:widowControl w:val="0"/>
        <w:spacing w:before="0" w:after="60" w:line="240" w:lineRule="auto"/>
        <w:ind w:firstLine="709"/>
        <w:jc w:val="both"/>
      </w:pPr>
      <w:r>
        <w:rPr>
          <w:rFonts w:ascii="Times New Roman" w:hAnsi="Times New Roman"/>
          <w:sz w:val="28"/>
          <w:szCs w:val="28"/>
        </w:rPr>
        <w:t xml:space="preserve">11.4. К работе с лабораторными животными (биопроба, п. 5.5) допускаются специалисты, прошедшие подготовку по правилам работы с экспериментальными животными; работы проводят при наличии заключения этического комитета организации.</w:t>
      </w:r>
    </w:p>
    <w:p>
      <w:pPr>
        <w:widowControl w:val="0"/>
        <w:spacing w:before="0" w:after="60" w:line="240" w:lineRule="auto"/>
        <w:ind w:firstLine="709"/>
        <w:jc w:val="both"/>
      </w:pPr>
      <w:r>
        <w:rPr>
          <w:rFonts w:ascii="Times New Roman" w:hAnsi="Times New Roman"/>
          <w:sz w:val="28"/>
          <w:szCs w:val="28"/>
        </w:rPr>
        <w:t xml:space="preserve">11.5. Компетентность персонала подтверждают и поддерживают согласно ГОСТ ISO/IEC 17025-2019 (пункт 6.2): обучение, стажировка, периодическая оценка навыков (в том числе по результатам внутрилабораторного контроля, раздел IX).</w:t>
      </w:r>
    </w:p>
    <w:p>
      <w:pPr>
        <w:widowControl w:val="0"/>
        <w:keepNext/>
        <w:keepLines/>
        <w:spacing w:before="360" w:after="120"/>
        <w:jc w:val="center"/>
        <w:outlineLvl w:val="0"/>
      </w:pPr>
      <w:r>
        <w:rPr>
          <w:rFonts w:ascii="Times New Roman" w:hAnsi="Times New Roman"/>
          <w:sz w:val="28"/>
          <w:szCs w:val="28"/>
        </w:rPr>
        <w:t xml:space="preserve">XII. ОФОРМЛЕНИЕ РЕЗУЛЬТАТОВ</w:t>
      </w:r>
    </w:p>
    <w:p>
      <w:pPr>
        <w:widowControl w:val="0"/>
        <w:spacing w:before="0" w:after="60" w:line="240" w:lineRule="auto"/>
        <w:ind w:firstLine="709"/>
        <w:jc w:val="both"/>
      </w:pPr>
      <w:r>
        <w:rPr>
          <w:rFonts w:ascii="Times New Roman" w:hAnsi="Times New Roman"/>
          <w:sz w:val="28"/>
          <w:szCs w:val="28"/>
        </w:rPr>
        <w:t xml:space="preserve">12.1. Результаты исследований оформляют протоколом испытаний по ГОСТ Р 58973-2020 и ГОСТ ISO/IEC 17025-2019 (пункт 7.8). Протокол сопровождает акт отбора проб (пункт 3.3.5), где указаны: наименование заявителя и пробы; место, дата и время отбора и доставки; масса (объём) пробы; метод отбора; нормативные документы на оценку; ФИО и должность отобравшего пробу; условия хранения и транспортирования; цель исследования.</w:t>
      </w:r>
    </w:p>
    <w:p>
      <w:pPr>
        <w:widowControl w:val="0"/>
        <w:spacing w:before="0" w:after="60" w:line="240" w:lineRule="auto"/>
        <w:ind w:firstLine="709"/>
        <w:jc w:val="both"/>
      </w:pPr>
      <w:r>
        <w:rPr>
          <w:rFonts w:ascii="Times New Roman" w:hAnsi="Times New Roman"/>
          <w:sz w:val="28"/>
          <w:szCs w:val="28"/>
        </w:rPr>
        <w:t xml:space="preserve">12.2. В протоколе испытаний дополнительно указывают: применённый метод (пункт настоящих МУК); массу навески или объём профильтрованной воды; объём осадка V и просмотренный объём </w:t>
      </w:r>
      <w:r>
        <w:rPr>
          <w:rFonts w:ascii="Times New Roman" w:hAnsi="Times New Roman"/>
          <w:sz w:val="28"/>
          <w:szCs w:val="28"/>
        </w:rPr>
        <w:t xml:space="preserve">V</w:t>
      </w:r>
      <w:r>
        <w:rPr>
          <w:rFonts w:ascii="Times New Roman" w:hAnsi="Times New Roman"/>
          <w:sz w:val="28"/>
          <w:vertAlign w:val="subscript"/>
        </w:rPr>
        <w:t xml:space="preserve">просм</w:t>
      </w:r>
      <w:r>
        <w:rPr>
          <w:rFonts w:ascii="Times New Roman" w:hAnsi="Times New Roman"/>
          <w:sz w:val="28"/>
          <w:szCs w:val="28"/>
        </w:rPr>
        <w:t xml:space="preserve"> (для седиментационных методов); тип и измеренную плотность флотационного раствора; тип и пористость мембраны; номер партии диагностического набора; результаты контролей (раздел IX).</w:t>
      </w:r>
    </w:p>
    <w:p>
      <w:pPr>
        <w:widowControl w:val="0"/>
        <w:spacing w:before="0" w:after="60" w:line="240" w:lineRule="auto"/>
        <w:ind w:firstLine="709"/>
        <w:jc w:val="both"/>
      </w:pPr>
      <w:r>
        <w:rPr>
          <w:rFonts w:ascii="Times New Roman" w:hAnsi="Times New Roman"/>
          <w:sz w:val="28"/>
          <w:szCs w:val="28"/>
        </w:rPr>
        <w:t xml:space="preserve">12.3. Результат выражают:</w:t>
      </w:r>
    </w:p>
    <w:p>
      <w:pPr>
        <w:widowControl w:val="0"/>
        <w:spacing w:before="0" w:after="60" w:line="240" w:lineRule="auto"/>
        <w:ind w:firstLine="709"/>
        <w:jc w:val="both"/>
      </w:pPr>
      <w:r>
        <w:rPr>
          <w:rFonts w:ascii="Times New Roman" w:hAnsi="Times New Roman"/>
          <w:sz w:val="28"/>
          <w:szCs w:val="28"/>
        </w:rPr>
        <w:t xml:space="preserve">– при обнаружении — вид (род/семейство) объектов, число и показатель ИПЗ (экз./100 г; экз./кг; экз./дм³; экз./смыв) с оценкой жизнеспособности (при её определении);</w:t>
      </w:r>
    </w:p>
    <w:p>
      <w:pPr>
        <w:widowControl w:val="0"/>
        <w:spacing w:before="0" w:after="60" w:line="240" w:lineRule="auto"/>
        <w:ind w:firstLine="709"/>
        <w:jc w:val="both"/>
      </w:pPr>
      <w:r>
        <w:rPr>
          <w:rFonts w:ascii="Times New Roman" w:hAnsi="Times New Roman"/>
          <w:sz w:val="28"/>
          <w:szCs w:val="28"/>
        </w:rPr>
        <w:t xml:space="preserve">– при отсутствии объектов — «Не обнаружено» с обязательным указанием предела обнаружения метода (раздел VIII, таблица 8.1): «Не обнаружено (предел обнаружения __ экз./кг)».</w:t>
      </w:r>
    </w:p>
    <w:p>
      <w:pPr>
        <w:widowControl w:val="0"/>
        <w:spacing w:before="0" w:after="60" w:line="240" w:lineRule="auto"/>
        <w:ind w:firstLine="709"/>
        <w:jc w:val="both"/>
      </w:pPr>
      <w:r>
        <w:rPr>
          <w:rFonts w:ascii="Times New Roman" w:hAnsi="Times New Roman"/>
          <w:sz w:val="28"/>
          <w:szCs w:val="28"/>
        </w:rPr>
        <w:t xml:space="preserve">12.4. Оценку соответствия нормативам проводят по СанПиН 1.2.3685-21 (таблицы 3.5–3.10, 4.6, 6.17), СанПиН 3.3686-21 (глава XLIII, приложение 36), СП 2.1.4284-26 (таблица 3.10) с указанием ссылки на конкретный пункт/таблицу.</w:t>
      </w:r>
    </w:p>
    <w:p>
      <w:pPr>
        <w:widowControl w:val="0"/>
        <w:spacing w:before="0" w:after="60" w:line="240" w:lineRule="auto"/>
        <w:ind w:firstLine="709"/>
        <w:jc w:val="both"/>
      </w:pPr>
      <w:r>
        <w:rPr>
          <w:rFonts w:ascii="Times New Roman" w:hAnsi="Times New Roman"/>
          <w:sz w:val="28"/>
          <w:szCs w:val="28"/>
        </w:rPr>
        <w:t xml:space="preserve">12.5. При обнаружении объектов в концентрации ниже предела количественного определения, но выше предела обнаружения результат выдают как «обнаружено (единичные находки)» с указанием числа.</w:t>
      </w:r>
    </w:p>
    <w:p>
      <w:pPr>
        <w:widowControl w:val="0"/>
        <w:keepNext/>
        <w:keepLines/>
        <w:spacing w:before="360" w:after="120"/>
        <w:jc w:val="center"/>
        <w:outlineLvl w:val="0"/>
      </w:pPr>
      <w:r>
        <w:rPr>
          <w:rFonts w:ascii="Times New Roman" w:hAnsi="Times New Roman"/>
          <w:sz w:val="28"/>
          <w:szCs w:val="28"/>
        </w:rPr>
        <w:t xml:space="preserve">Приложение 1</w:t>
      </w:r>
    </w:p>
    <w:p>
      <w:pPr>
        <w:widowControl w:val="0"/>
        <w:spacing w:before="0" w:after="60" w:line="240" w:lineRule="auto"/>
        <w:ind w:firstLine="709"/>
        <w:jc w:val="both"/>
      </w:pPr>
      <w:r>
        <w:rPr>
          <w:rFonts w:ascii="Times New Roman" w:hAnsi="Times New Roman"/>
          <w:sz w:val="28"/>
          <w:szCs w:val="28"/>
        </w:rPr>
        <w:t xml:space="preserve">к МУК 4.2.____-26</w:t>
      </w:r>
    </w:p>
    <w:p>
      <w:pPr>
        <w:widowControl w:val="0"/>
        <w:spacing w:before="0" w:after="60" w:line="240" w:lineRule="auto"/>
        <w:ind w:firstLine="709"/>
        <w:jc w:val="both"/>
      </w:pPr>
      <w:r>
        <w:rPr>
          <w:rFonts w:ascii="Times New Roman" w:hAnsi="Times New Roman"/>
          <w:sz w:val="28"/>
          <w:szCs w:val="28"/>
        </w:rPr>
        <w:t xml:space="preserve">Оборудование, лабораторная посуда, материалы и реактивы</w:t>
      </w:r>
    </w:p>
    <w:p>
      <w:pPr>
        <w:pStyle w:val="Zagtab"/>
      </w:pPr>
      <w:r>
        <w:rPr>
          <w:rFonts w:ascii="Times New Roman" w:hAnsi="Times New Roman"/>
          <w:sz w:val="28"/>
          <w:szCs w:val="28"/>
        </w:rPr>
        <w:t xml:space="preserve">Таблица 1 — Оборудование, лабораторная посуда для отбора проб объектов внешней среды</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4513"/>
        <w:gridCol w:w="4513"/>
      </w:tblGrid>
      <w:tr>
        <w:tc>
          <w:tcPr>
            <w:tcW w:w="0" w:type="auto"/>
          </w:tcPr>
          <w:p>
            <w:pPr>
              <w:pStyle w:val="TablCenter"/>
              <w:rPr>
                <w:b/>
              </w:rPr>
            </w:pPr>
            <w:r>
              <w:rPr>
                <w:rFonts w:ascii="Times New Roman" w:hAnsi="Times New Roman"/>
                <w:b/>
                <w:sz w:val="28"/>
                <w:szCs w:val="28"/>
              </w:rPr>
              <w:t xml:space="preserve">Наименование оборудования</w:t>
            </w:r>
          </w:p>
        </w:tc>
        <w:tc>
          <w:tcPr>
            <w:tcW w:w="0" w:type="auto"/>
          </w:tcPr>
          <w:p>
            <w:pPr>
              <w:pStyle w:val="TablCenter"/>
              <w:rPr>
                <w:b/>
              </w:rPr>
            </w:pPr>
            <w:r>
              <w:rPr>
                <w:rFonts w:ascii="Times New Roman" w:hAnsi="Times New Roman"/>
                <w:b/>
                <w:sz w:val="28"/>
                <w:szCs w:val="28"/>
              </w:rPr>
              <w:t xml:space="preserve">Обозначение и наименование документов, технические и метрологические (при наличии) характеристики</w:t>
            </w:r>
          </w:p>
        </w:tc>
      </w:tr>
      <w:tr>
        <w:tc>
          <w:tcPr>
            <w:tcW w:w="0" w:type="auto"/>
            <w:gridSpan w:val="2"/>
            <w:shd w:val="clear" w:fill="F2F2F2"/>
          </w:tcPr>
          <w:p>
            <w:pPr>
              <w:pStyle w:val="TablCenter"/>
              <w:rPr>
                <w:b/>
              </w:rPr>
            </w:pPr>
            <w:r>
              <w:rPr>
                <w:rFonts w:ascii="Times New Roman" w:hAnsi="Times New Roman"/>
                <w:b/>
                <w:sz w:val="28"/>
                <w:szCs w:val="28"/>
              </w:rPr>
              <w:t xml:space="preserve">Отбор проб почвы</w:t>
            </w:r>
          </w:p>
        </w:tc>
      </w:tr>
      <w:tr>
        <w:tc>
          <w:tcPr>
            <w:tcW w:w="0" w:type="auto"/>
          </w:tcPr>
          <w:p>
            <w:pPr>
              <w:pStyle w:val="TablCenter"/>
            </w:pPr>
            <w:r>
              <w:rPr>
                <w:rFonts w:ascii="Times New Roman" w:hAnsi="Times New Roman"/>
                <w:sz w:val="28"/>
                <w:szCs w:val="28"/>
              </w:rPr>
              <w:t xml:space="preserve">Пластиковые мешки и пакеты</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Рулетка</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Бур Некрасова</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Совки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Ножи почвенные</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Лопаты</w:t>
            </w:r>
          </w:p>
        </w:tc>
        <w:tc>
          <w:tcPr>
            <w:tcW w:w="0" w:type="auto"/>
          </w:tcPr>
          <w:p>
            <w:pPr>
              <w:pStyle w:val="TablCenter"/>
            </w:pPr>
            <w:r>
              <w:rPr>
                <w:rFonts w:ascii="Times New Roman" w:hAnsi="Times New Roman"/>
                <w:sz w:val="28"/>
                <w:szCs w:val="28"/>
              </w:rPr>
              <w:t xml:space="preserve">-</w:t>
            </w:r>
          </w:p>
        </w:tc>
      </w:tr>
      <w:tr>
        <w:tc>
          <w:tcPr>
            <w:tcW w:w="0" w:type="auto"/>
            <w:gridSpan w:val="2"/>
            <w:shd w:val="clear" w:fill="F2F2F2"/>
          </w:tcPr>
          <w:p>
            <w:pPr>
              <w:pStyle w:val="TablCenter"/>
              <w:rPr>
                <w:b/>
              </w:rPr>
            </w:pPr>
            <w:r>
              <w:rPr>
                <w:rFonts w:ascii="Times New Roman" w:hAnsi="Times New Roman"/>
                <w:b/>
                <w:sz w:val="28"/>
                <w:szCs w:val="28"/>
              </w:rPr>
              <w:t xml:space="preserve">Отбор проб донных отложений, осадков сточных вод</w:t>
            </w:r>
          </w:p>
        </w:tc>
      </w:tr>
      <w:tr>
        <w:tc>
          <w:tcPr>
            <w:tcW w:w="0" w:type="auto"/>
          </w:tcPr>
          <w:p>
            <w:pPr>
              <w:pStyle w:val="TablCenter"/>
            </w:pPr>
            <w:r>
              <w:rPr>
                <w:rFonts w:ascii="Times New Roman" w:hAnsi="Times New Roman"/>
                <w:sz w:val="28"/>
                <w:szCs w:val="28"/>
              </w:rPr>
              <w:t xml:space="preserve">Дночерпатели</w:t>
            </w:r>
          </w:p>
        </w:tc>
        <w:tc>
          <w:tcPr>
            <w:tcW w:w="0" w:type="auto"/>
          </w:tcPr>
          <w:p>
            <w:pPr>
              <w:pStyle w:val="TablCenter"/>
            </w:pPr>
            <w:r>
              <w:rPr>
                <w:rFonts w:ascii="Times New Roman" w:hAnsi="Times New Roman"/>
                <w:sz w:val="28"/>
                <w:szCs w:val="28"/>
              </w:rPr>
              <w:t xml:space="preserve">Для отбора донных отложений</w:t>
            </w:r>
          </w:p>
        </w:tc>
      </w:tr>
      <w:tr>
        <w:tc>
          <w:tcPr>
            <w:tcW w:w="0" w:type="auto"/>
          </w:tcPr>
          <w:p>
            <w:pPr>
              <w:pStyle w:val="TablCenter"/>
            </w:pPr>
            <w:r>
              <w:rPr>
                <w:rFonts w:ascii="Times New Roman" w:hAnsi="Times New Roman"/>
                <w:sz w:val="28"/>
                <w:szCs w:val="28"/>
              </w:rPr>
              <w:t xml:space="preserve">Банки стеклянные с притертыми или резиновыми пробками разных размеров до 500 мл</w:t>
            </w:r>
          </w:p>
        </w:tc>
        <w:tc>
          <w:tcPr>
            <w:tcW w:w="0" w:type="auto"/>
          </w:tcPr>
          <w:p>
            <w:pPr>
              <w:pStyle w:val="TablCenter"/>
            </w:pPr>
            <w:r>
              <w:rPr>
                <w:rFonts w:ascii="Times New Roman" w:hAnsi="Times New Roman"/>
                <w:sz w:val="28"/>
                <w:szCs w:val="28"/>
              </w:rPr>
              <w:t xml:space="preserve">ГОСТ 34037</w:t>
            </w:r>
          </w:p>
        </w:tc>
      </w:tr>
      <w:tr>
        <w:tc>
          <w:tcPr>
            <w:tcW w:w="0" w:type="auto"/>
          </w:tcPr>
          <w:p>
            <w:pPr>
              <w:pStyle w:val="TablCenter"/>
            </w:pPr>
            <w:r>
              <w:rPr>
                <w:rFonts w:ascii="Times New Roman" w:hAnsi="Times New Roman"/>
                <w:sz w:val="28"/>
                <w:szCs w:val="28"/>
              </w:rPr>
              <w:t xml:space="preserve">Широкогорлые стеклянные или пластиковые флаконы (емкости) объемом 100; 500; 1000; 2000 мл с притертыми или завинчивающимися крышками</w:t>
            </w:r>
          </w:p>
        </w:tc>
        <w:tc>
          <w:tcPr>
            <w:tcW w:w="0" w:type="auto"/>
          </w:tcPr>
          <w:p>
            <w:pPr>
              <w:pStyle w:val="TablCenter"/>
            </w:pPr>
            <w:r>
              <w:rPr>
                <w:rFonts w:ascii="Times New Roman" w:hAnsi="Times New Roman"/>
                <w:sz w:val="28"/>
                <w:szCs w:val="28"/>
              </w:rPr>
              <w:t xml:space="preserve">ГОСТ 34037-2016</w:t>
            </w:r>
          </w:p>
        </w:tc>
      </w:tr>
      <w:tr>
        <w:tc>
          <w:tcPr>
            <w:tcW w:w="0" w:type="auto"/>
          </w:tcPr>
          <w:p>
            <w:pPr>
              <w:pStyle w:val="TablCenter"/>
            </w:pPr>
            <w:r>
              <w:rPr>
                <w:rFonts w:ascii="Times New Roman" w:hAnsi="Times New Roman"/>
                <w:sz w:val="28"/>
                <w:szCs w:val="28"/>
              </w:rPr>
              <w:t xml:space="preserve">Совки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Маркер по стеклу и фарфору -</w:t>
            </w:r>
          </w:p>
        </w:tc>
        <w:tc>
          <w:tcPr>
            <w:tcW w:w="0" w:type="auto"/>
          </w:tcPr>
          <w:p>
            <w:pPr>
              <w:pStyle w:val="TablCenter"/>
            </w:pPr>
            <w:r>
              <w:rPr>
                <w:rFonts w:ascii="Times New Roman" w:hAnsi="Times New Roman"/>
                <w:sz w:val="28"/>
                <w:szCs w:val="28"/>
              </w:rPr>
              <w:t xml:space="preserve">-</w:t>
            </w:r>
          </w:p>
        </w:tc>
      </w:tr>
      <w:tr>
        <w:tc>
          <w:tcPr>
            <w:tcW w:w="0" w:type="auto"/>
            <w:gridSpan w:val="2"/>
            <w:shd w:val="clear" w:fill="F2F2F2"/>
          </w:tcPr>
          <w:p>
            <w:pPr>
              <w:pStyle w:val="TablCenter"/>
              <w:rPr>
                <w:b/>
              </w:rPr>
            </w:pPr>
            <w:r>
              <w:rPr>
                <w:rFonts w:ascii="Times New Roman" w:hAnsi="Times New Roman"/>
                <w:b/>
                <w:sz w:val="28"/>
                <w:szCs w:val="28"/>
              </w:rPr>
              <w:t xml:space="preserve">Отбор проб различных видов вод</w:t>
            </w:r>
          </w:p>
        </w:tc>
      </w:tr>
      <w:tr>
        <w:tc>
          <w:tcPr>
            <w:tcW w:w="0" w:type="auto"/>
          </w:tcPr>
          <w:p>
            <w:pPr>
              <w:pStyle w:val="TablCenter"/>
            </w:pPr>
            <w:r>
              <w:rPr>
                <w:rFonts w:ascii="Times New Roman" w:hAnsi="Times New Roman"/>
                <w:sz w:val="28"/>
                <w:szCs w:val="28"/>
              </w:rPr>
              <w:t xml:space="preserve">Приборы мембранного напорного фильтрования: типа устройства для подготовки проб воды «УППВ» под фильтры диаметром 35 (47) мм</w:t>
            </w:r>
          </w:p>
        </w:tc>
        <w:tc>
          <w:tcPr>
            <w:tcW w:w="0" w:type="auto"/>
          </w:tcPr>
          <w:p>
            <w:pPr>
              <w:pStyle w:val="TablCenter"/>
            </w:pPr>
            <w:r>
              <w:rPr>
                <w:rFonts w:ascii="Times New Roman" w:hAnsi="Times New Roman"/>
                <w:sz w:val="28"/>
                <w:szCs w:val="28"/>
              </w:rPr>
              <w:t xml:space="preserve">в соответствии с инструкцией</w:t>
            </w:r>
          </w:p>
        </w:tc>
      </w:tr>
      <w:tr>
        <w:tc>
          <w:tcPr>
            <w:tcW w:w="0" w:type="auto"/>
          </w:tcPr>
          <w:p>
            <w:pPr>
              <w:pStyle w:val="TablCenter"/>
            </w:pPr>
            <w:r>
              <w:rPr>
                <w:rFonts w:ascii="Times New Roman" w:hAnsi="Times New Roman"/>
                <w:sz w:val="28"/>
                <w:szCs w:val="28"/>
              </w:rPr>
              <w:t xml:space="preserve">Прибор напорного фильтрования типа ПНФ-70Б при необходимости оснащенный счетчиком под мембранный фильтр Ø70 мм</w:t>
            </w:r>
          </w:p>
        </w:tc>
        <w:tc>
          <w:tcPr>
            <w:tcW w:w="0" w:type="auto"/>
          </w:tcPr>
          <w:p>
            <w:pPr>
              <w:pStyle w:val="TablCenter"/>
            </w:pPr>
            <w:r>
              <w:rPr>
                <w:rFonts w:ascii="Times New Roman" w:hAnsi="Times New Roman"/>
                <w:sz w:val="28"/>
                <w:szCs w:val="28"/>
              </w:rPr>
              <w:t xml:space="preserve">в соответствии с инструкцией</w:t>
            </w:r>
          </w:p>
        </w:tc>
      </w:tr>
      <w:tr>
        <w:tc>
          <w:tcPr>
            <w:tcW w:w="0" w:type="auto"/>
          </w:tcPr>
          <w:p>
            <w:pPr>
              <w:pStyle w:val="TablCenter"/>
            </w:pPr>
            <w:r>
              <w:rPr>
                <w:rFonts w:ascii="Times New Roman" w:hAnsi="Times New Roman"/>
                <w:sz w:val="28"/>
                <w:szCs w:val="28"/>
              </w:rPr>
              <w:t xml:space="preserve">Прибор вакуумного фильтрования ПВФ 142 ПБ</w:t>
            </w:r>
          </w:p>
        </w:tc>
        <w:tc>
          <w:tcPr>
            <w:tcW w:w="0" w:type="auto"/>
          </w:tcPr>
          <w:p>
            <w:pPr>
              <w:pStyle w:val="TablCenter"/>
            </w:pPr>
            <w:r>
              <w:rPr>
                <w:rFonts w:ascii="Times New Roman" w:hAnsi="Times New Roman"/>
                <w:sz w:val="28"/>
                <w:szCs w:val="28"/>
              </w:rPr>
              <w:t xml:space="preserve">в соответствии с инструкцией</w:t>
            </w:r>
          </w:p>
        </w:tc>
      </w:tr>
      <w:tr>
        <w:tc>
          <w:tcPr>
            <w:tcW w:w="0" w:type="auto"/>
          </w:tcPr>
          <w:p>
            <w:pPr>
              <w:pStyle w:val="TablCenter"/>
            </w:pPr>
            <w:r>
              <w:rPr>
                <w:rFonts w:ascii="Times New Roman" w:hAnsi="Times New Roman"/>
                <w:sz w:val="28"/>
                <w:szCs w:val="28"/>
              </w:rPr>
              <w:t xml:space="preserve">Приборы для проведения порошкового метода исследования (приборы порошкового фильтрования – типа ПробоКонг и его модификации)</w:t>
            </w:r>
          </w:p>
        </w:tc>
        <w:tc>
          <w:tcPr>
            <w:tcW w:w="0" w:type="auto"/>
          </w:tcPr>
          <w:p>
            <w:pPr>
              <w:pStyle w:val="TablCenter"/>
            </w:pPr>
            <w:r>
              <w:rPr>
                <w:rFonts w:ascii="Times New Roman" w:hAnsi="Times New Roman"/>
                <w:sz w:val="28"/>
                <w:szCs w:val="28"/>
              </w:rPr>
              <w:t xml:space="preserve">ТУ 4312-001-46428453-00</w:t>
            </w:r>
          </w:p>
        </w:tc>
      </w:tr>
      <w:tr>
        <w:tc>
          <w:tcPr>
            <w:tcW w:w="0" w:type="auto"/>
          </w:tcPr>
          <w:p>
            <w:pPr>
              <w:pStyle w:val="TablCenter"/>
            </w:pPr>
            <w:r>
              <w:rPr>
                <w:rFonts w:ascii="Times New Roman" w:hAnsi="Times New Roman"/>
                <w:sz w:val="28"/>
                <w:szCs w:val="28"/>
              </w:rPr>
              <w:t xml:space="preserve">Закрывающиеся широкогорлые емкости с общим объемом пробы от 10 до 50 л (пластиковые и металлические фляги, бутыли, канистры, бидоны и т. п.)</w:t>
            </w:r>
          </w:p>
        </w:tc>
        <w:tc>
          <w:tcPr>
            <w:tcW w:w="0" w:type="auto"/>
          </w:tcPr>
          <w:p>
            <w:pPr>
              <w:pStyle w:val="TablCenter"/>
            </w:pPr>
            <w:r>
              <w:rPr>
                <w:rFonts w:ascii="Times New Roman" w:hAnsi="Times New Roman"/>
                <w:sz w:val="28"/>
                <w:szCs w:val="28"/>
              </w:rPr>
              <w:t xml:space="preserve">пригодные для обеззараживания с плотно закрывающимися пробками.</w:t>
            </w:r>
          </w:p>
        </w:tc>
      </w:tr>
      <w:tr>
        <w:tc>
          <w:tcPr>
            <w:tcW w:w="0" w:type="auto"/>
          </w:tcPr>
          <w:p>
            <w:pPr>
              <w:pStyle w:val="TablCenter"/>
            </w:pPr>
            <w:r>
              <w:rPr>
                <w:rFonts w:ascii="Times New Roman" w:hAnsi="Times New Roman"/>
                <w:sz w:val="28"/>
                <w:szCs w:val="28"/>
              </w:rPr>
              <w:t xml:space="preserve">Стеклянные или пластиковые емкости объемом 1000; 2000 мл</w:t>
            </w:r>
          </w:p>
        </w:tc>
        <w:tc>
          <w:tcPr>
            <w:tcW w:w="0" w:type="auto"/>
          </w:tcPr>
          <w:p>
            <w:pPr>
              <w:pStyle w:val="TablCenter"/>
            </w:pPr>
            <w:r>
              <w:rPr>
                <w:rFonts w:ascii="Times New Roman" w:hAnsi="Times New Roman"/>
                <w:sz w:val="28"/>
                <w:szCs w:val="28"/>
              </w:rPr>
              <w:t xml:space="preserve">пригодные для обеззараживания с притертыми или завинчивающимися крышками</w:t>
            </w:r>
          </w:p>
        </w:tc>
      </w:tr>
      <w:tr>
        <w:tc>
          <w:tcPr>
            <w:tcW w:w="0" w:type="auto"/>
          </w:tcPr>
          <w:p>
            <w:pPr>
              <w:pStyle w:val="TablCenter"/>
            </w:pPr>
            <w:r>
              <w:rPr>
                <w:rFonts w:ascii="Times New Roman" w:hAnsi="Times New Roman"/>
                <w:sz w:val="28"/>
                <w:szCs w:val="28"/>
              </w:rPr>
              <w:t xml:space="preserve">Прозрачные аналитические трековые мембраны (АТМ)</w:t>
            </w:r>
          </w:p>
        </w:tc>
        <w:tc>
          <w:tcPr>
            <w:tcW w:w="0" w:type="auto"/>
          </w:tcPr>
          <w:p>
            <w:pPr>
              <w:pStyle w:val="TablCenter"/>
            </w:pPr>
            <w:r>
              <w:rPr>
                <w:rFonts w:ascii="Times New Roman" w:hAnsi="Times New Roman"/>
                <w:sz w:val="28"/>
                <w:szCs w:val="28"/>
              </w:rPr>
              <w:t xml:space="preserve">С диаметром пор 2,5 – 5,0 мкм</w:t>
            </w:r>
          </w:p>
        </w:tc>
      </w:tr>
      <w:tr>
        <w:tc>
          <w:tcPr>
            <w:tcW w:w="0" w:type="auto"/>
          </w:tcPr>
          <w:p>
            <w:pPr>
              <w:pStyle w:val="TablCenter"/>
            </w:pPr>
            <w:r>
              <w:rPr>
                <w:rFonts w:ascii="Times New Roman" w:hAnsi="Times New Roman"/>
                <w:sz w:val="28"/>
                <w:szCs w:val="28"/>
              </w:rPr>
              <w:t xml:space="preserve">Мембранные фильтры для санитарно-паразитологических исследований на основе ацетатов целлюлозы типа МФАС-СПА с размерами пор от 1,5 до 3,0 мкм, МФАС-П-4 с размерами пор от 2,4 до 4,5 мкм</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Скальпели анатомические</w:t>
            </w:r>
          </w:p>
        </w:tc>
        <w:tc>
          <w:tcPr>
            <w:tcW w:w="0" w:type="auto"/>
          </w:tcPr>
          <w:p>
            <w:pPr>
              <w:pStyle w:val="TablCenter"/>
            </w:pPr>
            <w:r>
              <w:rPr>
                <w:rFonts w:ascii="Times New Roman" w:hAnsi="Times New Roman"/>
                <w:sz w:val="28"/>
                <w:szCs w:val="28"/>
              </w:rPr>
              <w:t xml:space="preserve">ГОСТ 21240</w:t>
            </w:r>
          </w:p>
        </w:tc>
      </w:tr>
      <w:tr>
        <w:tc>
          <w:tcPr>
            <w:tcW w:w="0" w:type="auto"/>
          </w:tcPr>
          <w:p>
            <w:pPr>
              <w:pStyle w:val="TablCenter"/>
            </w:pPr>
            <w:r>
              <w:rPr>
                <w:rFonts w:ascii="Times New Roman" w:hAnsi="Times New Roman"/>
                <w:sz w:val="28"/>
                <w:szCs w:val="28"/>
              </w:rPr>
              <w:t xml:space="preserve">Пинцеты анатомические</w:t>
            </w:r>
          </w:p>
        </w:tc>
        <w:tc>
          <w:tcPr>
            <w:tcW w:w="0" w:type="auto"/>
          </w:tcPr>
          <w:p>
            <w:pPr>
              <w:pStyle w:val="TablCenter"/>
            </w:pPr>
            <w:r>
              <w:rPr>
                <w:rFonts w:ascii="Times New Roman" w:hAnsi="Times New Roman"/>
                <w:sz w:val="28"/>
                <w:szCs w:val="28"/>
              </w:rPr>
              <w:t xml:space="preserve">ГОСТ 21241</w:t>
            </w:r>
          </w:p>
        </w:tc>
      </w:tr>
      <w:tr>
        <w:tc>
          <w:tcPr>
            <w:tcW w:w="0" w:type="auto"/>
          </w:tcPr>
          <w:p>
            <w:pPr>
              <w:pStyle w:val="TablCenter"/>
            </w:pPr>
            <w:r>
              <w:rPr>
                <w:rFonts w:ascii="Times New Roman" w:hAnsi="Times New Roman"/>
                <w:sz w:val="28"/>
                <w:szCs w:val="28"/>
              </w:rPr>
              <w:t xml:space="preserve">Сумка-холодильник</w:t>
            </w:r>
          </w:p>
        </w:tc>
        <w:tc>
          <w:tcPr>
            <w:tcW w:w="0" w:type="auto"/>
          </w:tcPr>
          <w:p>
            <w:pPr>
              <w:pStyle w:val="TablCenter"/>
            </w:pPr>
            <w:r>
              <w:rPr>
                <w:rFonts w:ascii="Times New Roman" w:hAnsi="Times New Roman"/>
                <w:sz w:val="28"/>
                <w:szCs w:val="28"/>
              </w:rPr>
              <w:t xml:space="preserve">Для доставки проб внешней среды в лабораторию</w:t>
            </w:r>
          </w:p>
        </w:tc>
      </w:tr>
      <w:tr>
        <w:tc>
          <w:tcPr>
            <w:tcW w:w="0" w:type="auto"/>
          </w:tcPr>
          <w:p>
            <w:pPr>
              <w:pStyle w:val="TablCenter"/>
            </w:pPr>
            <w:r>
              <w:rPr>
                <w:rFonts w:ascii="Times New Roman" w:hAnsi="Times New Roman"/>
                <w:sz w:val="28"/>
                <w:szCs w:val="28"/>
              </w:rPr>
              <w:t xml:space="preserve">Сульфат алюминия</w:t>
            </w:r>
          </w:p>
        </w:tc>
        <w:tc>
          <w:tcPr>
            <w:tcW w:w="0" w:type="auto"/>
          </w:tcPr>
          <w:p>
            <w:pPr>
              <w:pStyle w:val="TablCenter"/>
            </w:pPr>
            <w:r>
              <w:rPr>
                <w:rFonts w:ascii="Times New Roman" w:hAnsi="Times New Roman"/>
                <w:sz w:val="28"/>
                <w:szCs w:val="28"/>
              </w:rPr>
              <w:t xml:space="preserve">ГОСТ 12966</w:t>
            </w:r>
          </w:p>
        </w:tc>
      </w:tr>
      <w:tr>
        <w:tc>
          <w:tcPr>
            <w:tcW w:w="0" w:type="auto"/>
          </w:tcPr>
          <w:p>
            <w:pPr>
              <w:pStyle w:val="TablCenter"/>
            </w:pPr>
            <w:r>
              <w:rPr>
                <w:rFonts w:ascii="Times New Roman" w:hAnsi="Times New Roman"/>
                <w:sz w:val="28"/>
                <w:szCs w:val="28"/>
              </w:rPr>
              <w:t xml:space="preserve">Сульфат меди</w:t>
            </w:r>
          </w:p>
        </w:tc>
        <w:tc>
          <w:tcPr>
            <w:tcW w:w="0" w:type="auto"/>
          </w:tcPr>
          <w:p>
            <w:pPr>
              <w:pStyle w:val="TablCenter"/>
            </w:pPr>
            <w:r>
              <w:rPr>
                <w:rFonts w:ascii="Times New Roman" w:hAnsi="Times New Roman"/>
                <w:sz w:val="28"/>
                <w:szCs w:val="28"/>
              </w:rPr>
              <w:t xml:space="preserve">ГОСТ 4165</w:t>
            </w:r>
          </w:p>
        </w:tc>
      </w:tr>
      <w:tr>
        <w:tc>
          <w:tcPr>
            <w:tcW w:w="0" w:type="auto"/>
          </w:tcPr>
          <w:p>
            <w:pPr>
              <w:pStyle w:val="TablCenter"/>
            </w:pPr>
            <w:r>
              <w:rPr>
                <w:rFonts w:ascii="Times New Roman" w:hAnsi="Times New Roman"/>
                <w:sz w:val="28"/>
                <w:szCs w:val="28"/>
              </w:rPr>
              <w:t xml:space="preserve">Сульфат железа</w:t>
            </w:r>
          </w:p>
        </w:tc>
        <w:tc>
          <w:tcPr>
            <w:tcW w:w="0" w:type="auto"/>
          </w:tcPr>
          <w:p>
            <w:pPr>
              <w:pStyle w:val="TablCenter"/>
            </w:pPr>
            <w:r>
              <w:rPr>
                <w:rFonts w:ascii="Times New Roman" w:hAnsi="Times New Roman"/>
                <w:sz w:val="28"/>
                <w:szCs w:val="28"/>
              </w:rPr>
              <w:t xml:space="preserve">ГОСТ 6981</w:t>
            </w:r>
          </w:p>
        </w:tc>
      </w:tr>
      <w:tr>
        <w:tc>
          <w:tcPr>
            <w:tcW w:w="0" w:type="auto"/>
            <w:gridSpan w:val="2"/>
            <w:shd w:val="clear" w:fill="F2F2F2"/>
          </w:tcPr>
          <w:p>
            <w:pPr>
              <w:pStyle w:val="TablCenter"/>
              <w:rPr>
                <w:b/>
              </w:rPr>
            </w:pPr>
            <w:r>
              <w:rPr>
                <w:rFonts w:ascii="Times New Roman" w:hAnsi="Times New Roman"/>
                <w:b/>
                <w:sz w:val="28"/>
                <w:szCs w:val="28"/>
              </w:rPr>
              <w:t xml:space="preserve">Отбор проб смывов с поверхностей предметов</w:t>
            </w:r>
          </w:p>
        </w:tc>
      </w:tr>
      <w:tr>
        <w:tc>
          <w:tcPr>
            <w:tcW w:w="0" w:type="auto"/>
          </w:tcPr>
          <w:p>
            <w:pPr>
              <w:pStyle w:val="TablCenter"/>
            </w:pPr>
            <w:r>
              <w:rPr>
                <w:rFonts w:ascii="Times New Roman" w:hAnsi="Times New Roman"/>
                <w:sz w:val="28"/>
                <w:szCs w:val="28"/>
              </w:rPr>
              <w:t xml:space="preserve">Кисти жесткие (из щетины) и мягкие (из волоса белки, колонка или соболя) для живописи</w:t>
            </w:r>
          </w:p>
        </w:tc>
        <w:tc>
          <w:tcPr>
            <w:tcW w:w="0" w:type="auto"/>
          </w:tcPr>
          <w:p>
            <w:pPr>
              <w:pStyle w:val="TablCenter"/>
            </w:pPr>
            <w:r>
              <w:rPr>
                <w:rFonts w:ascii="Times New Roman" w:hAnsi="Times New Roman"/>
                <w:sz w:val="28"/>
                <w:szCs w:val="28"/>
              </w:rPr>
              <w:t xml:space="preserve">№ 10 или № 12</w:t>
            </w:r>
          </w:p>
        </w:tc>
      </w:tr>
      <w:tr>
        <w:tc>
          <w:tcPr>
            <w:tcW w:w="0" w:type="auto"/>
          </w:tcPr>
          <w:p>
            <w:pPr>
              <w:pStyle w:val="TablCenter"/>
            </w:pPr>
            <w:r>
              <w:rPr>
                <w:rFonts w:ascii="Times New Roman" w:hAnsi="Times New Roman"/>
                <w:sz w:val="28"/>
                <w:szCs w:val="28"/>
              </w:rPr>
              <w:t xml:space="preserve">Зонд-тампоны для отбора биологических проб</w:t>
            </w:r>
          </w:p>
        </w:tc>
        <w:tc>
          <w:tcPr>
            <w:tcW w:w="0" w:type="auto"/>
          </w:tcPr>
          <w:p>
            <w:pPr>
              <w:pStyle w:val="TablCenter"/>
            </w:pPr>
            <w:r>
              <w:rPr>
                <w:rFonts w:ascii="Times New Roman" w:hAnsi="Times New Roman"/>
                <w:sz w:val="28"/>
                <w:szCs w:val="28"/>
              </w:rPr>
              <w:t xml:space="preserve">ТУ 32.50.50-037-17547866-2021</w:t>
            </w:r>
          </w:p>
        </w:tc>
      </w:tr>
      <w:tr>
        <w:tc>
          <w:tcPr>
            <w:tcW w:w="0" w:type="auto"/>
          </w:tcPr>
          <w:p>
            <w:pPr>
              <w:pStyle w:val="TablCenter"/>
            </w:pPr>
            <w:r>
              <w:rPr>
                <w:rFonts w:ascii="Times New Roman" w:hAnsi="Times New Roman"/>
                <w:sz w:val="28"/>
                <w:szCs w:val="28"/>
              </w:rPr>
              <w:t xml:space="preserve">Пробирки центрифужные П–1–10–0,1 мл</w:t>
            </w:r>
          </w:p>
        </w:tc>
        <w:tc>
          <w:tcPr>
            <w:tcW w:w="0" w:type="auto"/>
          </w:tcPr>
          <w:p>
            <w:pPr>
              <w:pStyle w:val="TablCenter"/>
            </w:pPr>
            <w:r>
              <w:rPr>
                <w:rFonts w:ascii="Times New Roman" w:hAnsi="Times New Roman"/>
                <w:sz w:val="28"/>
                <w:szCs w:val="28"/>
              </w:rPr>
              <w:t xml:space="preserve">ГОСТ 1770</w:t>
            </w:r>
          </w:p>
        </w:tc>
      </w:tr>
      <w:tr>
        <w:tc>
          <w:tcPr>
            <w:tcW w:w="0" w:type="auto"/>
          </w:tcPr>
          <w:p>
            <w:pPr>
              <w:pStyle w:val="TablCenter"/>
            </w:pPr>
            <w:r>
              <w:rPr>
                <w:rFonts w:ascii="Times New Roman" w:hAnsi="Times New Roman"/>
                <w:sz w:val="28"/>
                <w:szCs w:val="28"/>
              </w:rPr>
              <w:t xml:space="preserve">Штативы и подносы для пробирок и контейнеров</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Натрия гидроокись</w:t>
            </w:r>
          </w:p>
        </w:tc>
        <w:tc>
          <w:tcPr>
            <w:tcW w:w="0" w:type="auto"/>
          </w:tcPr>
          <w:p>
            <w:pPr>
              <w:pStyle w:val="TablCenter"/>
            </w:pPr>
            <w:r>
              <w:rPr>
                <w:rFonts w:ascii="Times New Roman" w:hAnsi="Times New Roman"/>
                <w:sz w:val="28"/>
                <w:szCs w:val="28"/>
              </w:rPr>
              <w:t xml:space="preserve">ГОСТ 4328</w:t>
            </w:r>
          </w:p>
        </w:tc>
      </w:tr>
      <w:tr>
        <w:tc>
          <w:tcPr>
            <w:tcW w:w="0" w:type="auto"/>
          </w:tcPr>
          <w:p>
            <w:pPr>
              <w:pStyle w:val="TablCenter"/>
            </w:pPr>
            <w:r>
              <w:rPr>
                <w:rFonts w:ascii="Times New Roman" w:hAnsi="Times New Roman"/>
                <w:sz w:val="28"/>
                <w:szCs w:val="28"/>
              </w:rPr>
              <w:t xml:space="preserve">Глицерин, ЧДА</w:t>
            </w:r>
          </w:p>
        </w:tc>
        <w:tc>
          <w:tcPr>
            <w:tcW w:w="0" w:type="auto"/>
          </w:tcPr>
          <w:p>
            <w:pPr>
              <w:pStyle w:val="TablCenter"/>
            </w:pPr>
            <w:r>
              <w:rPr>
                <w:rFonts w:ascii="Times New Roman" w:hAnsi="Times New Roman"/>
                <w:sz w:val="28"/>
                <w:szCs w:val="28"/>
              </w:rPr>
              <w:t xml:space="preserve">ГОСТ 6259</w:t>
            </w:r>
          </w:p>
        </w:tc>
      </w:tr>
      <w:tr>
        <w:tc>
          <w:tcPr>
            <w:tcW w:w="0" w:type="auto"/>
          </w:tcPr>
          <w:p>
            <w:pPr>
              <w:pStyle w:val="TablCenter"/>
            </w:pPr>
            <w:r>
              <w:rPr>
                <w:rFonts w:ascii="Times New Roman" w:hAnsi="Times New Roman"/>
                <w:sz w:val="28"/>
                <w:szCs w:val="28"/>
              </w:rPr>
              <w:t xml:space="preserve">Вода дистиллированная</w:t>
            </w:r>
          </w:p>
        </w:tc>
        <w:tc>
          <w:tcPr>
            <w:tcW w:w="0" w:type="auto"/>
          </w:tcPr>
          <w:p>
            <w:pPr>
              <w:pStyle w:val="TablCenter"/>
            </w:pPr>
            <w:r>
              <w:rPr>
                <w:rFonts w:ascii="Times New Roman" w:hAnsi="Times New Roman"/>
                <w:sz w:val="28"/>
                <w:szCs w:val="28"/>
              </w:rPr>
              <w:t xml:space="preserve">ГОСТ Р 58144-2018</w:t>
            </w:r>
          </w:p>
        </w:tc>
      </w:tr>
      <w:tr>
        <w:tc>
          <w:tcPr>
            <w:tcW w:w="0" w:type="auto"/>
            <w:gridSpan w:val="2"/>
            <w:shd w:val="clear" w:fill="F2F2F2"/>
          </w:tcPr>
          <w:p>
            <w:pPr>
              <w:pStyle w:val="TablCenter"/>
              <w:rPr>
                <w:b/>
              </w:rPr>
            </w:pPr>
            <w:r>
              <w:rPr>
                <w:rFonts w:ascii="Times New Roman" w:hAnsi="Times New Roman"/>
                <w:b/>
                <w:sz w:val="28"/>
                <w:szCs w:val="28"/>
              </w:rPr>
              <w:t xml:space="preserve">Примечание. Допускается применение оборудования, реактивов, материалов и лабораторной посуды отечественных и зарубежных производителей с аналогичными или лучшими характеристиками, разрешенных к применению в установленном порядке.</w:t>
            </w:r>
          </w:p>
        </w:tc>
      </w:tr>
      <w:tr>
        <w:tc>
          <w:tcPr>
            <w:tcW w:w="0" w:type="auto"/>
          </w:tcPr>
          <w:p>
            <w:pPr>
              <w:pStyle w:val="TablCenter"/>
            </w:pPr>
            <w:r>
              <w:rPr>
                <w:rFonts w:ascii="Times New Roman" w:hAnsi="Times New Roman"/>
                <w:sz w:val="28"/>
                <w:szCs w:val="28"/>
              </w:rPr>
              <w:t xml:space="preserve">Пробоотборники для твёрдого навоза, помёта и компостов: щупы (буры) почвенные для буртов и штабелей, совки, лопаты портативные, шпатели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Пробоотборник конструкции А.А. Черепанова и пробоотборник типа ПВК-1 (основной инструмент для жидкого навоза, помёта, навозных стоков); пробоотборники для сточных вод по ГОСТ 17.1.5.04, ГОСТ 17.1.5.05, ГОСТ 17.4.4.02</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Черпаки и кружки из нейтрального материала для отбора жидкого навоза и навозных стоков</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Пробоотборники батометрического типа (для отбора по глубине накопителя: верхний, средний, придонный слои)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Ёмкости широкогорлые из полиэтилена или стекла объёмом 1,0; 5,0; 10,0 дм³, пригодные для обеззараживания, с завинчивающимися крышками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Ёмкости (контейнеры) полимерные объёмом 0,5–2,0 дм³ для твёрдых проб массой до 2 кг</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Термометры жидкостные стеклянные с пределами измерения 0–100 °С и 100–200 °С</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Толуол (ГОСТ 5789), формалин 40% (ГОСТ 1625), жидкость Барбагалло, 3% раствор соляной кислоты — консервирующие средства для проб навоза и стоков; ✚ ящики транспортные с гнёздами для стандартной посуды; ✚ мешки (пакеты) полиэтиленовые с изолированной этикеткой; ✚ кристаллизаторы стеклянные</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Сито с ячейками 3 мм для первичного просеивания твёрдых проб на месте отбора</w:t>
            </w:r>
          </w:p>
        </w:tc>
        <w:tc>
          <w:tcPr>
            <w:tcW w:w="0" w:type="auto"/>
          </w:tcPr>
          <w:p>
            <w:pPr>
              <w:pStyle w:val="TablCenter"/>
            </w:pPr>
            <w:r>
              <w:rPr>
                <w:rFonts w:ascii="Times New Roman" w:hAnsi="Times New Roman"/>
                <w:sz w:val="28"/>
                <w:szCs w:val="28"/>
              </w:rPr>
              <w:t xml:space="preserve">—</w:t>
            </w:r>
          </w:p>
        </w:tc>
      </w:tr>
    </w:tbl>
    <w:p>
      <w:pPr>
        <w:spacing w:after="60"/>
      </w:pPr>
    </w:p>
    <w:p>
      <w:pPr>
        <w:pStyle w:val="Zagtab"/>
      </w:pPr>
      <w:r>
        <w:rPr>
          <w:rFonts w:ascii="Times New Roman" w:hAnsi="Times New Roman"/>
          <w:sz w:val="28"/>
          <w:szCs w:val="28"/>
        </w:rPr>
        <w:t xml:space="preserve">Таблица 2 — Оборудование для проведения исследований санитарно-паразитологическими методами (п. 4.1–5.7)</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4513"/>
        <w:gridCol w:w="4513"/>
      </w:tblGrid>
      <w:tr>
        <w:tc>
          <w:tcPr>
            <w:tcW w:w="0" w:type="auto"/>
          </w:tcPr>
          <w:p>
            <w:pPr>
              <w:pStyle w:val="TablCenter"/>
              <w:rPr>
                <w:b/>
              </w:rPr>
            </w:pPr>
            <w:r>
              <w:rPr>
                <w:rFonts w:ascii="Times New Roman" w:hAnsi="Times New Roman"/>
                <w:b/>
                <w:sz w:val="28"/>
                <w:szCs w:val="28"/>
              </w:rPr>
              <w:t xml:space="preserve">Наименование оборудования</w:t>
            </w:r>
          </w:p>
        </w:tc>
        <w:tc>
          <w:tcPr>
            <w:tcW w:w="0" w:type="auto"/>
          </w:tcPr>
          <w:p>
            <w:pPr>
              <w:pStyle w:val="TablCenter"/>
              <w:rPr>
                <w:b/>
              </w:rPr>
            </w:pPr>
            <w:r>
              <w:rPr>
                <w:rFonts w:ascii="Times New Roman" w:hAnsi="Times New Roman"/>
                <w:b/>
                <w:sz w:val="28"/>
                <w:szCs w:val="28"/>
              </w:rPr>
              <w:t xml:space="preserve">Обозначение и наименование документов, технические характеристики</w:t>
            </w:r>
          </w:p>
        </w:tc>
      </w:tr>
      <w:tr>
        <w:tc>
          <w:tcPr>
            <w:tcW w:w="0" w:type="auto"/>
          </w:tcPr>
          <w:p>
            <w:pPr>
              <w:pStyle w:val="TablCenter"/>
            </w:pPr>
            <w:r>
              <w:rPr>
                <w:rFonts w:ascii="Times New Roman" w:hAnsi="Times New Roman"/>
                <w:sz w:val="28"/>
                <w:szCs w:val="28"/>
              </w:rPr>
              <w:t xml:space="preserve">Весы лабораторные общего назначения 2-го класса точности</w:t>
            </w:r>
          </w:p>
        </w:tc>
        <w:tc>
          <w:tcPr>
            <w:tcW w:w="0" w:type="auto"/>
          </w:tcPr>
          <w:p>
            <w:pPr>
              <w:pStyle w:val="TablCenter"/>
            </w:pPr>
            <w:r>
              <w:rPr>
                <w:rFonts w:ascii="Times New Roman" w:hAnsi="Times New Roman"/>
                <w:sz w:val="28"/>
                <w:szCs w:val="28"/>
              </w:rPr>
              <w:t xml:space="preserve">Максимальная нагрузка от 200 г и выше; класс точности не грубее 2-го (среднего) по ГОСТ OIML R 76-1-2011; действующая поверка (свидетельство о поверке)</w:t>
            </w:r>
          </w:p>
        </w:tc>
      </w:tr>
      <w:tr>
        <w:tc>
          <w:tcPr>
            <w:tcW w:w="0" w:type="auto"/>
          </w:tcPr>
          <w:p>
            <w:pPr>
              <w:pStyle w:val="TablCenter"/>
            </w:pPr>
            <w:r>
              <w:rPr>
                <w:rFonts w:ascii="Times New Roman" w:hAnsi="Times New Roman"/>
                <w:sz w:val="28"/>
                <w:szCs w:val="28"/>
              </w:rPr>
              <w:t xml:space="preserve">Ареометры (денсиметры) стеклянные диапазонов 1,000–1,400 и 1,400–1,900 кг/м³ (1,000–1,400 и 1,400–1,900 г/дм³) с ценой деления 0,001 г/см³ либо пикнометр; контроль плотности флотационных растворов проводят при (20 ± 2) °С</w:t>
            </w:r>
          </w:p>
        </w:tc>
        <w:tc>
          <w:tcPr>
            <w:tcW w:w="0" w:type="auto"/>
          </w:tcPr>
          <w:p>
            <w:pPr>
              <w:pStyle w:val="TablCenter"/>
            </w:pPr>
            <w:r>
              <w:rPr>
                <w:rFonts w:ascii="Times New Roman" w:hAnsi="Times New Roman"/>
                <w:sz w:val="28"/>
                <w:szCs w:val="28"/>
              </w:rPr>
              <w:t xml:space="preserve">ГОСТ 18481-81</w:t>
            </w:r>
          </w:p>
        </w:tc>
      </w:tr>
      <w:tr>
        <w:tc>
          <w:tcPr>
            <w:tcW w:w="0" w:type="auto"/>
          </w:tcPr>
          <w:p>
            <w:pPr>
              <w:pStyle w:val="TablCenter"/>
            </w:pPr>
            <w:r>
              <w:rPr>
                <w:rFonts w:ascii="Times New Roman" w:hAnsi="Times New Roman"/>
                <w:sz w:val="28"/>
                <w:szCs w:val="28"/>
              </w:rPr>
              <w:t xml:space="preserve">Дозаторы пипеточные одноканальные</w:t>
            </w:r>
          </w:p>
        </w:tc>
        <w:tc>
          <w:tcPr>
            <w:tcW w:w="0" w:type="auto"/>
          </w:tcPr>
          <w:p>
            <w:pPr>
              <w:pStyle w:val="TablCenter"/>
            </w:pPr>
            <w:r>
              <w:rPr>
                <w:rFonts w:ascii="Times New Roman" w:hAnsi="Times New Roman"/>
                <w:sz w:val="28"/>
                <w:szCs w:val="28"/>
              </w:rPr>
              <w:t xml:space="preserve">С диапазоном измерения 100 – 1000 мкл, погрешность (± 1,0 – 1,5%)</w:t>
            </w:r>
          </w:p>
        </w:tc>
      </w:tr>
      <w:tr>
        <w:tc>
          <w:tcPr>
            <w:tcW w:w="0" w:type="auto"/>
          </w:tcPr>
          <w:p>
            <w:pPr>
              <w:pStyle w:val="TablCenter"/>
            </w:pPr>
            <w:r>
              <w:rPr>
                <w:rFonts w:ascii="Times New Roman" w:hAnsi="Times New Roman"/>
                <w:sz w:val="28"/>
                <w:szCs w:val="28"/>
              </w:rPr>
              <w:t xml:space="preserve">Люминесцентный микроскоп или насадка для люминесцентного метода исследования</w:t>
            </w:r>
          </w:p>
        </w:tc>
        <w:tc>
          <w:tcPr>
            <w:tcW w:w="0" w:type="auto"/>
          </w:tcPr>
          <w:p>
            <w:pPr>
              <w:pStyle w:val="TablCenter"/>
            </w:pPr>
            <w:r>
              <w:rPr>
                <w:rFonts w:ascii="Times New Roman" w:hAnsi="Times New Roman"/>
                <w:sz w:val="28"/>
                <w:szCs w:val="28"/>
              </w:rPr>
              <w:t xml:space="preserve">Сине-фиолетовый светофильтр, желтый светофильтр</w:t>
            </w:r>
          </w:p>
        </w:tc>
      </w:tr>
      <w:tr>
        <w:tc>
          <w:tcPr>
            <w:tcW w:w="0" w:type="auto"/>
          </w:tcPr>
          <w:p>
            <w:pPr>
              <w:pStyle w:val="TablCenter"/>
            </w:pPr>
            <w:r>
              <w:rPr>
                <w:rFonts w:ascii="Times New Roman" w:hAnsi="Times New Roman"/>
                <w:sz w:val="28"/>
                <w:szCs w:val="28"/>
              </w:rPr>
              <w:t xml:space="preserve">Микроскоп бинокулярный с осветителем, набором объективов и окуляров</w:t>
            </w:r>
          </w:p>
        </w:tc>
        <w:tc>
          <w:tcPr>
            <w:tcW w:w="0" w:type="auto"/>
          </w:tcPr>
          <w:p>
            <w:pPr>
              <w:pStyle w:val="TablCenter"/>
            </w:pPr>
            <w:r>
              <w:rPr>
                <w:rFonts w:ascii="Times New Roman" w:hAnsi="Times New Roman"/>
                <w:sz w:val="28"/>
                <w:szCs w:val="28"/>
              </w:rPr>
              <w:t xml:space="preserve">Оснащенные окулярами с увеличением x10 (дополнительно могут быть x7, x5), объективами x10, x40, x100</w:t>
            </w:r>
          </w:p>
        </w:tc>
      </w:tr>
      <w:tr>
        <w:tc>
          <w:tcPr>
            <w:tcW w:w="0" w:type="auto"/>
          </w:tcPr>
          <w:p>
            <w:pPr>
              <w:pStyle w:val="TablCenter"/>
            </w:pPr>
            <w:r>
              <w:rPr>
                <w:rFonts w:ascii="Times New Roman" w:hAnsi="Times New Roman"/>
                <w:sz w:val="28"/>
                <w:szCs w:val="28"/>
              </w:rPr>
              <w:t xml:space="preserve">Окуляр-микрометр, объект-микрометр</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Микроскоп стереоскопический бинокулярный</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Приборы мембранного вакуумного фильтрования: ПВФ-142, ПВФ-35 или ПВФ-47, ПВФ-142Б, ПВФ-142Б (К), ПВФ-142П, ПВФ-142Б (ДК)</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рН-метр</w:t>
            </w:r>
          </w:p>
        </w:tc>
        <w:tc>
          <w:tcPr>
            <w:tcW w:w="0" w:type="auto"/>
          </w:tcPr>
          <w:p>
            <w:pPr>
              <w:pStyle w:val="TablCenter"/>
            </w:pPr>
            <w:r>
              <w:rPr>
                <w:rFonts w:ascii="Times New Roman" w:hAnsi="Times New Roman"/>
                <w:sz w:val="28"/>
                <w:szCs w:val="28"/>
              </w:rPr>
              <w:t xml:space="preserve">pH-метр, имеющий точность калибровки ±0,1 ед. pH при температуре от 20°C до 25°C</w:t>
            </w:r>
          </w:p>
        </w:tc>
      </w:tr>
      <w:tr>
        <w:tc>
          <w:tcPr>
            <w:tcW w:w="0" w:type="auto"/>
          </w:tcPr>
          <w:p>
            <w:pPr>
              <w:pStyle w:val="TablCenter"/>
            </w:pPr>
            <w:r>
              <w:rPr>
                <w:rFonts w:ascii="Times New Roman" w:hAnsi="Times New Roman"/>
                <w:sz w:val="28"/>
                <w:szCs w:val="28"/>
              </w:rPr>
              <w:t xml:space="preserve">Приборы для проведения порошкового метода исследования типа ПробоКонг и его модификации)</w:t>
            </w:r>
          </w:p>
        </w:tc>
        <w:tc>
          <w:tcPr>
            <w:tcW w:w="0" w:type="auto"/>
          </w:tcPr>
          <w:p>
            <w:pPr>
              <w:pStyle w:val="TablCenter"/>
            </w:pPr>
            <w:r>
              <w:rPr>
                <w:rFonts w:ascii="Times New Roman" w:hAnsi="Times New Roman"/>
                <w:sz w:val="28"/>
                <w:szCs w:val="28"/>
              </w:rPr>
              <w:t xml:space="preserve">ТУ 4312-001-46428453-00</w:t>
            </w:r>
          </w:p>
        </w:tc>
      </w:tr>
      <w:tr>
        <w:tc>
          <w:tcPr>
            <w:tcW w:w="0" w:type="auto"/>
          </w:tcPr>
          <w:p>
            <w:pPr>
              <w:pStyle w:val="TablCenter"/>
            </w:pPr>
            <w:r>
              <w:rPr>
                <w:rFonts w:ascii="Times New Roman" w:hAnsi="Times New Roman"/>
                <w:sz w:val="28"/>
                <w:szCs w:val="28"/>
              </w:rPr>
              <w:t xml:space="preserve">Отборник флотанта фильтрующий «ОФФ-25» (или эквиваленты)</w:t>
            </w:r>
          </w:p>
        </w:tc>
        <w:tc>
          <w:tcPr>
            <w:tcW w:w="0" w:type="auto"/>
          </w:tcPr>
          <w:p>
            <w:pPr>
              <w:pStyle w:val="TablCenter"/>
            </w:pPr>
            <w:r>
              <w:rPr>
                <w:rFonts w:ascii="Times New Roman" w:hAnsi="Times New Roman"/>
                <w:sz w:val="28"/>
                <w:szCs w:val="28"/>
              </w:rPr>
              <w:t xml:space="preserve">ТУ 4389-002-73502324-2006</w:t>
            </w:r>
          </w:p>
        </w:tc>
      </w:tr>
      <w:tr>
        <w:tc>
          <w:tcPr>
            <w:tcW w:w="0" w:type="auto"/>
          </w:tcPr>
          <w:p>
            <w:pPr>
              <w:pStyle w:val="TablCenter"/>
            </w:pPr>
            <w:r>
              <w:rPr>
                <w:rFonts w:ascii="Times New Roman" w:hAnsi="Times New Roman"/>
                <w:sz w:val="28"/>
                <w:szCs w:val="28"/>
              </w:rPr>
              <w:t xml:space="preserve">Облучатель бактерицидный настенный, соответствующий объему (кубатуре) помещения для проведения санитарно-паразитологических исследований</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Термостат электрический</w:t>
            </w:r>
          </w:p>
        </w:tc>
        <w:tc>
          <w:tcPr>
            <w:tcW w:w="0" w:type="auto"/>
          </w:tcPr>
          <w:p>
            <w:pPr>
              <w:pStyle w:val="TablCenter"/>
            </w:pPr>
            <w:r>
              <w:rPr>
                <w:rFonts w:ascii="Times New Roman" w:hAnsi="Times New Roman"/>
                <w:sz w:val="28"/>
                <w:szCs w:val="28"/>
              </w:rPr>
              <w:t xml:space="preserve">Поддержание температуры в камере в пределах (37 ± 1)°C</w:t>
            </w:r>
          </w:p>
        </w:tc>
      </w:tr>
      <w:tr>
        <w:tc>
          <w:tcPr>
            <w:tcW w:w="0" w:type="auto"/>
          </w:tcPr>
          <w:p>
            <w:pPr>
              <w:pStyle w:val="TablCenter"/>
            </w:pPr>
            <w:r>
              <w:rPr>
                <w:rFonts w:ascii="Times New Roman" w:hAnsi="Times New Roman"/>
                <w:sz w:val="28"/>
                <w:szCs w:val="28"/>
              </w:rPr>
              <w:t xml:space="preserve">Термометры</w:t>
            </w:r>
          </w:p>
        </w:tc>
        <w:tc>
          <w:tcPr>
            <w:tcW w:w="0" w:type="auto"/>
          </w:tcPr>
          <w:p>
            <w:pPr>
              <w:pStyle w:val="TablCenter"/>
            </w:pPr>
            <w:r>
              <w:rPr>
                <w:rFonts w:ascii="Times New Roman" w:hAnsi="Times New Roman"/>
                <w:sz w:val="28"/>
                <w:szCs w:val="28"/>
              </w:rPr>
              <w:t xml:space="preserve">с погрешностью измерений в пределах от ± 0,1°C до ±1°C.</w:t>
            </w:r>
          </w:p>
        </w:tc>
      </w:tr>
      <w:tr>
        <w:tc>
          <w:tcPr>
            <w:tcW w:w="0" w:type="auto"/>
          </w:tcPr>
          <w:p>
            <w:pPr>
              <w:pStyle w:val="TablCenter"/>
            </w:pPr>
            <w:r>
              <w:rPr>
                <w:rFonts w:ascii="Times New Roman" w:hAnsi="Times New Roman"/>
                <w:sz w:val="28"/>
                <w:szCs w:val="28"/>
              </w:rPr>
              <w:t xml:space="preserve">Холодильник электрический</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Центрифуга напольная и/или настольная</w:t>
            </w:r>
          </w:p>
        </w:tc>
        <w:tc>
          <w:tcPr>
            <w:tcW w:w="0" w:type="auto"/>
          </w:tcPr>
          <w:p>
            <w:pPr>
              <w:pStyle w:val="TablCenter"/>
            </w:pPr>
            <w:r>
              <w:rPr>
                <w:rFonts w:ascii="Times New Roman" w:hAnsi="Times New Roman"/>
                <w:sz w:val="28"/>
                <w:szCs w:val="28"/>
              </w:rPr>
              <w:t xml:space="preserve">Частота вращения от 1000 до 2000 об/мин, для пробирок от 10 до 250 мл</w:t>
            </w:r>
          </w:p>
        </w:tc>
      </w:tr>
      <w:tr>
        <w:tc>
          <w:tcPr>
            <w:tcW w:w="0" w:type="auto"/>
          </w:tcPr>
          <w:p>
            <w:pPr>
              <w:pStyle w:val="TablCenter"/>
            </w:pPr>
            <w:r>
              <w:rPr>
                <w:rFonts w:ascii="Times New Roman" w:hAnsi="Times New Roman"/>
                <w:sz w:val="28"/>
                <w:szCs w:val="28"/>
              </w:rPr>
              <w:t xml:space="preserve">Часы песочные или лабораторный таймер</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Сито лабораторное с размером ячейки 1 мм</w:t>
            </w:r>
          </w:p>
        </w:tc>
        <w:tc>
          <w:tcPr>
            <w:tcW w:w="0" w:type="auto"/>
          </w:tcPr>
          <w:p>
            <w:pPr>
              <w:pStyle w:val="TablCenter"/>
            </w:pPr>
            <w:r>
              <w:rPr>
                <w:rFonts w:ascii="Times New Roman" w:hAnsi="Times New Roman"/>
                <w:sz w:val="28"/>
                <w:szCs w:val="28"/>
              </w:rPr>
              <w:t xml:space="preserve">ГОСТ 6613</w:t>
            </w:r>
          </w:p>
        </w:tc>
      </w:tr>
      <w:tr>
        <w:tc>
          <w:tcPr>
            <w:tcW w:w="0" w:type="auto"/>
          </w:tcPr>
          <w:p>
            <w:pPr>
              <w:pStyle w:val="TablCenter"/>
            </w:pPr>
            <w:r>
              <w:rPr>
                <w:rFonts w:ascii="Times New Roman" w:hAnsi="Times New Roman"/>
                <w:sz w:val="28"/>
                <w:szCs w:val="28"/>
              </w:rPr>
              <w:t xml:space="preserve">Шкаф сушильный, стерилизационный</w:t>
            </w:r>
          </w:p>
        </w:tc>
        <w:tc>
          <w:tcPr>
            <w:tcW w:w="0" w:type="auto"/>
          </w:tcPr>
          <w:p>
            <w:pPr>
              <w:pStyle w:val="TablCenter"/>
            </w:pPr>
            <w:r>
              <w:rPr>
                <w:rFonts w:ascii="Times New Roman" w:hAnsi="Times New Roman"/>
                <w:sz w:val="28"/>
                <w:szCs w:val="28"/>
              </w:rPr>
              <w:t xml:space="preserve">Поддерживающий температуру от 175°C до 185°C</w:t>
            </w:r>
          </w:p>
        </w:tc>
      </w:tr>
      <w:tr>
        <w:tc>
          <w:tcPr>
            <w:tcW w:w="0" w:type="auto"/>
          </w:tcPr>
          <w:p>
            <w:pPr>
              <w:pStyle w:val="TablCenter"/>
            </w:pPr>
            <w:r>
              <w:rPr>
                <w:rFonts w:ascii="Times New Roman" w:hAnsi="Times New Roman"/>
                <w:sz w:val="28"/>
                <w:szCs w:val="28"/>
              </w:rPr>
              <w:t xml:space="preserve">Электроплита (газовая плита) для приготовления флотационных растворов</w:t>
            </w:r>
          </w:p>
        </w:tc>
        <w:tc>
          <w:tcPr>
            <w:tcW w:w="0" w:type="auto"/>
          </w:tcPr>
          <w:p>
            <w:pPr>
              <w:pStyle w:val="TablCenter"/>
            </w:pPr>
            <w:r>
              <w:rPr>
                <w:rFonts w:ascii="Times New Roman" w:hAnsi="Times New Roman"/>
                <w:sz w:val="28"/>
                <w:szCs w:val="28"/>
              </w:rPr>
              <w:t xml:space="preserve">-</w:t>
            </w:r>
          </w:p>
        </w:tc>
      </w:tr>
      <w:tr>
        <w:tc>
          <w:tcPr>
            <w:tcW w:w="0" w:type="auto"/>
            <w:gridSpan w:val="2"/>
            <w:shd w:val="clear" w:fill="F2F2F2"/>
          </w:tcPr>
          <w:p>
            <w:pPr>
              <w:pStyle w:val="TablCenter"/>
              <w:rPr>
                <w:b/>
              </w:rPr>
            </w:pPr>
            <w:r>
              <w:rPr>
                <w:rFonts w:ascii="Times New Roman" w:hAnsi="Times New Roman"/>
                <w:b/>
                <w:sz w:val="28"/>
                <w:szCs w:val="28"/>
              </w:rPr>
              <w:t xml:space="preserve">Примечание. Допускается применение приборов отечественных и зарубежных производителей с аналогичными или лучшими характеристиками, разрешенных к применению в установленном порядке.</w:t>
            </w:r>
          </w:p>
        </w:tc>
      </w:tr>
      <w:tr>
        <w:tc>
          <w:tcPr>
            <w:tcW w:w="0" w:type="auto"/>
          </w:tcPr>
          <w:p>
            <w:pPr>
              <w:pStyle w:val="TablCenter"/>
            </w:pPr>
            <w:r>
              <w:rPr>
                <w:rFonts w:ascii="Times New Roman" w:hAnsi="Times New Roman"/>
                <w:sz w:val="28"/>
                <w:szCs w:val="28"/>
              </w:rPr>
              <w:t xml:space="preserve">Электромешалка; шкаф сушильный лабораторный 0–105 °С (±2 °С); столик нагревательный к микроскопу (столик Морозова); эксикаторы с притёртой крышкой; петли металлические паразитологические диаметром 8–9 мм; прибор для уравновешивания центрифужных пробирок вместимостью 10–100 см³</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Камеры счётные Горяева и ВИГИС с покровными стёклами; пипетки Пастера</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Водяная баня (или термостат-баня) с регулированием температуры до плюс 60 °С</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Смеситель (мешалка) лабораторный или шейкер для гомогенизации проб навоза</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Микроскоп бинокулярный с объективом ×100 с иммерсией (для окраски по Цилю–Нильсену)</w:t>
            </w:r>
          </w:p>
        </w:tc>
        <w:tc>
          <w:tcPr>
            <w:tcW w:w="0" w:type="auto"/>
          </w:tcPr>
          <w:p>
            <w:pPr>
              <w:pStyle w:val="TablCenter"/>
            </w:pPr>
            <w:r>
              <w:rPr>
                <w:rFonts w:ascii="Times New Roman" w:hAnsi="Times New Roman"/>
                <w:sz w:val="28"/>
                <w:szCs w:val="28"/>
              </w:rPr>
              <w:t xml:space="preserve">—</w:t>
            </w:r>
          </w:p>
        </w:tc>
      </w:tr>
    </w:tbl>
    <w:p>
      <w:pPr>
        <w:spacing w:after="60"/>
      </w:pPr>
    </w:p>
    <w:p>
      <w:pPr>
        <w:pStyle w:val="Zagtab"/>
      </w:pPr>
      <w:r>
        <w:rPr>
          <w:rFonts w:ascii="Times New Roman" w:hAnsi="Times New Roman"/>
          <w:sz w:val="28"/>
          <w:szCs w:val="28"/>
        </w:rPr>
        <w:t xml:space="preserve">Таблица 3 — Лабораторная посуда и материалы для проведения исследований санитарно-паразитологическими методами (п. 4.1–5.7)</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4513"/>
        <w:gridCol w:w="4513"/>
      </w:tblGrid>
      <w:tr>
        <w:tc>
          <w:tcPr>
            <w:tcW w:w="0" w:type="auto"/>
          </w:tcPr>
          <w:p>
            <w:pPr>
              <w:pStyle w:val="TablCenter"/>
              <w:rPr>
                <w:b/>
              </w:rPr>
            </w:pPr>
            <w:r>
              <w:rPr>
                <w:rFonts w:ascii="Times New Roman" w:hAnsi="Times New Roman"/>
                <w:b/>
                <w:sz w:val="28"/>
                <w:szCs w:val="28"/>
              </w:rPr>
              <w:t xml:space="preserve">Наименование материалов</w:t>
            </w:r>
          </w:p>
        </w:tc>
        <w:tc>
          <w:tcPr>
            <w:tcW w:w="0" w:type="auto"/>
          </w:tcPr>
          <w:p>
            <w:pPr>
              <w:pStyle w:val="TablCenter"/>
              <w:rPr>
                <w:b/>
              </w:rPr>
            </w:pPr>
            <w:r>
              <w:rPr>
                <w:rFonts w:ascii="Times New Roman" w:hAnsi="Times New Roman"/>
                <w:b/>
                <w:sz w:val="28"/>
                <w:szCs w:val="28"/>
              </w:rPr>
              <w:t xml:space="preserve">Обозначение и наименование документов, технические характеристики</w:t>
            </w:r>
          </w:p>
        </w:tc>
      </w:tr>
      <w:tr>
        <w:tc>
          <w:tcPr>
            <w:tcW w:w="0" w:type="auto"/>
          </w:tcPr>
          <w:p>
            <w:pPr>
              <w:pStyle w:val="TablCenter"/>
            </w:pPr>
            <w:r>
              <w:rPr>
                <w:rFonts w:ascii="Times New Roman" w:hAnsi="Times New Roman"/>
                <w:sz w:val="28"/>
                <w:szCs w:val="28"/>
              </w:rPr>
              <w:t xml:space="preserve">Стаканы стеклянные высокие с носиком (ВН) номинальной вместимостью 50–100 мл</w:t>
            </w:r>
          </w:p>
        </w:tc>
        <w:tc>
          <w:tcPr>
            <w:tcW w:w="0" w:type="auto"/>
          </w:tcPr>
          <w:p>
            <w:pPr>
              <w:pStyle w:val="TablCenter"/>
            </w:pPr>
            <w:r>
              <w:rPr>
                <w:rFonts w:ascii="Times New Roman" w:hAnsi="Times New Roman"/>
                <w:sz w:val="28"/>
                <w:szCs w:val="28"/>
              </w:rPr>
              <w:t xml:space="preserve">ГОСТ 1770 (типы ВН/В — по ГОСТ 25336)</w:t>
            </w:r>
          </w:p>
        </w:tc>
      </w:tr>
      <w:tr>
        <w:tc>
          <w:tcPr>
            <w:tcW w:w="0" w:type="auto"/>
          </w:tcPr>
          <w:p>
            <w:pPr>
              <w:pStyle w:val="TablCenter"/>
            </w:pPr>
            <w:r>
              <w:rPr>
                <w:rFonts w:ascii="Times New Roman" w:hAnsi="Times New Roman"/>
                <w:sz w:val="28"/>
                <w:szCs w:val="28"/>
              </w:rPr>
              <w:t xml:space="preserve">Стаканы стеклянные высокие без носика, вместимостью 250 мл; 500 мл; 1000 мл</w:t>
            </w:r>
          </w:p>
        </w:tc>
        <w:tc>
          <w:tcPr>
            <w:tcW w:w="0" w:type="auto"/>
          </w:tcPr>
          <w:p>
            <w:pPr>
              <w:pStyle w:val="TablCenter"/>
            </w:pPr>
            <w:r>
              <w:rPr>
                <w:rFonts w:ascii="Times New Roman" w:hAnsi="Times New Roman"/>
                <w:sz w:val="28"/>
                <w:szCs w:val="28"/>
              </w:rPr>
              <w:t xml:space="preserve">ГОСТ 25336</w:t>
            </w:r>
          </w:p>
        </w:tc>
      </w:tr>
      <w:tr>
        <w:tc>
          <w:tcPr>
            <w:tcW w:w="0" w:type="auto"/>
          </w:tcPr>
          <w:p>
            <w:pPr>
              <w:pStyle w:val="TablCenter"/>
            </w:pPr>
            <w:r>
              <w:rPr>
                <w:rFonts w:ascii="Times New Roman" w:hAnsi="Times New Roman"/>
                <w:sz w:val="28"/>
                <w:szCs w:val="28"/>
              </w:rPr>
              <w:t xml:space="preserve">Пробирки центрифужные градуированные (ПЦГ) емкостью 10 мл</w:t>
            </w:r>
          </w:p>
        </w:tc>
        <w:tc>
          <w:tcPr>
            <w:tcW w:w="0" w:type="auto"/>
          </w:tcPr>
          <w:p>
            <w:pPr>
              <w:pStyle w:val="TablCenter"/>
            </w:pPr>
            <w:r>
              <w:rPr>
                <w:rFonts w:ascii="Times New Roman" w:hAnsi="Times New Roman"/>
                <w:sz w:val="28"/>
                <w:szCs w:val="28"/>
              </w:rPr>
              <w:t xml:space="preserve">ГОСТ 1770</w:t>
            </w:r>
          </w:p>
        </w:tc>
      </w:tr>
      <w:tr>
        <w:tc>
          <w:tcPr>
            <w:tcW w:w="0" w:type="auto"/>
          </w:tcPr>
          <w:p>
            <w:pPr>
              <w:pStyle w:val="TablCenter"/>
            </w:pPr>
            <w:r>
              <w:rPr>
                <w:rFonts w:ascii="Times New Roman" w:hAnsi="Times New Roman"/>
                <w:sz w:val="28"/>
                <w:szCs w:val="28"/>
              </w:rPr>
              <w:t xml:space="preserve">Пробирки центрифужные емкостью 80–100 мл, 250 мл или градуированные контейнеры одноразовые медицинские (биологические) полимерные объемом 80, 100, 125 мл</w:t>
            </w:r>
          </w:p>
        </w:tc>
        <w:tc>
          <w:tcPr>
            <w:tcW w:w="0" w:type="auto"/>
          </w:tcPr>
          <w:p>
            <w:pPr>
              <w:pStyle w:val="TablCenter"/>
            </w:pPr>
            <w:r>
              <w:rPr>
                <w:rFonts w:ascii="Times New Roman" w:hAnsi="Times New Roman"/>
                <w:sz w:val="28"/>
                <w:szCs w:val="28"/>
              </w:rPr>
              <w:t xml:space="preserve">Входящие в комплект центрифуг или подходящие для адаптеров используемых центрифуг</w:t>
            </w:r>
          </w:p>
        </w:tc>
      </w:tr>
      <w:tr>
        <w:tc>
          <w:tcPr>
            <w:tcW w:w="0" w:type="auto"/>
          </w:tcPr>
          <w:p>
            <w:pPr>
              <w:pStyle w:val="TablCenter"/>
            </w:pPr>
            <w:r>
              <w:rPr>
                <w:rFonts w:ascii="Times New Roman" w:hAnsi="Times New Roman"/>
                <w:sz w:val="28"/>
                <w:szCs w:val="28"/>
              </w:rPr>
              <w:t xml:space="preserve">Пробирки центрифужные (конические) 10–15 мл с винтовой крышкой градуированные, полипропилен</w:t>
            </w:r>
          </w:p>
        </w:tc>
        <w:tc>
          <w:tcPr>
            <w:tcW w:w="0" w:type="auto"/>
          </w:tcPr>
          <w:p>
            <w:pPr>
              <w:pStyle w:val="TablCenter"/>
            </w:pPr>
            <w:r>
              <w:rPr>
                <w:rFonts w:ascii="Times New Roman" w:hAnsi="Times New Roman"/>
                <w:sz w:val="28"/>
                <w:szCs w:val="28"/>
              </w:rPr>
              <w:t xml:space="preserve">ТУ 9464-015-29508133-2014</w:t>
            </w:r>
          </w:p>
        </w:tc>
      </w:tr>
      <w:tr>
        <w:tc>
          <w:tcPr>
            <w:tcW w:w="0" w:type="auto"/>
          </w:tcPr>
          <w:p>
            <w:pPr>
              <w:pStyle w:val="TablCenter"/>
            </w:pPr>
            <w:r>
              <w:rPr>
                <w:rFonts w:ascii="Times New Roman" w:hAnsi="Times New Roman"/>
                <w:sz w:val="28"/>
                <w:szCs w:val="28"/>
              </w:rPr>
              <w:t xml:space="preserve">Мембранные фильтры для санитарно-паразитологических исследований на основе ацетатов целлюлозы типа МФАС-СПА (поры 1,5–3,0 мкм), МФАС-П-4 (поры 2,4–4,5 мкм)</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Стекла предметные размером 25 × 75 мм; 60 × 120 мм; 70 × 70 мм; 100 × 60 мм; 100 × 100 мм; 24 × 50 мм и иные размерами не менее диаметра используемых пробирок или контейнеров</w:t>
            </w:r>
          </w:p>
        </w:tc>
        <w:tc>
          <w:tcPr>
            <w:tcW w:w="0" w:type="auto"/>
          </w:tcPr>
          <w:p>
            <w:pPr>
              <w:pStyle w:val="TablCenter"/>
            </w:pPr>
            <w:r>
              <w:rPr>
                <w:rFonts w:ascii="Times New Roman" w:hAnsi="Times New Roman"/>
                <w:sz w:val="28"/>
                <w:szCs w:val="28"/>
              </w:rPr>
              <w:t xml:space="preserve">ГОСТ 9284</w:t>
            </w:r>
          </w:p>
        </w:tc>
      </w:tr>
      <w:tr>
        <w:tc>
          <w:tcPr>
            <w:tcW w:w="0" w:type="auto"/>
          </w:tcPr>
          <w:p>
            <w:pPr>
              <w:pStyle w:val="TablCenter"/>
            </w:pPr>
            <w:r>
              <w:rPr>
                <w:rFonts w:ascii="Times New Roman" w:hAnsi="Times New Roman"/>
                <w:sz w:val="28"/>
                <w:szCs w:val="28"/>
              </w:rPr>
              <w:t xml:space="preserve">Стекла покровные размером 18 × 18; 24 × 24 мм; 24 × 50 мм</w:t>
            </w:r>
          </w:p>
        </w:tc>
        <w:tc>
          <w:tcPr>
            <w:tcW w:w="0" w:type="auto"/>
          </w:tcPr>
          <w:p>
            <w:pPr>
              <w:pStyle w:val="TablCenter"/>
            </w:pPr>
            <w:r>
              <w:rPr>
                <w:rFonts w:ascii="Times New Roman" w:hAnsi="Times New Roman"/>
                <w:sz w:val="28"/>
                <w:szCs w:val="28"/>
              </w:rPr>
              <w:t xml:space="preserve">ГОСТ 6672</w:t>
            </w:r>
          </w:p>
        </w:tc>
      </w:tr>
      <w:tr>
        <w:tc>
          <w:tcPr>
            <w:tcW w:w="0" w:type="auto"/>
          </w:tcPr>
          <w:p>
            <w:pPr>
              <w:pStyle w:val="TablCenter"/>
            </w:pPr>
            <w:r>
              <w:rPr>
                <w:rFonts w:ascii="Times New Roman" w:hAnsi="Times New Roman"/>
                <w:sz w:val="28"/>
                <w:szCs w:val="28"/>
              </w:rPr>
              <w:t xml:space="preserve">Чашки биологические Петри (тип ЧБН)</w:t>
            </w:r>
          </w:p>
        </w:tc>
        <w:tc>
          <w:tcPr>
            <w:tcW w:w="0" w:type="auto"/>
          </w:tcPr>
          <w:p>
            <w:pPr>
              <w:pStyle w:val="TablCenter"/>
            </w:pPr>
            <w:r>
              <w:rPr>
                <w:rFonts w:ascii="Times New Roman" w:hAnsi="Times New Roman"/>
                <w:sz w:val="28"/>
                <w:szCs w:val="28"/>
              </w:rPr>
              <w:t xml:space="preserve">типы и основные параметры и размеры — ГОСТ 25336; общие технические условия — ГОСТ 23932</w:t>
            </w:r>
          </w:p>
        </w:tc>
      </w:tr>
      <w:tr>
        <w:tc>
          <w:tcPr>
            <w:tcW w:w="0" w:type="auto"/>
          </w:tcPr>
          <w:p>
            <w:pPr>
              <w:pStyle w:val="TablCenter"/>
            </w:pPr>
            <w:r>
              <w:rPr>
                <w:rFonts w:ascii="Times New Roman" w:hAnsi="Times New Roman"/>
                <w:sz w:val="28"/>
                <w:szCs w:val="28"/>
              </w:rPr>
              <w:t xml:space="preserve">Колбы 2–50–2, 2–100–2, 1–1000 мл</w:t>
            </w:r>
          </w:p>
        </w:tc>
        <w:tc>
          <w:tcPr>
            <w:tcW w:w="0" w:type="auto"/>
          </w:tcPr>
          <w:p>
            <w:pPr>
              <w:pStyle w:val="TablCenter"/>
            </w:pPr>
            <w:r>
              <w:rPr>
                <w:rFonts w:ascii="Times New Roman" w:hAnsi="Times New Roman"/>
                <w:sz w:val="28"/>
                <w:szCs w:val="28"/>
              </w:rPr>
              <w:t xml:space="preserve">ГОСТ 1770</w:t>
            </w:r>
          </w:p>
        </w:tc>
      </w:tr>
      <w:tr>
        <w:tc>
          <w:tcPr>
            <w:tcW w:w="0" w:type="auto"/>
          </w:tcPr>
          <w:p>
            <w:pPr>
              <w:pStyle w:val="TablCenter"/>
            </w:pPr>
            <w:r>
              <w:rPr>
                <w:rFonts w:ascii="Times New Roman" w:hAnsi="Times New Roman"/>
                <w:sz w:val="28"/>
                <w:szCs w:val="28"/>
              </w:rPr>
              <w:t xml:space="preserve">Цилиндры градуированные с носиком на 1,5–2,0 л</w:t>
            </w:r>
          </w:p>
        </w:tc>
        <w:tc>
          <w:tcPr>
            <w:tcW w:w="0" w:type="auto"/>
          </w:tcPr>
          <w:p>
            <w:pPr>
              <w:pStyle w:val="TablCenter"/>
            </w:pPr>
            <w:r>
              <w:rPr>
                <w:rFonts w:ascii="Times New Roman" w:hAnsi="Times New Roman"/>
                <w:sz w:val="28"/>
                <w:szCs w:val="28"/>
              </w:rPr>
              <w:t xml:space="preserve">ГОСТ 1770</w:t>
            </w:r>
          </w:p>
        </w:tc>
      </w:tr>
      <w:tr>
        <w:tc>
          <w:tcPr>
            <w:tcW w:w="0" w:type="auto"/>
          </w:tcPr>
          <w:p>
            <w:pPr>
              <w:pStyle w:val="TablCenter"/>
            </w:pPr>
            <w:r>
              <w:rPr>
                <w:rFonts w:ascii="Times New Roman" w:hAnsi="Times New Roman"/>
                <w:sz w:val="28"/>
                <w:szCs w:val="28"/>
              </w:rPr>
              <w:t xml:space="preserve">Лотки различного размера из нержавеющей стали или других материалов</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Стеклянные воронки разных размеров, в том числе воронки для марлевых фильтров</w:t>
            </w:r>
          </w:p>
        </w:tc>
        <w:tc>
          <w:tcPr>
            <w:tcW w:w="0" w:type="auto"/>
          </w:tcPr>
          <w:p>
            <w:pPr>
              <w:pStyle w:val="TablCenter"/>
            </w:pPr>
            <w:r>
              <w:rPr>
                <w:rFonts w:ascii="Times New Roman" w:hAnsi="Times New Roman"/>
                <w:sz w:val="28"/>
                <w:szCs w:val="28"/>
              </w:rPr>
              <w:t xml:space="preserve">ГОСТ 25336</w:t>
            </w:r>
          </w:p>
        </w:tc>
      </w:tr>
      <w:tr>
        <w:tc>
          <w:tcPr>
            <w:tcW w:w="0" w:type="auto"/>
          </w:tcPr>
          <w:p>
            <w:pPr>
              <w:pStyle w:val="TablCenter"/>
            </w:pPr>
            <w:r>
              <w:rPr>
                <w:rFonts w:ascii="Times New Roman" w:hAnsi="Times New Roman"/>
                <w:sz w:val="28"/>
                <w:szCs w:val="28"/>
              </w:rPr>
              <w:t xml:space="preserve">Стёкла часовые разных размеров</w:t>
            </w:r>
          </w:p>
        </w:tc>
        <w:tc>
          <w:tcPr>
            <w:tcW w:w="0" w:type="auto"/>
          </w:tcPr>
          <w:p>
            <w:pPr>
              <w:pStyle w:val="TablCenter"/>
            </w:pPr>
            <w:r>
              <w:rPr>
                <w:rFonts w:ascii="Times New Roman" w:hAnsi="Times New Roman"/>
                <w:sz w:val="28"/>
                <w:szCs w:val="28"/>
              </w:rPr>
              <w:t xml:space="preserve">ГОСТ 23932</w:t>
            </w:r>
          </w:p>
        </w:tc>
      </w:tr>
      <w:tr>
        <w:tc>
          <w:tcPr>
            <w:tcW w:w="0" w:type="auto"/>
          </w:tcPr>
          <w:p>
            <w:pPr>
              <w:pStyle w:val="TablCenter"/>
            </w:pPr>
            <w:r>
              <w:rPr>
                <w:rFonts w:ascii="Times New Roman" w:hAnsi="Times New Roman"/>
                <w:sz w:val="28"/>
                <w:szCs w:val="28"/>
              </w:rPr>
              <w:t xml:space="preserve">Стеклянные палочки</w:t>
            </w:r>
          </w:p>
        </w:tc>
        <w:tc>
          <w:tcPr>
            <w:tcW w:w="0" w:type="auto"/>
          </w:tcPr>
          <w:p>
            <w:pPr>
              <w:pStyle w:val="TablCenter"/>
            </w:pPr>
            <w:r>
              <w:rPr>
                <w:rFonts w:ascii="Times New Roman" w:hAnsi="Times New Roman"/>
                <w:sz w:val="28"/>
                <w:szCs w:val="28"/>
              </w:rPr>
              <w:t xml:space="preserve">ГОСТ 27460</w:t>
            </w:r>
          </w:p>
        </w:tc>
      </w:tr>
      <w:tr>
        <w:tc>
          <w:tcPr>
            <w:tcW w:w="0" w:type="auto"/>
          </w:tcPr>
          <w:p>
            <w:pPr>
              <w:pStyle w:val="TablCenter"/>
            </w:pPr>
            <w:r>
              <w:rPr>
                <w:rFonts w:ascii="Times New Roman" w:hAnsi="Times New Roman"/>
                <w:sz w:val="28"/>
                <w:szCs w:val="28"/>
              </w:rPr>
              <w:t xml:space="preserve">Пипетки градуированные от 1 до 10 мл</w:t>
            </w:r>
          </w:p>
        </w:tc>
        <w:tc>
          <w:tcPr>
            <w:tcW w:w="0" w:type="auto"/>
          </w:tcPr>
          <w:p>
            <w:pPr>
              <w:pStyle w:val="TablCenter"/>
            </w:pPr>
            <w:r>
              <w:rPr>
                <w:rFonts w:ascii="Times New Roman" w:hAnsi="Times New Roman"/>
                <w:sz w:val="28"/>
                <w:szCs w:val="28"/>
              </w:rPr>
              <w:t xml:space="preserve">ГОСТ 1770</w:t>
            </w:r>
          </w:p>
        </w:tc>
      </w:tr>
      <w:tr>
        <w:tc>
          <w:tcPr>
            <w:tcW w:w="0" w:type="auto"/>
          </w:tcPr>
          <w:p>
            <w:pPr>
              <w:pStyle w:val="TablCenter"/>
            </w:pPr>
            <w:r>
              <w:rPr>
                <w:rFonts w:ascii="Times New Roman" w:hAnsi="Times New Roman"/>
                <w:sz w:val="28"/>
                <w:szCs w:val="28"/>
              </w:rPr>
              <w:t xml:space="preserve">Пробирки химические П–1–10–0,1 мл</w:t>
            </w:r>
          </w:p>
        </w:tc>
        <w:tc>
          <w:tcPr>
            <w:tcW w:w="0" w:type="auto"/>
          </w:tcPr>
          <w:p>
            <w:pPr>
              <w:pStyle w:val="TablCenter"/>
            </w:pPr>
            <w:r>
              <w:rPr>
                <w:rFonts w:ascii="Times New Roman" w:hAnsi="Times New Roman"/>
                <w:sz w:val="28"/>
                <w:szCs w:val="28"/>
              </w:rPr>
              <w:t xml:space="preserve">ГОСТ 1770</w:t>
            </w:r>
          </w:p>
        </w:tc>
      </w:tr>
      <w:tr>
        <w:tc>
          <w:tcPr>
            <w:tcW w:w="0" w:type="auto"/>
          </w:tcPr>
          <w:p>
            <w:pPr>
              <w:pStyle w:val="TablCenter"/>
            </w:pPr>
            <w:r>
              <w:rPr>
                <w:rFonts w:ascii="Times New Roman" w:hAnsi="Times New Roman"/>
                <w:sz w:val="28"/>
                <w:szCs w:val="28"/>
              </w:rPr>
              <w:t xml:space="preserve">Ступки и пестики разные: ступки №№ 3, 4, 5, 6, 7; пестики №№ 2, 3, 4</w:t>
            </w:r>
          </w:p>
        </w:tc>
        <w:tc>
          <w:tcPr>
            <w:tcW w:w="0" w:type="auto"/>
          </w:tcPr>
          <w:p>
            <w:pPr>
              <w:pStyle w:val="TablCenter"/>
            </w:pPr>
            <w:r>
              <w:rPr>
                <w:rFonts w:ascii="Times New Roman" w:hAnsi="Times New Roman"/>
                <w:sz w:val="28"/>
                <w:szCs w:val="28"/>
              </w:rPr>
              <w:t xml:space="preserve">ГОСТ 9147</w:t>
            </w:r>
          </w:p>
        </w:tc>
      </w:tr>
      <w:tr>
        <w:tc>
          <w:tcPr>
            <w:tcW w:w="0" w:type="auto"/>
          </w:tcPr>
          <w:p>
            <w:pPr>
              <w:pStyle w:val="TablCenter"/>
            </w:pPr>
            <w:r>
              <w:rPr>
                <w:rFonts w:ascii="Times New Roman" w:hAnsi="Times New Roman"/>
                <w:sz w:val="28"/>
                <w:szCs w:val="28"/>
              </w:rPr>
              <w:t xml:space="preserve">Мензурки на 100; 250; 500; 1000 мл</w:t>
            </w:r>
          </w:p>
        </w:tc>
        <w:tc>
          <w:tcPr>
            <w:tcW w:w="0" w:type="auto"/>
          </w:tcPr>
          <w:p>
            <w:pPr>
              <w:pStyle w:val="TablCenter"/>
            </w:pPr>
            <w:r>
              <w:rPr>
                <w:rFonts w:ascii="Times New Roman" w:hAnsi="Times New Roman"/>
                <w:sz w:val="28"/>
                <w:szCs w:val="28"/>
              </w:rPr>
              <w:t xml:space="preserve">ГОСТ 1770</w:t>
            </w:r>
          </w:p>
        </w:tc>
      </w:tr>
      <w:tr>
        <w:tc>
          <w:tcPr>
            <w:tcW w:w="0" w:type="auto"/>
          </w:tcPr>
          <w:p>
            <w:pPr>
              <w:pStyle w:val="TablCenter"/>
            </w:pPr>
            <w:r>
              <w:rPr>
                <w:rFonts w:ascii="Times New Roman" w:hAnsi="Times New Roman"/>
                <w:sz w:val="28"/>
                <w:szCs w:val="28"/>
              </w:rPr>
              <w:t xml:space="preserve">Прозрачные аналитические трековые мембраны (АТМ)</w:t>
            </w:r>
          </w:p>
        </w:tc>
        <w:tc>
          <w:tcPr>
            <w:tcW w:w="0" w:type="auto"/>
          </w:tcPr>
          <w:p>
            <w:pPr>
              <w:pStyle w:val="TablCenter"/>
            </w:pPr>
            <w:r>
              <w:rPr>
                <w:rFonts w:ascii="Times New Roman" w:hAnsi="Times New Roman"/>
                <w:sz w:val="28"/>
                <w:szCs w:val="28"/>
              </w:rPr>
              <w:t xml:space="preserve">С диаметром пор 2,5–5,0 мкм</w:t>
            </w:r>
          </w:p>
        </w:tc>
      </w:tr>
      <w:tr>
        <w:tc>
          <w:tcPr>
            <w:tcW w:w="0" w:type="auto"/>
          </w:tcPr>
          <w:p>
            <w:pPr>
              <w:pStyle w:val="TablCenter"/>
            </w:pPr>
            <w:r>
              <w:rPr>
                <w:rFonts w:ascii="Times New Roman" w:hAnsi="Times New Roman"/>
                <w:sz w:val="28"/>
                <w:szCs w:val="28"/>
              </w:rPr>
              <w:t xml:space="preserve">Порошковый фильтр гидробиологический (ПГФ)</w:t>
            </w:r>
          </w:p>
        </w:tc>
        <w:tc>
          <w:tcPr>
            <w:tcW w:w="0" w:type="auto"/>
          </w:tcPr>
          <w:p>
            <w:pPr>
              <w:pStyle w:val="TablCenter"/>
            </w:pPr>
            <w:r>
              <w:rPr>
                <w:rFonts w:ascii="Times New Roman" w:hAnsi="Times New Roman"/>
                <w:sz w:val="28"/>
                <w:szCs w:val="28"/>
              </w:rPr>
              <w:t xml:space="preserve">Входящий в комплект прибора типа ПробоКонг и его модификации</w:t>
            </w:r>
          </w:p>
        </w:tc>
      </w:tr>
      <w:tr>
        <w:tc>
          <w:tcPr>
            <w:tcW w:w="0" w:type="auto"/>
          </w:tcPr>
          <w:p>
            <w:pPr>
              <w:pStyle w:val="TablCenter"/>
            </w:pPr>
            <w:r>
              <w:rPr>
                <w:rFonts w:ascii="Times New Roman" w:hAnsi="Times New Roman"/>
                <w:sz w:val="28"/>
                <w:szCs w:val="28"/>
              </w:rPr>
              <w:t xml:space="preserve">Предфильтр</w:t>
            </w:r>
          </w:p>
        </w:tc>
        <w:tc>
          <w:tcPr>
            <w:tcW w:w="0" w:type="auto"/>
          </w:tcPr>
          <w:p>
            <w:pPr>
              <w:pStyle w:val="TablCenter"/>
            </w:pPr>
            <w:r>
              <w:rPr>
                <w:rFonts w:ascii="Times New Roman" w:hAnsi="Times New Roman"/>
                <w:sz w:val="28"/>
                <w:szCs w:val="28"/>
              </w:rPr>
              <w:t xml:space="preserve">Диаметр пор 60–70 мкм</w:t>
            </w:r>
          </w:p>
        </w:tc>
      </w:tr>
      <w:tr>
        <w:tc>
          <w:tcPr>
            <w:tcW w:w="0" w:type="auto"/>
          </w:tcPr>
          <w:p>
            <w:pPr>
              <w:pStyle w:val="TablCenter"/>
            </w:pPr>
            <w:r>
              <w:rPr>
                <w:rFonts w:ascii="Times New Roman" w:hAnsi="Times New Roman"/>
                <w:sz w:val="28"/>
                <w:szCs w:val="28"/>
              </w:rPr>
              <w:t xml:space="preserve">Предфильтр</w:t>
            </w:r>
          </w:p>
        </w:tc>
        <w:tc>
          <w:tcPr>
            <w:tcW w:w="0" w:type="auto"/>
          </w:tcPr>
          <w:p>
            <w:pPr>
              <w:pStyle w:val="TablCenter"/>
            </w:pPr>
            <w:r>
              <w:rPr>
                <w:rFonts w:ascii="Times New Roman" w:hAnsi="Times New Roman"/>
                <w:sz w:val="28"/>
                <w:szCs w:val="28"/>
              </w:rPr>
              <w:t xml:space="preserve">Диаметр пор 25 мкм</w:t>
            </w:r>
          </w:p>
        </w:tc>
      </w:tr>
      <w:tr>
        <w:tc>
          <w:tcPr>
            <w:tcW w:w="0" w:type="auto"/>
          </w:tcPr>
          <w:p>
            <w:pPr>
              <w:pStyle w:val="TablCenter"/>
            </w:pPr>
            <w:r>
              <w:rPr>
                <w:rFonts w:ascii="Times New Roman" w:hAnsi="Times New Roman"/>
                <w:sz w:val="28"/>
                <w:szCs w:val="28"/>
              </w:rPr>
              <w:t xml:space="preserve">Иглы препаровальные</w:t>
            </w:r>
          </w:p>
        </w:tc>
        <w:tc>
          <w:tcPr>
            <w:tcW w:w="0" w:type="auto"/>
          </w:tcPr>
          <w:p>
            <w:pPr>
              <w:pStyle w:val="TablCenter"/>
            </w:pPr>
            <w:r>
              <w:rPr>
                <w:rFonts w:ascii="Times New Roman" w:hAnsi="Times New Roman"/>
                <w:sz w:val="28"/>
                <w:szCs w:val="28"/>
              </w:rPr>
              <w:t xml:space="preserve">ТУ производителя</w:t>
            </w:r>
          </w:p>
        </w:tc>
      </w:tr>
      <w:tr>
        <w:tc>
          <w:tcPr>
            <w:tcW w:w="0" w:type="auto"/>
          </w:tcPr>
          <w:p>
            <w:pPr>
              <w:pStyle w:val="TablCenter"/>
            </w:pPr>
            <w:r>
              <w:rPr>
                <w:rFonts w:ascii="Times New Roman" w:hAnsi="Times New Roman"/>
                <w:sz w:val="28"/>
                <w:szCs w:val="28"/>
              </w:rPr>
              <w:t xml:space="preserve">Калька</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Пергамент растительный</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Кисти жесткие (из щетины) и мягкие (из волоса белки, колонка или соболя) для живописи</w:t>
            </w:r>
          </w:p>
        </w:tc>
        <w:tc>
          <w:tcPr>
            <w:tcW w:w="0" w:type="auto"/>
          </w:tcPr>
          <w:p>
            <w:pPr>
              <w:pStyle w:val="TablCenter"/>
            </w:pPr>
            <w:r>
              <w:rPr>
                <w:rFonts w:ascii="Times New Roman" w:hAnsi="Times New Roman"/>
                <w:sz w:val="28"/>
                <w:szCs w:val="28"/>
              </w:rPr>
              <w:t xml:space="preserve">№ 10 или № 12 (унифицировано с Табл. 1)</w:t>
            </w:r>
          </w:p>
        </w:tc>
      </w:tr>
      <w:tr>
        <w:tc>
          <w:tcPr>
            <w:tcW w:w="0" w:type="auto"/>
          </w:tcPr>
          <w:p>
            <w:pPr>
              <w:pStyle w:val="TablCenter"/>
            </w:pPr>
            <w:r>
              <w:rPr>
                <w:rFonts w:ascii="Times New Roman" w:hAnsi="Times New Roman"/>
                <w:sz w:val="28"/>
                <w:szCs w:val="28"/>
              </w:rPr>
              <w:t xml:space="preserve">Клеенка, полиэтиленовая плёнка, оберточная бумага для составления объединённых проб</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Кюветы эмалированные разных размеров</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Кристаллизаторы стеклянные</w:t>
            </w:r>
          </w:p>
        </w:tc>
        <w:tc>
          <w:tcPr>
            <w:tcW w:w="0" w:type="auto"/>
          </w:tcPr>
          <w:p>
            <w:pPr>
              <w:pStyle w:val="TablCenter"/>
            </w:pPr>
            <w:r>
              <w:rPr>
                <w:rFonts w:ascii="Times New Roman" w:hAnsi="Times New Roman"/>
                <w:sz w:val="28"/>
                <w:szCs w:val="28"/>
              </w:rPr>
              <w:t xml:space="preserve">ГОСТ 25336</w:t>
            </w:r>
          </w:p>
        </w:tc>
      </w:tr>
      <w:tr>
        <w:tc>
          <w:tcPr>
            <w:tcW w:w="0" w:type="auto"/>
          </w:tcPr>
          <w:p>
            <w:pPr>
              <w:pStyle w:val="TablCenter"/>
            </w:pPr>
            <w:r>
              <w:rPr>
                <w:rFonts w:ascii="Times New Roman" w:hAnsi="Times New Roman"/>
                <w:sz w:val="28"/>
                <w:szCs w:val="28"/>
              </w:rPr>
              <w:t xml:space="preserve">Маркер по стеклу и фарфору; стеклограф</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Ножницы анатомические разных размеров</w:t>
            </w:r>
          </w:p>
        </w:tc>
        <w:tc>
          <w:tcPr>
            <w:tcW w:w="0" w:type="auto"/>
          </w:tcPr>
          <w:p>
            <w:pPr>
              <w:pStyle w:val="TablCenter"/>
            </w:pPr>
            <w:r>
              <w:rPr>
                <w:rFonts w:ascii="Times New Roman" w:hAnsi="Times New Roman"/>
                <w:sz w:val="28"/>
                <w:szCs w:val="28"/>
              </w:rPr>
              <w:t xml:space="preserve">ГОСТ 21239</w:t>
            </w:r>
          </w:p>
        </w:tc>
      </w:tr>
      <w:tr>
        <w:tc>
          <w:tcPr>
            <w:tcW w:w="0" w:type="auto"/>
          </w:tcPr>
          <w:p>
            <w:pPr>
              <w:pStyle w:val="TablCenter"/>
            </w:pPr>
            <w:r>
              <w:rPr>
                <w:rFonts w:ascii="Times New Roman" w:hAnsi="Times New Roman"/>
                <w:sz w:val="28"/>
                <w:szCs w:val="28"/>
              </w:rPr>
              <w:t xml:space="preserve">Пинцеты анатомические</w:t>
            </w:r>
          </w:p>
        </w:tc>
        <w:tc>
          <w:tcPr>
            <w:tcW w:w="0" w:type="auto"/>
          </w:tcPr>
          <w:p>
            <w:pPr>
              <w:pStyle w:val="TablCenter"/>
            </w:pPr>
            <w:r>
              <w:rPr>
                <w:rFonts w:ascii="Times New Roman" w:hAnsi="Times New Roman"/>
                <w:sz w:val="28"/>
                <w:szCs w:val="28"/>
              </w:rPr>
              <w:t xml:space="preserve">ГОСТ 21241</w:t>
            </w:r>
          </w:p>
        </w:tc>
      </w:tr>
      <w:tr>
        <w:tc>
          <w:tcPr>
            <w:tcW w:w="0" w:type="auto"/>
          </w:tcPr>
          <w:p>
            <w:pPr>
              <w:pStyle w:val="TablCenter"/>
            </w:pPr>
            <w:r>
              <w:rPr>
                <w:rFonts w:ascii="Times New Roman" w:hAnsi="Times New Roman"/>
                <w:sz w:val="28"/>
                <w:szCs w:val="28"/>
              </w:rPr>
              <w:t xml:space="preserve">Ситечки с металлической или капроновой сеткой (размер ячеек 0,25–0,3 мм), в том числе металлические и пластмассовые ситечки для фильтрования суспензий навоза</w:t>
            </w:r>
          </w:p>
        </w:tc>
        <w:tc>
          <w:tcPr>
            <w:tcW w:w="0" w:type="auto"/>
          </w:tcPr>
          <w:p>
            <w:pPr>
              <w:pStyle w:val="TablCenter"/>
            </w:pPr>
            <w:r>
              <w:rPr>
                <w:rFonts w:ascii="Times New Roman" w:hAnsi="Times New Roman"/>
                <w:sz w:val="28"/>
                <w:szCs w:val="28"/>
              </w:rPr>
              <w:t xml:space="preserve">ГОСТ 6613</w:t>
            </w:r>
          </w:p>
        </w:tc>
      </w:tr>
      <w:tr>
        <w:tc>
          <w:tcPr>
            <w:tcW w:w="0" w:type="auto"/>
          </w:tcPr>
          <w:p>
            <w:pPr>
              <w:pStyle w:val="TablCenter"/>
            </w:pPr>
            <w:r>
              <w:rPr>
                <w:rFonts w:ascii="Times New Roman" w:hAnsi="Times New Roman"/>
                <w:sz w:val="28"/>
                <w:szCs w:val="28"/>
              </w:rPr>
              <w:t xml:space="preserve">Сито лабораторное с размером ячейки 1 мм</w:t>
            </w:r>
          </w:p>
        </w:tc>
        <w:tc>
          <w:tcPr>
            <w:tcW w:w="0" w:type="auto"/>
          </w:tcPr>
          <w:p>
            <w:pPr>
              <w:pStyle w:val="TablCenter"/>
            </w:pPr>
            <w:r>
              <w:rPr>
                <w:rFonts w:ascii="Times New Roman" w:hAnsi="Times New Roman"/>
                <w:sz w:val="28"/>
                <w:szCs w:val="28"/>
              </w:rPr>
              <w:t xml:space="preserve">ГОСТ 6613</w:t>
            </w:r>
          </w:p>
        </w:tc>
      </w:tr>
      <w:tr>
        <w:tc>
          <w:tcPr>
            <w:tcW w:w="0" w:type="auto"/>
          </w:tcPr>
          <w:p>
            <w:pPr>
              <w:pStyle w:val="TablCenter"/>
            </w:pPr>
            <w:r>
              <w:rPr>
                <w:rFonts w:ascii="Times New Roman" w:hAnsi="Times New Roman"/>
                <w:sz w:val="28"/>
                <w:szCs w:val="28"/>
              </w:rPr>
              <w:t xml:space="preserve">Скальпели анатомические</w:t>
            </w:r>
          </w:p>
        </w:tc>
        <w:tc>
          <w:tcPr>
            <w:tcW w:w="0" w:type="auto"/>
          </w:tcPr>
          <w:p>
            <w:pPr>
              <w:pStyle w:val="TablCenter"/>
            </w:pPr>
            <w:r>
              <w:rPr>
                <w:rFonts w:ascii="Times New Roman" w:hAnsi="Times New Roman"/>
                <w:sz w:val="28"/>
                <w:szCs w:val="28"/>
              </w:rPr>
              <w:t xml:space="preserve">ГОСТ 21240</w:t>
            </w:r>
          </w:p>
        </w:tc>
      </w:tr>
      <w:tr>
        <w:tc>
          <w:tcPr>
            <w:tcW w:w="0" w:type="auto"/>
          </w:tcPr>
          <w:p>
            <w:pPr>
              <w:pStyle w:val="TablCenter"/>
            </w:pPr>
            <w:r>
              <w:rPr>
                <w:rFonts w:ascii="Times New Roman" w:hAnsi="Times New Roman"/>
                <w:sz w:val="28"/>
                <w:szCs w:val="28"/>
              </w:rPr>
              <w:t xml:space="preserve">Трубки резиновые или силиконовые для фильтрования проб воды с насадками (утяжелителями)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Фильтровальная бумага</w:t>
            </w:r>
          </w:p>
        </w:tc>
        <w:tc>
          <w:tcPr>
            <w:tcW w:w="0" w:type="auto"/>
          </w:tcPr>
          <w:p>
            <w:pPr>
              <w:pStyle w:val="TablCenter"/>
            </w:pPr>
            <w:r>
              <w:rPr>
                <w:rFonts w:ascii="Times New Roman" w:hAnsi="Times New Roman"/>
                <w:sz w:val="28"/>
                <w:szCs w:val="28"/>
              </w:rPr>
              <w:t xml:space="preserve">ГОСТ 12026</w:t>
            </w:r>
          </w:p>
        </w:tc>
      </w:tr>
      <w:tr>
        <w:tc>
          <w:tcPr>
            <w:tcW w:w="0" w:type="auto"/>
          </w:tcPr>
          <w:p>
            <w:pPr>
              <w:pStyle w:val="TablCenter"/>
            </w:pPr>
            <w:r>
              <w:rPr>
                <w:rFonts w:ascii="Times New Roman" w:hAnsi="Times New Roman"/>
                <w:sz w:val="28"/>
                <w:szCs w:val="28"/>
              </w:rPr>
              <w:t xml:space="preserve">Шпатели металлические</w:t>
            </w:r>
          </w:p>
        </w:tc>
        <w:tc>
          <w:tcPr>
            <w:tcW w:w="0" w:type="auto"/>
          </w:tcPr>
          <w:p>
            <w:pPr>
              <w:pStyle w:val="TablCenter"/>
            </w:pPr>
            <w:r>
              <w:rPr>
                <w:rFonts w:ascii="Times New Roman" w:hAnsi="Times New Roman"/>
                <w:sz w:val="28"/>
                <w:szCs w:val="28"/>
              </w:rPr>
              <w:t xml:space="preserve">ГОСТ 19126</w:t>
            </w:r>
          </w:p>
        </w:tc>
      </w:tr>
      <w:tr>
        <w:tc>
          <w:tcPr>
            <w:tcW w:w="0" w:type="auto"/>
          </w:tcPr>
          <w:p>
            <w:pPr>
              <w:pStyle w:val="TablCenter"/>
            </w:pPr>
            <w:r>
              <w:rPr>
                <w:rFonts w:ascii="Times New Roman" w:hAnsi="Times New Roman"/>
                <w:sz w:val="28"/>
                <w:szCs w:val="28"/>
              </w:rPr>
              <w:t xml:space="preserve">Штативы и подносы для пробирок и контейнеров</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Другие расходные материалы, в том числе перевязочные (вата, марля, салфетки и пр.)</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Марля медицинская (двойные марлевые фильтры, п. 4.9.2–4.9.5)</w:t>
            </w:r>
          </w:p>
        </w:tc>
        <w:tc>
          <w:tcPr>
            <w:tcW w:w="0" w:type="auto"/>
          </w:tcPr>
          <w:p>
            <w:pPr>
              <w:pStyle w:val="TablCenter"/>
            </w:pPr>
            <w:r>
              <w:rPr>
                <w:rFonts w:ascii="Times New Roman" w:hAnsi="Times New Roman"/>
                <w:sz w:val="28"/>
                <w:szCs w:val="28"/>
              </w:rPr>
              <w:t xml:space="preserve">ГОСТ 9412</w:t>
            </w:r>
          </w:p>
        </w:tc>
      </w:tr>
      <w:tr>
        <w:tc>
          <w:tcPr>
            <w:tcW w:w="0" w:type="auto"/>
          </w:tcPr>
          <w:p>
            <w:pPr>
              <w:pStyle w:val="TablCenter"/>
            </w:pPr>
            <w:r>
              <w:rPr>
                <w:rFonts w:ascii="Times New Roman" w:hAnsi="Times New Roman"/>
                <w:sz w:val="28"/>
                <w:szCs w:val="28"/>
              </w:rPr>
              <w:t xml:space="preserve">Вата медицинская гигроскопическая</w:t>
            </w:r>
          </w:p>
        </w:tc>
        <w:tc>
          <w:tcPr>
            <w:tcW w:w="0" w:type="auto"/>
          </w:tcPr>
          <w:p>
            <w:pPr>
              <w:pStyle w:val="TablCenter"/>
            </w:pPr>
            <w:r>
              <w:rPr>
                <w:rFonts w:ascii="Times New Roman" w:hAnsi="Times New Roman"/>
                <w:sz w:val="28"/>
                <w:szCs w:val="28"/>
              </w:rPr>
              <w:t xml:space="preserve">ГОСТ 5556</w:t>
            </w:r>
          </w:p>
        </w:tc>
      </w:tr>
      <w:tr>
        <w:tc>
          <w:tcPr>
            <w:tcW w:w="0" w:type="auto"/>
          </w:tcPr>
          <w:p>
            <w:pPr>
              <w:pStyle w:val="TablCenter"/>
            </w:pPr>
            <w:r>
              <w:rPr>
                <w:rFonts w:ascii="Times New Roman" w:hAnsi="Times New Roman"/>
                <w:sz w:val="28"/>
                <w:szCs w:val="28"/>
              </w:rPr>
              <w:t xml:space="preserve">Сито лабораторное с размером ячейки 3 мм (просеивание проб твёрдых органических удобрений и осадков)</w:t>
            </w:r>
          </w:p>
        </w:tc>
        <w:tc>
          <w:tcPr>
            <w:tcW w:w="0" w:type="auto"/>
          </w:tcPr>
          <w:p>
            <w:pPr>
              <w:pStyle w:val="TablCenter"/>
            </w:pPr>
            <w:r>
              <w:rPr>
                <w:rFonts w:ascii="Times New Roman" w:hAnsi="Times New Roman"/>
                <w:sz w:val="28"/>
                <w:szCs w:val="28"/>
              </w:rPr>
              <w:t xml:space="preserve">ГОСТ 6613</w:t>
            </w:r>
          </w:p>
        </w:tc>
      </w:tr>
      <w:tr>
        <w:tc>
          <w:tcPr>
            <w:tcW w:w="0" w:type="auto"/>
          </w:tcPr>
          <w:p>
            <w:pPr>
              <w:pStyle w:val="TablCenter"/>
            </w:pPr>
            <w:r>
              <w:rPr>
                <w:rFonts w:ascii="Times New Roman" w:hAnsi="Times New Roman"/>
                <w:sz w:val="28"/>
                <w:szCs w:val="28"/>
              </w:rPr>
              <w:t xml:space="preserve">Фильтры марлевые (капроновые) на каркасе, мешочки капроновые (экспресс-метод по п. 4.9.4)</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Индикаторы бумажные для определения рН (контроль рН растворов по приложению 2, 3; по ГОСТ Р 57782-2017 §5 — в диапазоне 6–8 с интервалом деления 0,2)</w:t>
            </w:r>
          </w:p>
        </w:tc>
        <w:tc>
          <w:tcPr>
            <w:tcW w:w="0" w:type="auto"/>
          </w:tcPr>
          <w:p>
            <w:pPr>
              <w:pStyle w:val="TablCenter"/>
            </w:pPr>
            <w:r>
              <w:rPr>
                <w:rFonts w:ascii="Times New Roman" w:hAnsi="Times New Roman"/>
                <w:sz w:val="28"/>
                <w:szCs w:val="28"/>
              </w:rPr>
              <w:t xml:space="preserve">ТУ производителя</w:t>
            </w:r>
          </w:p>
        </w:tc>
      </w:tr>
      <w:tr>
        <w:tc>
          <w:tcPr>
            <w:tcW w:w="0" w:type="auto"/>
          </w:tcPr>
          <w:p>
            <w:pPr>
              <w:pStyle w:val="TablCenter"/>
            </w:pPr>
            <w:r>
              <w:rPr>
                <w:rFonts w:ascii="Times New Roman" w:hAnsi="Times New Roman"/>
                <w:sz w:val="28"/>
                <w:szCs w:val="28"/>
              </w:rPr>
              <w:t xml:space="preserve">Парафиновая плёнка, плёнка полиэтиленовая для укрывания препаратов (влажная камера, п. 5.1.2)</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Примечание. Допускается применение материалов и лабораторной посуды отечественных и зарубежных производителей с аналогичными или лучшими характеристиками, разрешенных к применению в установленном порядке.</w:t>
            </w:r>
          </w:p>
        </w:tc>
        <w:tc>
          <w:tcPr>
            <w:tcW w:w="0" w:type="auto"/>
          </w:tcPr>
          <w:p>
            <w:pPr>
              <w:pStyle w:val="TablCenter"/>
            </w:pPr>
          </w:p>
        </w:tc>
      </w:tr>
    </w:tbl>
    <w:p>
      <w:pPr>
        <w:spacing w:after="60"/>
      </w:pPr>
    </w:p>
    <w:p>
      <w:pPr>
        <w:pStyle w:val="Zagtab"/>
      </w:pPr>
      <w:r>
        <w:rPr>
          <w:rFonts w:ascii="Times New Roman" w:hAnsi="Times New Roman"/>
          <w:sz w:val="28"/>
          <w:szCs w:val="28"/>
        </w:rPr>
        <w:t xml:space="preserve">Таблица 4 — Реактивы для проведения исследований санитарно-паразитологическими методами (п. 4.1–5.7)</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4513"/>
        <w:gridCol w:w="4513"/>
      </w:tblGrid>
      <w:tr>
        <w:tc>
          <w:tcPr>
            <w:tcW w:w="0" w:type="auto"/>
          </w:tcPr>
          <w:p>
            <w:pPr>
              <w:pStyle w:val="TablCenter"/>
              <w:rPr>
                <w:b/>
              </w:rPr>
            </w:pPr>
            <w:r>
              <w:rPr>
                <w:rFonts w:ascii="Times New Roman" w:hAnsi="Times New Roman"/>
                <w:b/>
                <w:sz w:val="28"/>
                <w:szCs w:val="28"/>
              </w:rPr>
              <w:t xml:space="preserve">Наименование</w:t>
            </w:r>
          </w:p>
        </w:tc>
        <w:tc>
          <w:tcPr>
            <w:tcW w:w="0" w:type="auto"/>
          </w:tcPr>
          <w:p>
            <w:pPr>
              <w:pStyle w:val="TablCenter"/>
              <w:rPr>
                <w:b/>
              </w:rPr>
            </w:pPr>
            <w:r>
              <w:rPr>
                <w:rFonts w:ascii="Times New Roman" w:hAnsi="Times New Roman"/>
                <w:b/>
                <w:sz w:val="28"/>
                <w:szCs w:val="28"/>
              </w:rPr>
              <w:t xml:space="preserve">Обозначение и наименование документов, технические характеристики</w:t>
            </w:r>
          </w:p>
        </w:tc>
      </w:tr>
      <w:tr>
        <w:tc>
          <w:tcPr>
            <w:tcW w:w="0" w:type="auto"/>
          </w:tcPr>
          <w:p>
            <w:pPr>
              <w:pStyle w:val="TablCenter"/>
            </w:pPr>
            <w:r>
              <w:rPr>
                <w:rFonts w:ascii="Times New Roman" w:hAnsi="Times New Roman"/>
                <w:sz w:val="28"/>
                <w:szCs w:val="28"/>
              </w:rPr>
              <w:t xml:space="preserve">Акридиновый оранжевый</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Аурамин</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Берберина сульфат (флуорохром)</w:t>
            </w:r>
          </w:p>
        </w:tc>
        <w:tc>
          <w:tcPr>
            <w:tcW w:w="0" w:type="auto"/>
          </w:tcPr>
          <w:p>
            <w:pPr>
              <w:pStyle w:val="TablCenter"/>
            </w:pPr>
            <w:r>
              <w:rPr>
                <w:rFonts w:ascii="Times New Roman" w:hAnsi="Times New Roman"/>
                <w:sz w:val="28"/>
                <w:szCs w:val="28"/>
              </w:rPr>
              <w:t xml:space="preserve">Документ производителя (ТУ/спецификация)</w:t>
            </w:r>
          </w:p>
        </w:tc>
      </w:tr>
      <w:tr>
        <w:tc>
          <w:tcPr>
            <w:tcW w:w="0" w:type="auto"/>
          </w:tcPr>
          <w:p>
            <w:pPr>
              <w:pStyle w:val="TablCenter"/>
            </w:pPr>
            <w:r>
              <w:rPr>
                <w:rFonts w:ascii="Times New Roman" w:hAnsi="Times New Roman"/>
                <w:sz w:val="28"/>
                <w:szCs w:val="28"/>
              </w:rPr>
              <w:t xml:space="preserve">Бриллиантовый крезиловый синий</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Вода дистиллированная</w:t>
            </w:r>
          </w:p>
        </w:tc>
        <w:tc>
          <w:tcPr>
            <w:tcW w:w="0" w:type="auto"/>
          </w:tcPr>
          <w:p>
            <w:pPr>
              <w:pStyle w:val="TablCenter"/>
            </w:pPr>
            <w:r>
              <w:rPr>
                <w:rFonts w:ascii="Times New Roman" w:hAnsi="Times New Roman"/>
                <w:sz w:val="28"/>
                <w:szCs w:val="28"/>
              </w:rPr>
              <w:t xml:space="preserve">ГОСТ Р 58144</w:t>
            </w:r>
          </w:p>
        </w:tc>
      </w:tr>
      <w:tr>
        <w:tc>
          <w:tcPr>
            <w:tcW w:w="0" w:type="auto"/>
          </w:tcPr>
          <w:p>
            <w:pPr>
              <w:pStyle w:val="TablCenter"/>
            </w:pPr>
            <w:r>
              <w:rPr>
                <w:rFonts w:ascii="Times New Roman" w:hAnsi="Times New Roman"/>
                <w:sz w:val="28"/>
                <w:szCs w:val="28"/>
              </w:rPr>
              <w:t xml:space="preserve">Глицерин, ч. д. а.</w:t>
            </w:r>
          </w:p>
        </w:tc>
        <w:tc>
          <w:tcPr>
            <w:tcW w:w="0" w:type="auto"/>
          </w:tcPr>
          <w:p>
            <w:pPr>
              <w:pStyle w:val="TablCenter"/>
            </w:pPr>
            <w:r>
              <w:rPr>
                <w:rFonts w:ascii="Times New Roman" w:hAnsi="Times New Roman"/>
                <w:sz w:val="28"/>
                <w:szCs w:val="28"/>
              </w:rPr>
              <w:t xml:space="preserve">ГОСТ 6259</w:t>
            </w:r>
          </w:p>
        </w:tc>
      </w:tr>
      <w:tr>
        <w:tc>
          <w:tcPr>
            <w:tcW w:w="0" w:type="auto"/>
          </w:tcPr>
          <w:p>
            <w:pPr>
              <w:pStyle w:val="TablCenter"/>
            </w:pPr>
            <w:r>
              <w:rPr>
                <w:rFonts w:ascii="Times New Roman" w:hAnsi="Times New Roman"/>
                <w:sz w:val="28"/>
                <w:szCs w:val="28"/>
              </w:rPr>
              <w:t xml:space="preserve">Гидрокарбонат натрия</w:t>
            </w:r>
          </w:p>
        </w:tc>
        <w:tc>
          <w:tcPr>
            <w:tcW w:w="0" w:type="auto"/>
          </w:tcPr>
          <w:p>
            <w:pPr>
              <w:pStyle w:val="TablCenter"/>
            </w:pPr>
            <w:r>
              <w:rPr>
                <w:rFonts w:ascii="Times New Roman" w:hAnsi="Times New Roman"/>
                <w:sz w:val="28"/>
                <w:szCs w:val="28"/>
              </w:rPr>
              <w:t xml:space="preserve">ГОСТ 2156</w:t>
            </w:r>
          </w:p>
        </w:tc>
      </w:tr>
      <w:tr>
        <w:tc>
          <w:tcPr>
            <w:tcW w:w="0" w:type="auto"/>
          </w:tcPr>
          <w:p>
            <w:pPr>
              <w:pStyle w:val="TablCenter"/>
            </w:pPr>
            <w:r>
              <w:rPr>
                <w:rFonts w:ascii="Times New Roman" w:hAnsi="Times New Roman"/>
                <w:sz w:val="28"/>
                <w:szCs w:val="28"/>
              </w:rPr>
              <w:t xml:space="preserve">Натрий углекислый (карбонат натрия) (для приложения 2)</w:t>
            </w:r>
          </w:p>
        </w:tc>
        <w:tc>
          <w:tcPr>
            <w:tcW w:w="0" w:type="auto"/>
          </w:tcPr>
          <w:p>
            <w:pPr>
              <w:pStyle w:val="TablCenter"/>
            </w:pPr>
            <w:r>
              <w:rPr>
                <w:rFonts w:ascii="Times New Roman" w:hAnsi="Times New Roman"/>
                <w:sz w:val="28"/>
                <w:szCs w:val="28"/>
              </w:rPr>
              <w:t xml:space="preserve">ГОСТ 83-79 «Реактивы. Натрий углекислый. Технические условия»</w:t>
            </w:r>
          </w:p>
        </w:tc>
      </w:tr>
      <w:tr>
        <w:tc>
          <w:tcPr>
            <w:tcW w:w="0" w:type="auto"/>
          </w:tcPr>
          <w:p>
            <w:pPr>
              <w:pStyle w:val="TablCenter"/>
            </w:pPr>
            <w:r>
              <w:rPr>
                <w:rFonts w:ascii="Times New Roman" w:hAnsi="Times New Roman"/>
                <w:sz w:val="28"/>
                <w:szCs w:val="28"/>
              </w:rPr>
              <w:t xml:space="preserve">Эфир диэтиловый (для формалин-эфирной седиментации, п. 4.9.5-б)</w:t>
            </w:r>
          </w:p>
        </w:tc>
        <w:tc>
          <w:tcPr>
            <w:tcW w:w="0" w:type="auto"/>
          </w:tcPr>
          <w:p>
            <w:pPr>
              <w:pStyle w:val="TablCenter"/>
            </w:pPr>
            <w:r>
              <w:rPr>
                <w:rFonts w:ascii="Times New Roman" w:hAnsi="Times New Roman"/>
                <w:sz w:val="28"/>
                <w:szCs w:val="28"/>
              </w:rPr>
              <w:t xml:space="preserve">Документ на реактив (ТУ производителя)</w:t>
            </w:r>
          </w:p>
        </w:tc>
      </w:tr>
      <w:tr>
        <w:tc>
          <w:tcPr>
            <w:tcW w:w="0" w:type="auto"/>
          </w:tcPr>
          <w:p>
            <w:pPr>
              <w:pStyle w:val="TablCenter"/>
            </w:pPr>
            <w:r>
              <w:rPr>
                <w:rFonts w:ascii="Times New Roman" w:hAnsi="Times New Roman"/>
                <w:sz w:val="28"/>
                <w:szCs w:val="28"/>
              </w:rPr>
              <w:t xml:space="preserve">Йод кристаллический</w:t>
            </w:r>
          </w:p>
        </w:tc>
        <w:tc>
          <w:tcPr>
            <w:tcW w:w="0" w:type="auto"/>
          </w:tcPr>
          <w:p>
            <w:pPr>
              <w:pStyle w:val="TablCenter"/>
            </w:pPr>
            <w:r>
              <w:rPr>
                <w:rFonts w:ascii="Times New Roman" w:hAnsi="Times New Roman"/>
                <w:sz w:val="28"/>
                <w:szCs w:val="28"/>
              </w:rPr>
              <w:t xml:space="preserve">ГОСТ 4159 «Реактивы. Йод. Технические условия», ч. д. а.</w:t>
            </w:r>
          </w:p>
        </w:tc>
      </w:tr>
      <w:tr>
        <w:tc>
          <w:tcPr>
            <w:tcW w:w="0" w:type="auto"/>
          </w:tcPr>
          <w:p>
            <w:pPr>
              <w:pStyle w:val="TablCenter"/>
            </w:pPr>
            <w:r>
              <w:rPr>
                <w:rFonts w:ascii="Times New Roman" w:hAnsi="Times New Roman"/>
                <w:sz w:val="28"/>
                <w:szCs w:val="28"/>
              </w:rPr>
              <w:t xml:space="preserve">Калия гидроксид</w:t>
            </w:r>
          </w:p>
        </w:tc>
        <w:tc>
          <w:tcPr>
            <w:tcW w:w="0" w:type="auto"/>
          </w:tcPr>
          <w:p>
            <w:pPr>
              <w:pStyle w:val="TablCenter"/>
            </w:pPr>
            <w:r>
              <w:rPr>
                <w:rFonts w:ascii="Times New Roman" w:hAnsi="Times New Roman"/>
                <w:sz w:val="28"/>
                <w:szCs w:val="28"/>
              </w:rPr>
              <w:t xml:space="preserve">ГОСТ 24363</w:t>
            </w:r>
          </w:p>
        </w:tc>
      </w:tr>
      <w:tr>
        <w:tc>
          <w:tcPr>
            <w:tcW w:w="0" w:type="auto"/>
          </w:tcPr>
          <w:p>
            <w:pPr>
              <w:pStyle w:val="TablCenter"/>
            </w:pPr>
            <w:r>
              <w:rPr>
                <w:rFonts w:ascii="Times New Roman" w:hAnsi="Times New Roman"/>
                <w:sz w:val="28"/>
                <w:szCs w:val="28"/>
              </w:rPr>
              <w:t xml:space="preserve">Калий йодистый</w:t>
            </w:r>
          </w:p>
        </w:tc>
        <w:tc>
          <w:tcPr>
            <w:tcW w:w="0" w:type="auto"/>
          </w:tcPr>
          <w:p>
            <w:pPr>
              <w:pStyle w:val="TablCenter"/>
            </w:pPr>
            <w:r>
              <w:rPr>
                <w:rFonts w:ascii="Times New Roman" w:hAnsi="Times New Roman"/>
                <w:sz w:val="28"/>
                <w:szCs w:val="28"/>
              </w:rPr>
              <w:t xml:space="preserve">ГОСТ 4232</w:t>
            </w:r>
          </w:p>
        </w:tc>
      </w:tr>
      <w:tr>
        <w:tc>
          <w:tcPr>
            <w:tcW w:w="0" w:type="auto"/>
          </w:tcPr>
          <w:p>
            <w:pPr>
              <w:pStyle w:val="TablCenter"/>
            </w:pPr>
            <w:r>
              <w:rPr>
                <w:rFonts w:ascii="Times New Roman" w:hAnsi="Times New Roman"/>
                <w:sz w:val="28"/>
                <w:szCs w:val="28"/>
              </w:rPr>
              <w:t xml:space="preserve">Кислота соляная концентрированная</w:t>
            </w:r>
          </w:p>
        </w:tc>
        <w:tc>
          <w:tcPr>
            <w:tcW w:w="0" w:type="auto"/>
          </w:tcPr>
          <w:p>
            <w:pPr>
              <w:pStyle w:val="TablCenter"/>
            </w:pPr>
            <w:r>
              <w:rPr>
                <w:rFonts w:ascii="Times New Roman" w:hAnsi="Times New Roman"/>
                <w:sz w:val="28"/>
                <w:szCs w:val="28"/>
              </w:rPr>
              <w:t xml:space="preserve">ГОСТ 3118</w:t>
            </w:r>
          </w:p>
        </w:tc>
      </w:tr>
      <w:tr>
        <w:tc>
          <w:tcPr>
            <w:tcW w:w="0" w:type="auto"/>
          </w:tcPr>
          <w:p>
            <w:pPr>
              <w:pStyle w:val="TablCenter"/>
            </w:pPr>
            <w:r>
              <w:rPr>
                <w:rFonts w:ascii="Times New Roman" w:hAnsi="Times New Roman"/>
                <w:sz w:val="28"/>
                <w:szCs w:val="28"/>
              </w:rPr>
              <w:t xml:space="preserve">Кислота сульфаминовая</w:t>
            </w:r>
          </w:p>
        </w:tc>
        <w:tc>
          <w:tcPr>
            <w:tcW w:w="0" w:type="auto"/>
          </w:tcPr>
          <w:p>
            <w:pPr>
              <w:pStyle w:val="TablCenter"/>
            </w:pPr>
            <w:r>
              <w:rPr>
                <w:rFonts w:ascii="Times New Roman" w:hAnsi="Times New Roman"/>
                <w:sz w:val="28"/>
                <w:szCs w:val="28"/>
              </w:rPr>
              <w:t xml:space="preserve">Документ на реактив (ГОСТ/ТУ), квалификация не ниже ч. д. а.</w:t>
            </w:r>
          </w:p>
        </w:tc>
      </w:tr>
      <w:tr>
        <w:tc>
          <w:tcPr>
            <w:tcW w:w="0" w:type="auto"/>
          </w:tcPr>
          <w:p>
            <w:pPr>
              <w:pStyle w:val="TablCenter"/>
            </w:pPr>
            <w:r>
              <w:rPr>
                <w:rFonts w:ascii="Times New Roman" w:hAnsi="Times New Roman"/>
                <w:sz w:val="28"/>
                <w:szCs w:val="28"/>
              </w:rPr>
              <w:t xml:space="preserve">Кислота уксусная</w:t>
            </w:r>
          </w:p>
        </w:tc>
        <w:tc>
          <w:tcPr>
            <w:tcW w:w="0" w:type="auto"/>
          </w:tcPr>
          <w:p>
            <w:pPr>
              <w:pStyle w:val="TablCenter"/>
            </w:pPr>
            <w:r>
              <w:rPr>
                <w:rFonts w:ascii="Times New Roman" w:hAnsi="Times New Roman"/>
                <w:sz w:val="28"/>
                <w:szCs w:val="28"/>
              </w:rPr>
              <w:t xml:space="preserve">х. ч. (или ГОСТ 61)</w:t>
            </w:r>
          </w:p>
        </w:tc>
      </w:tr>
      <w:tr>
        <w:tc>
          <w:tcPr>
            <w:tcW w:w="0" w:type="auto"/>
          </w:tcPr>
          <w:p>
            <w:pPr>
              <w:pStyle w:val="TablCenter"/>
            </w:pPr>
            <w:r>
              <w:rPr>
                <w:rFonts w:ascii="Times New Roman" w:hAnsi="Times New Roman"/>
                <w:sz w:val="28"/>
                <w:szCs w:val="28"/>
              </w:rPr>
              <w:t xml:space="preserve">Корифосфин</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Метиленовый синий сухой</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Мертиолат (тиомерсал), натриевая соль</w:t>
            </w:r>
          </w:p>
        </w:tc>
        <w:tc>
          <w:tcPr>
            <w:tcW w:w="0" w:type="auto"/>
          </w:tcPr>
          <w:p>
            <w:pPr>
              <w:pStyle w:val="TablCenter"/>
            </w:pPr>
            <w:r>
              <w:rPr>
                <w:rFonts w:ascii="Times New Roman" w:hAnsi="Times New Roman"/>
                <w:sz w:val="28"/>
                <w:szCs w:val="28"/>
              </w:rPr>
              <w:t xml:space="preserve">Фармакопейная статья или ТУ производителя; применяется как консервант концентратов проб</w:t>
            </w:r>
          </w:p>
        </w:tc>
      </w:tr>
      <w:tr>
        <w:tc>
          <w:tcPr>
            <w:tcW w:w="0" w:type="auto"/>
          </w:tcPr>
          <w:p>
            <w:pPr>
              <w:pStyle w:val="TablCenter"/>
            </w:pPr>
            <w:r>
              <w:rPr>
                <w:rFonts w:ascii="Times New Roman" w:hAnsi="Times New Roman"/>
                <w:sz w:val="28"/>
                <w:szCs w:val="28"/>
              </w:rPr>
              <w:t xml:space="preserve">Молочная кислота</w:t>
            </w:r>
          </w:p>
        </w:tc>
        <w:tc>
          <w:tcPr>
            <w:tcW w:w="0" w:type="auto"/>
          </w:tcPr>
          <w:p>
            <w:pPr>
              <w:pStyle w:val="TablCenter"/>
            </w:pPr>
            <w:r>
              <w:rPr>
                <w:rFonts w:ascii="Times New Roman" w:hAnsi="Times New Roman"/>
                <w:sz w:val="28"/>
                <w:szCs w:val="28"/>
              </w:rPr>
              <w:t xml:space="preserve">ГОСТ 490</w:t>
            </w:r>
          </w:p>
        </w:tc>
      </w:tr>
      <w:tr>
        <w:tc>
          <w:tcPr>
            <w:tcW w:w="0" w:type="auto"/>
          </w:tcPr>
          <w:p>
            <w:pPr>
              <w:pStyle w:val="TablCenter"/>
            </w:pPr>
            <w:r>
              <w:rPr>
                <w:rFonts w:ascii="Times New Roman" w:hAnsi="Times New Roman"/>
                <w:sz w:val="28"/>
                <w:szCs w:val="28"/>
              </w:rPr>
              <w:t xml:space="preserve">Натрия гидроокись</w:t>
            </w:r>
          </w:p>
        </w:tc>
        <w:tc>
          <w:tcPr>
            <w:tcW w:w="0" w:type="auto"/>
          </w:tcPr>
          <w:p>
            <w:pPr>
              <w:pStyle w:val="TablCenter"/>
            </w:pPr>
            <w:r>
              <w:rPr>
                <w:rFonts w:ascii="Times New Roman" w:hAnsi="Times New Roman"/>
                <w:sz w:val="28"/>
                <w:szCs w:val="28"/>
              </w:rPr>
              <w:t xml:space="preserve">ГОСТ 4328</w:t>
            </w:r>
          </w:p>
        </w:tc>
      </w:tr>
      <w:tr>
        <w:tc>
          <w:tcPr>
            <w:tcW w:w="0" w:type="auto"/>
          </w:tcPr>
          <w:p>
            <w:pPr>
              <w:pStyle w:val="TablCenter"/>
            </w:pPr>
            <w:r>
              <w:rPr>
                <w:rFonts w:ascii="Times New Roman" w:hAnsi="Times New Roman"/>
                <w:sz w:val="28"/>
                <w:szCs w:val="28"/>
              </w:rPr>
              <w:t xml:space="preserve">Нитрат аммония (аммиачная селитра)</w:t>
            </w:r>
          </w:p>
        </w:tc>
        <w:tc>
          <w:tcPr>
            <w:tcW w:w="0" w:type="auto"/>
          </w:tcPr>
          <w:p>
            <w:pPr>
              <w:pStyle w:val="TablCenter"/>
            </w:pPr>
            <w:r>
              <w:rPr>
                <w:rFonts w:ascii="Times New Roman" w:hAnsi="Times New Roman"/>
                <w:sz w:val="28"/>
                <w:szCs w:val="28"/>
              </w:rPr>
              <w:t xml:space="preserve">Аммоний азотнокислый по ГОСТ 22867 или гранулированная аммиачная селитра (по ГОСТ Р 57782-2017, §5; в §7.1.4 этого стандарта для нитрата аммония ошибочно указан ГОСТ 4523 — верное обозначение: ГОСТ 22867)</w:t>
            </w:r>
          </w:p>
        </w:tc>
      </w:tr>
      <w:tr>
        <w:tc>
          <w:tcPr>
            <w:tcW w:w="0" w:type="auto"/>
          </w:tcPr>
          <w:p>
            <w:pPr>
              <w:pStyle w:val="TablCenter"/>
            </w:pPr>
            <w:r>
              <w:rPr>
                <w:rFonts w:ascii="Times New Roman" w:hAnsi="Times New Roman"/>
                <w:sz w:val="28"/>
                <w:szCs w:val="28"/>
              </w:rPr>
              <w:t xml:space="preserve">Нитрат калия (калиевая селитра)</w:t>
            </w:r>
          </w:p>
        </w:tc>
        <w:tc>
          <w:tcPr>
            <w:tcW w:w="0" w:type="auto"/>
          </w:tcPr>
          <w:p>
            <w:pPr>
              <w:pStyle w:val="TablCenter"/>
            </w:pPr>
            <w:r>
              <w:rPr>
                <w:rFonts w:ascii="Times New Roman" w:hAnsi="Times New Roman"/>
                <w:sz w:val="28"/>
                <w:szCs w:val="28"/>
              </w:rPr>
              <w:t xml:space="preserve">ГОСТ 4217</w:t>
            </w:r>
          </w:p>
        </w:tc>
      </w:tr>
      <w:tr>
        <w:tc>
          <w:tcPr>
            <w:tcW w:w="0" w:type="auto"/>
          </w:tcPr>
          <w:p>
            <w:pPr>
              <w:pStyle w:val="TablCenter"/>
            </w:pPr>
            <w:r>
              <w:rPr>
                <w:rFonts w:ascii="Times New Roman" w:hAnsi="Times New Roman"/>
                <w:sz w:val="28"/>
                <w:szCs w:val="28"/>
              </w:rPr>
              <w:t xml:space="preserve">Натрий азотнокислый (нитрат натрия)</w:t>
            </w:r>
          </w:p>
        </w:tc>
        <w:tc>
          <w:tcPr>
            <w:tcW w:w="0" w:type="auto"/>
          </w:tcPr>
          <w:p>
            <w:pPr>
              <w:pStyle w:val="TablCenter"/>
            </w:pPr>
            <w:r>
              <w:rPr>
                <w:rFonts w:ascii="Times New Roman" w:hAnsi="Times New Roman"/>
                <w:sz w:val="28"/>
                <w:szCs w:val="28"/>
              </w:rPr>
              <w:t xml:space="preserve">ГОСТ 4168</w:t>
            </w:r>
          </w:p>
        </w:tc>
      </w:tr>
      <w:tr>
        <w:tc>
          <w:tcPr>
            <w:tcW w:w="0" w:type="auto"/>
          </w:tcPr>
          <w:p>
            <w:pPr>
              <w:pStyle w:val="TablCenter"/>
            </w:pPr>
            <w:r>
              <w:rPr>
                <w:rFonts w:ascii="Times New Roman" w:hAnsi="Times New Roman"/>
                <w:sz w:val="28"/>
                <w:szCs w:val="28"/>
              </w:rPr>
              <w:t xml:space="preserve">Натрия гипохлорит</w:t>
            </w:r>
          </w:p>
        </w:tc>
        <w:tc>
          <w:tcPr>
            <w:tcW w:w="0" w:type="auto"/>
          </w:tcPr>
          <w:p>
            <w:pPr>
              <w:pStyle w:val="TablCenter"/>
            </w:pPr>
            <w:r>
              <w:rPr>
                <w:rFonts w:ascii="Times New Roman" w:hAnsi="Times New Roman"/>
                <w:sz w:val="28"/>
                <w:szCs w:val="28"/>
              </w:rPr>
              <w:t xml:space="preserve">ГОСТ 11086</w:t>
            </w:r>
          </w:p>
        </w:tc>
      </w:tr>
      <w:tr>
        <w:tc>
          <w:tcPr>
            <w:tcW w:w="0" w:type="auto"/>
          </w:tcPr>
          <w:p>
            <w:pPr>
              <w:pStyle w:val="TablCenter"/>
            </w:pPr>
            <w:r>
              <w:rPr>
                <w:rFonts w:ascii="Times New Roman" w:hAnsi="Times New Roman"/>
                <w:sz w:val="28"/>
                <w:szCs w:val="28"/>
              </w:rPr>
              <w:t xml:space="preserve">Натрия хлорид</w:t>
            </w:r>
          </w:p>
        </w:tc>
        <w:tc>
          <w:tcPr>
            <w:tcW w:w="0" w:type="auto"/>
          </w:tcPr>
          <w:p>
            <w:pPr>
              <w:pStyle w:val="TablCenter"/>
            </w:pPr>
            <w:r>
              <w:rPr>
                <w:rFonts w:ascii="Times New Roman" w:hAnsi="Times New Roman"/>
                <w:sz w:val="28"/>
                <w:szCs w:val="28"/>
              </w:rPr>
              <w:t xml:space="preserve">ГОСТ 4233</w:t>
            </w:r>
          </w:p>
        </w:tc>
      </w:tr>
      <w:tr>
        <w:tc>
          <w:tcPr>
            <w:tcW w:w="0" w:type="auto"/>
          </w:tcPr>
          <w:p>
            <w:pPr>
              <w:pStyle w:val="TablCenter"/>
            </w:pPr>
            <w:r>
              <w:rPr>
                <w:rFonts w:ascii="Times New Roman" w:hAnsi="Times New Roman"/>
                <w:sz w:val="28"/>
                <w:szCs w:val="28"/>
              </w:rPr>
              <w:t xml:space="preserve">Панкреатин</w:t>
            </w:r>
          </w:p>
        </w:tc>
        <w:tc>
          <w:tcPr>
            <w:tcW w:w="0" w:type="auto"/>
          </w:tcPr>
          <w:p>
            <w:pPr>
              <w:pStyle w:val="TablCenter"/>
            </w:pPr>
            <w:r>
              <w:rPr>
                <w:rFonts w:ascii="Times New Roman" w:hAnsi="Times New Roman"/>
                <w:sz w:val="28"/>
                <w:szCs w:val="28"/>
              </w:rPr>
              <w:t xml:space="preserve">Фармакопейная статья / ТУ производителя; активность не менее указанной в документе (квалификация «чда» неприменима)</w:t>
            </w:r>
          </w:p>
        </w:tc>
      </w:tr>
      <w:tr>
        <w:tc>
          <w:tcPr>
            <w:tcW w:w="0" w:type="auto"/>
          </w:tcPr>
          <w:p>
            <w:pPr>
              <w:pStyle w:val="TablCenter"/>
            </w:pPr>
            <w:r>
              <w:rPr>
                <w:rFonts w:ascii="Times New Roman" w:hAnsi="Times New Roman"/>
                <w:sz w:val="28"/>
                <w:szCs w:val="28"/>
              </w:rPr>
              <w:t xml:space="preserve">Пепсин (возможен искусственный)</w:t>
            </w:r>
          </w:p>
        </w:tc>
        <w:tc>
          <w:tcPr>
            <w:tcW w:w="0" w:type="auto"/>
          </w:tcPr>
          <w:p>
            <w:pPr>
              <w:pStyle w:val="TablCenter"/>
            </w:pPr>
            <w:r>
              <w:rPr>
                <w:rFonts w:ascii="Times New Roman" w:hAnsi="Times New Roman"/>
                <w:sz w:val="28"/>
                <w:szCs w:val="28"/>
              </w:rPr>
              <w:t xml:space="preserve">Фармакопейная статья / ТУ производителя; пепсинолитическая активность не менее указанной в документе</w:t>
            </w:r>
          </w:p>
        </w:tc>
      </w:tr>
      <w:tr>
        <w:tc>
          <w:tcPr>
            <w:tcW w:w="0" w:type="auto"/>
          </w:tcPr>
          <w:p>
            <w:pPr>
              <w:pStyle w:val="TablCenter"/>
            </w:pPr>
            <w:r>
              <w:rPr>
                <w:rFonts w:ascii="Times New Roman" w:hAnsi="Times New Roman"/>
                <w:sz w:val="28"/>
                <w:szCs w:val="28"/>
              </w:rPr>
              <w:t xml:space="preserve">Примулин</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Пирогалловая кислота</w:t>
            </w:r>
          </w:p>
        </w:tc>
        <w:tc>
          <w:tcPr>
            <w:tcW w:w="0" w:type="auto"/>
          </w:tcPr>
          <w:p>
            <w:pPr>
              <w:pStyle w:val="TablCenter"/>
            </w:pPr>
            <w:r>
              <w:rPr>
                <w:rFonts w:ascii="Times New Roman" w:hAnsi="Times New Roman"/>
                <w:sz w:val="28"/>
                <w:szCs w:val="28"/>
              </w:rPr>
              <w:t xml:space="preserve">ГОСТ 6408</w:t>
            </w:r>
          </w:p>
        </w:tc>
      </w:tr>
      <w:tr>
        <w:tc>
          <w:tcPr>
            <w:tcW w:w="0" w:type="auto"/>
          </w:tcPr>
          <w:p>
            <w:pPr>
              <w:pStyle w:val="TablCenter"/>
            </w:pPr>
            <w:r>
              <w:rPr>
                <w:rFonts w:ascii="Times New Roman" w:hAnsi="Times New Roman"/>
                <w:sz w:val="28"/>
                <w:szCs w:val="28"/>
              </w:rPr>
              <w:t xml:space="preserve">Раствор Люголя 5% (маточный) и 1% (рабочий)</w:t>
            </w:r>
          </w:p>
        </w:tc>
        <w:tc>
          <w:tcPr>
            <w:tcW w:w="0" w:type="auto"/>
          </w:tcPr>
          <w:p>
            <w:pPr>
              <w:pStyle w:val="TablCenter"/>
            </w:pPr>
            <w:r>
              <w:rPr>
                <w:rFonts w:ascii="Times New Roman" w:hAnsi="Times New Roman"/>
                <w:sz w:val="28"/>
                <w:szCs w:val="28"/>
              </w:rPr>
              <w:t xml:space="preserve">Приготовление — приложение 3; исходные реактивы: калий йодистый, йод кристаллический, вода дистиллированная, раствор натрия хлорида изотонический</w:t>
            </w:r>
          </w:p>
        </w:tc>
      </w:tr>
      <w:tr>
        <w:tc>
          <w:tcPr>
            <w:tcW w:w="0" w:type="auto"/>
          </w:tcPr>
          <w:p>
            <w:pPr>
              <w:pStyle w:val="TablCenter"/>
            </w:pPr>
            <w:r>
              <w:rPr>
                <w:rFonts w:ascii="Times New Roman" w:hAnsi="Times New Roman"/>
                <w:sz w:val="28"/>
                <w:szCs w:val="28"/>
              </w:rPr>
              <w:t xml:space="preserve">Риванол (этакридина лактат)</w:t>
            </w:r>
          </w:p>
        </w:tc>
        <w:tc>
          <w:tcPr>
            <w:tcW w:w="0" w:type="auto"/>
          </w:tcPr>
          <w:p>
            <w:pPr>
              <w:pStyle w:val="TablCenter"/>
            </w:pPr>
            <w:r>
              <w:rPr>
                <w:rFonts w:ascii="Times New Roman" w:hAnsi="Times New Roman"/>
                <w:sz w:val="28"/>
                <w:szCs w:val="28"/>
              </w:rPr>
              <w:t xml:space="preserve">ГОСТ/ТУ 6-09-4029-67</w:t>
            </w:r>
          </w:p>
        </w:tc>
      </w:tr>
      <w:tr>
        <w:tc>
          <w:tcPr>
            <w:tcW w:w="0" w:type="auto"/>
          </w:tcPr>
          <w:p>
            <w:pPr>
              <w:pStyle w:val="TablCenter"/>
            </w:pPr>
            <w:r>
              <w:rPr>
                <w:rFonts w:ascii="Times New Roman" w:hAnsi="Times New Roman"/>
                <w:sz w:val="28"/>
                <w:szCs w:val="28"/>
              </w:rPr>
              <w:t xml:space="preserve">Сафранин</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Спирт этиловый ректификованный</w:t>
            </w:r>
          </w:p>
        </w:tc>
        <w:tc>
          <w:tcPr>
            <w:tcW w:w="0" w:type="auto"/>
          </w:tcPr>
          <w:p>
            <w:pPr>
              <w:pStyle w:val="TablCenter"/>
            </w:pPr>
            <w:r>
              <w:rPr>
                <w:rFonts w:ascii="Times New Roman" w:hAnsi="Times New Roman"/>
                <w:sz w:val="28"/>
                <w:szCs w:val="28"/>
              </w:rPr>
              <w:t xml:space="preserve">ГОСТ 5962</w:t>
            </w:r>
          </w:p>
        </w:tc>
      </w:tr>
      <w:tr>
        <w:tc>
          <w:tcPr>
            <w:tcW w:w="0" w:type="auto"/>
          </w:tcPr>
          <w:p>
            <w:pPr>
              <w:pStyle w:val="TablCenter"/>
            </w:pPr>
            <w:r>
              <w:rPr>
                <w:rFonts w:ascii="Times New Roman" w:hAnsi="Times New Roman"/>
                <w:sz w:val="28"/>
                <w:szCs w:val="28"/>
              </w:rPr>
              <w:t xml:space="preserve">Сульфат алюминия</w:t>
            </w:r>
          </w:p>
        </w:tc>
        <w:tc>
          <w:tcPr>
            <w:tcW w:w="0" w:type="auto"/>
          </w:tcPr>
          <w:p>
            <w:pPr>
              <w:pStyle w:val="TablCenter"/>
            </w:pPr>
            <w:r>
              <w:rPr>
                <w:rFonts w:ascii="Times New Roman" w:hAnsi="Times New Roman"/>
                <w:sz w:val="28"/>
                <w:szCs w:val="28"/>
              </w:rPr>
              <w:t xml:space="preserve">ГОСТ 12966</w:t>
            </w:r>
          </w:p>
        </w:tc>
      </w:tr>
      <w:tr>
        <w:tc>
          <w:tcPr>
            <w:tcW w:w="0" w:type="auto"/>
          </w:tcPr>
          <w:p>
            <w:pPr>
              <w:pStyle w:val="TablCenter"/>
            </w:pPr>
            <w:r>
              <w:rPr>
                <w:rFonts w:ascii="Times New Roman" w:hAnsi="Times New Roman"/>
                <w:sz w:val="28"/>
                <w:szCs w:val="28"/>
              </w:rPr>
              <w:t xml:space="preserve">Сульфат аммония</w:t>
            </w:r>
          </w:p>
        </w:tc>
        <w:tc>
          <w:tcPr>
            <w:tcW w:w="0" w:type="auto"/>
          </w:tcPr>
          <w:p>
            <w:pPr>
              <w:pStyle w:val="TablCenter"/>
            </w:pPr>
            <w:r>
              <w:rPr>
                <w:rFonts w:ascii="Times New Roman" w:hAnsi="Times New Roman"/>
                <w:sz w:val="28"/>
                <w:szCs w:val="28"/>
              </w:rPr>
              <w:t xml:space="preserve">ГОСТ 9097</w:t>
            </w:r>
          </w:p>
        </w:tc>
      </w:tr>
      <w:tr>
        <w:tc>
          <w:tcPr>
            <w:tcW w:w="0" w:type="auto"/>
          </w:tcPr>
          <w:p>
            <w:pPr>
              <w:pStyle w:val="TablCenter"/>
            </w:pPr>
            <w:r>
              <w:rPr>
                <w:rFonts w:ascii="Times New Roman" w:hAnsi="Times New Roman"/>
                <w:sz w:val="28"/>
                <w:szCs w:val="28"/>
              </w:rPr>
              <w:t xml:space="preserve">Сульфат железа</w:t>
            </w:r>
          </w:p>
        </w:tc>
        <w:tc>
          <w:tcPr>
            <w:tcW w:w="0" w:type="auto"/>
          </w:tcPr>
          <w:p>
            <w:pPr>
              <w:pStyle w:val="TablCenter"/>
            </w:pPr>
            <w:r>
              <w:rPr>
                <w:rFonts w:ascii="Times New Roman" w:hAnsi="Times New Roman"/>
                <w:sz w:val="28"/>
                <w:szCs w:val="28"/>
              </w:rPr>
              <w:t xml:space="preserve">ГОСТ 6981</w:t>
            </w:r>
          </w:p>
        </w:tc>
      </w:tr>
      <w:tr>
        <w:tc>
          <w:tcPr>
            <w:tcW w:w="0" w:type="auto"/>
          </w:tcPr>
          <w:p>
            <w:pPr>
              <w:pStyle w:val="TablCenter"/>
            </w:pPr>
            <w:r>
              <w:rPr>
                <w:rFonts w:ascii="Times New Roman" w:hAnsi="Times New Roman"/>
                <w:sz w:val="28"/>
                <w:szCs w:val="28"/>
              </w:rPr>
              <w:t xml:space="preserve">Сульфат меди</w:t>
            </w:r>
          </w:p>
        </w:tc>
        <w:tc>
          <w:tcPr>
            <w:tcW w:w="0" w:type="auto"/>
          </w:tcPr>
          <w:p>
            <w:pPr>
              <w:pStyle w:val="TablCenter"/>
            </w:pPr>
            <w:r>
              <w:rPr>
                <w:rFonts w:ascii="Times New Roman" w:hAnsi="Times New Roman"/>
                <w:sz w:val="28"/>
                <w:szCs w:val="28"/>
              </w:rPr>
              <w:t xml:space="preserve">ГОСТ 4165</w:t>
            </w:r>
          </w:p>
        </w:tc>
      </w:tr>
      <w:tr>
        <w:tc>
          <w:tcPr>
            <w:tcW w:w="0" w:type="auto"/>
          </w:tcPr>
          <w:p>
            <w:pPr>
              <w:pStyle w:val="TablCenter"/>
            </w:pPr>
            <w:r>
              <w:rPr>
                <w:rFonts w:ascii="Times New Roman" w:hAnsi="Times New Roman"/>
                <w:sz w:val="28"/>
                <w:szCs w:val="28"/>
              </w:rPr>
              <w:t xml:space="preserve">Сульфат цинка</w:t>
            </w:r>
          </w:p>
        </w:tc>
        <w:tc>
          <w:tcPr>
            <w:tcW w:w="0" w:type="auto"/>
          </w:tcPr>
          <w:p>
            <w:pPr>
              <w:pStyle w:val="TablCenter"/>
            </w:pPr>
            <w:r>
              <w:rPr>
                <w:rFonts w:ascii="Times New Roman" w:hAnsi="Times New Roman"/>
                <w:sz w:val="28"/>
                <w:szCs w:val="28"/>
              </w:rPr>
              <w:t xml:space="preserve">ГОСТ 4174</w:t>
            </w:r>
          </w:p>
        </w:tc>
      </w:tr>
      <w:tr>
        <w:tc>
          <w:tcPr>
            <w:tcW w:w="0" w:type="auto"/>
          </w:tcPr>
          <w:p>
            <w:pPr>
              <w:pStyle w:val="TablCenter"/>
            </w:pPr>
            <w:r>
              <w:rPr>
                <w:rFonts w:ascii="Times New Roman" w:hAnsi="Times New Roman"/>
                <w:sz w:val="28"/>
                <w:szCs w:val="28"/>
              </w:rPr>
              <w:t xml:space="preserve">Сульфат магния</w:t>
            </w:r>
          </w:p>
        </w:tc>
        <w:tc>
          <w:tcPr>
            <w:tcW w:w="0" w:type="auto"/>
          </w:tcPr>
          <w:p>
            <w:pPr>
              <w:pStyle w:val="TablCenter"/>
            </w:pPr>
            <w:r>
              <w:rPr>
                <w:rFonts w:ascii="Times New Roman" w:hAnsi="Times New Roman"/>
                <w:sz w:val="28"/>
                <w:szCs w:val="28"/>
              </w:rPr>
              <w:t xml:space="preserve">ГОСТ 4523</w:t>
            </w:r>
          </w:p>
        </w:tc>
      </w:tr>
      <w:tr>
        <w:tc>
          <w:tcPr>
            <w:tcW w:w="0" w:type="auto"/>
          </w:tcPr>
          <w:p>
            <w:pPr>
              <w:pStyle w:val="TablCenter"/>
            </w:pPr>
            <w:r>
              <w:rPr>
                <w:rFonts w:ascii="Times New Roman" w:hAnsi="Times New Roman"/>
                <w:sz w:val="28"/>
                <w:szCs w:val="28"/>
              </w:rPr>
              <w:t xml:space="preserve">Тиосульфат натрия</w:t>
            </w:r>
          </w:p>
        </w:tc>
        <w:tc>
          <w:tcPr>
            <w:tcW w:w="0" w:type="auto"/>
          </w:tcPr>
          <w:p>
            <w:pPr>
              <w:pStyle w:val="TablCenter"/>
            </w:pPr>
            <w:r>
              <w:rPr>
                <w:rFonts w:ascii="Times New Roman" w:hAnsi="Times New Roman"/>
                <w:sz w:val="28"/>
                <w:szCs w:val="28"/>
              </w:rPr>
              <w:t xml:space="preserve">ГОСТ 27068; ГОСТ 244</w:t>
            </w:r>
          </w:p>
        </w:tc>
      </w:tr>
      <w:tr>
        <w:tc>
          <w:tcPr>
            <w:tcW w:w="0" w:type="auto"/>
          </w:tcPr>
          <w:p>
            <w:pPr>
              <w:pStyle w:val="TablCenter"/>
            </w:pPr>
            <w:r>
              <w:rPr>
                <w:rFonts w:ascii="Times New Roman" w:hAnsi="Times New Roman"/>
                <w:sz w:val="28"/>
                <w:szCs w:val="28"/>
              </w:rPr>
              <w:t xml:space="preserve">Толуидиновый синий</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Трипафлавин</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Формалин</w:t>
            </w:r>
          </w:p>
        </w:tc>
        <w:tc>
          <w:tcPr>
            <w:tcW w:w="0" w:type="auto"/>
          </w:tcPr>
          <w:p>
            <w:pPr>
              <w:pStyle w:val="TablCenter"/>
            </w:pPr>
            <w:r>
              <w:rPr>
                <w:rFonts w:ascii="Times New Roman" w:hAnsi="Times New Roman"/>
                <w:sz w:val="28"/>
                <w:szCs w:val="28"/>
              </w:rPr>
              <w:t xml:space="preserve">ГОСТ 1625</w:t>
            </w:r>
          </w:p>
        </w:tc>
      </w:tr>
      <w:tr>
        <w:tc>
          <w:tcPr>
            <w:tcW w:w="0" w:type="auto"/>
          </w:tcPr>
          <w:p>
            <w:pPr>
              <w:pStyle w:val="TablCenter"/>
            </w:pPr>
            <w:r>
              <w:rPr>
                <w:rFonts w:ascii="Times New Roman" w:hAnsi="Times New Roman"/>
                <w:sz w:val="28"/>
                <w:szCs w:val="28"/>
              </w:rPr>
              <w:t xml:space="preserve">Раствор натрия хлорида изотонический (0,85% / 0,9%)</w:t>
            </w:r>
          </w:p>
        </w:tc>
        <w:tc>
          <w:tcPr>
            <w:tcW w:w="0" w:type="auto"/>
          </w:tcPr>
          <w:p>
            <w:pPr>
              <w:pStyle w:val="TablCenter"/>
            </w:pPr>
            <w:r>
              <w:rPr>
                <w:rFonts w:ascii="Times New Roman" w:hAnsi="Times New Roman"/>
                <w:sz w:val="28"/>
                <w:szCs w:val="28"/>
              </w:rPr>
              <w:t xml:space="preserve">Приготовление — приложение 3; исходные реактивы: натрия хлорид по ГОСТ 4233, ч. д. а.; вода дистиллированная по ГОСТ Р 58144</w:t>
            </w:r>
          </w:p>
        </w:tc>
      </w:tr>
      <w:tr>
        <w:tc>
          <w:tcPr>
            <w:tcW w:w="0" w:type="auto"/>
          </w:tcPr>
          <w:p>
            <w:pPr>
              <w:pStyle w:val="TablCenter"/>
            </w:pPr>
            <w:r>
              <w:rPr>
                <w:rFonts w:ascii="Times New Roman" w:hAnsi="Times New Roman"/>
                <w:sz w:val="28"/>
                <w:szCs w:val="28"/>
              </w:rPr>
              <w:t xml:space="preserve">Хлорид цинка (цинк хлористый), ч. д. а.</w:t>
            </w:r>
          </w:p>
        </w:tc>
        <w:tc>
          <w:tcPr>
            <w:tcW w:w="0" w:type="auto"/>
          </w:tcPr>
          <w:p>
            <w:pPr>
              <w:pStyle w:val="TablCenter"/>
            </w:pPr>
            <w:r>
              <w:rPr>
                <w:rFonts w:ascii="Times New Roman" w:hAnsi="Times New Roman"/>
                <w:sz w:val="28"/>
                <w:szCs w:val="28"/>
              </w:rPr>
              <w:t xml:space="preserve">ГОСТ 4529</w:t>
            </w:r>
          </w:p>
        </w:tc>
      </w:tr>
      <w:tr>
        <w:tc>
          <w:tcPr>
            <w:tcW w:w="0" w:type="auto"/>
          </w:tcPr>
          <w:p>
            <w:pPr>
              <w:pStyle w:val="TablCenter"/>
            </w:pPr>
            <w:r>
              <w:rPr>
                <w:rFonts w:ascii="Times New Roman" w:hAnsi="Times New Roman"/>
                <w:sz w:val="28"/>
                <w:szCs w:val="28"/>
              </w:rPr>
              <w:t xml:space="preserve">Хлорид кальция</w:t>
            </w:r>
          </w:p>
        </w:tc>
        <w:tc>
          <w:tcPr>
            <w:tcW w:w="0" w:type="auto"/>
          </w:tcPr>
          <w:p>
            <w:pPr>
              <w:pStyle w:val="TablCenter"/>
            </w:pPr>
            <w:r>
              <w:rPr>
                <w:rFonts w:ascii="Times New Roman" w:hAnsi="Times New Roman"/>
                <w:sz w:val="28"/>
                <w:szCs w:val="28"/>
              </w:rPr>
              <w:t xml:space="preserve">Документ на реактив (ГОСТ/ТУ), квалификация не ниже ч. д. а.</w:t>
            </w:r>
          </w:p>
        </w:tc>
      </w:tr>
      <w:tr>
        <w:tc>
          <w:tcPr>
            <w:tcW w:w="0" w:type="auto"/>
          </w:tcPr>
          <w:p>
            <w:pPr>
              <w:pStyle w:val="TablCenter"/>
            </w:pPr>
            <w:r>
              <w:rPr>
                <w:rFonts w:ascii="Times New Roman" w:hAnsi="Times New Roman"/>
                <w:sz w:val="28"/>
                <w:szCs w:val="28"/>
              </w:rPr>
              <w:t xml:space="preserve">Сахароза (Прил. 3, поз. 8)</w:t>
            </w:r>
          </w:p>
        </w:tc>
        <w:tc>
          <w:tcPr>
            <w:tcW w:w="0" w:type="auto"/>
          </w:tcPr>
          <w:p>
            <w:pPr>
              <w:pStyle w:val="TablCenter"/>
            </w:pPr>
            <w:r>
              <w:rPr>
                <w:rFonts w:ascii="Times New Roman" w:hAnsi="Times New Roman"/>
                <w:sz w:val="28"/>
                <w:szCs w:val="28"/>
              </w:rPr>
              <w:t xml:space="preserve">ГОСТ 5833</w:t>
            </w:r>
          </w:p>
        </w:tc>
      </w:tr>
      <w:tr>
        <w:tc>
          <w:tcPr>
            <w:tcW w:w="0" w:type="auto"/>
          </w:tcPr>
          <w:p>
            <w:pPr>
              <w:pStyle w:val="TablCenter"/>
            </w:pPr>
            <w:r>
              <w:rPr>
                <w:rFonts w:ascii="Times New Roman" w:hAnsi="Times New Roman"/>
                <w:sz w:val="28"/>
                <w:szCs w:val="28"/>
              </w:rPr>
              <w:t xml:space="preserve">Кислота серная концентрированная (Прил. 3, «обесцвечивающий раствор»)</w:t>
            </w:r>
          </w:p>
        </w:tc>
        <w:tc>
          <w:tcPr>
            <w:tcW w:w="0" w:type="auto"/>
          </w:tcPr>
          <w:p>
            <w:pPr>
              <w:pStyle w:val="TablCenter"/>
            </w:pPr>
            <w:r>
              <w:rPr>
                <w:rFonts w:ascii="Times New Roman" w:hAnsi="Times New Roman"/>
                <w:sz w:val="28"/>
                <w:szCs w:val="28"/>
              </w:rPr>
              <w:t xml:space="preserve">ГОСТ 4204, ч. д. а.</w:t>
            </w:r>
          </w:p>
        </w:tc>
      </w:tr>
      <w:tr>
        <w:tc>
          <w:tcPr>
            <w:tcW w:w="0" w:type="auto"/>
          </w:tcPr>
          <w:p>
            <w:pPr>
              <w:pStyle w:val="TablCenter"/>
            </w:pPr>
            <w:r>
              <w:rPr>
                <w:rFonts w:ascii="Times New Roman" w:hAnsi="Times New Roman"/>
                <w:sz w:val="28"/>
                <w:szCs w:val="28"/>
              </w:rPr>
              <w:t xml:space="preserve">Желчь (медицинская/натуральная) (п. 5.1.3)</w:t>
            </w:r>
          </w:p>
        </w:tc>
        <w:tc>
          <w:tcPr>
            <w:tcW w:w="0" w:type="auto"/>
          </w:tcPr>
          <w:p>
            <w:pPr>
              <w:pStyle w:val="TablCenter"/>
            </w:pPr>
            <w:r>
              <w:rPr>
                <w:rFonts w:ascii="Times New Roman" w:hAnsi="Times New Roman"/>
                <w:sz w:val="28"/>
                <w:szCs w:val="28"/>
              </w:rPr>
              <w:t xml:space="preserve">ФС/ТУ производителя</w:t>
            </w:r>
          </w:p>
        </w:tc>
      </w:tr>
      <w:tr>
        <w:tc>
          <w:tcPr>
            <w:tcW w:w="0" w:type="auto"/>
          </w:tcPr>
          <w:p>
            <w:pPr>
              <w:pStyle w:val="TablCenter"/>
            </w:pPr>
            <w:r>
              <w:rPr>
                <w:rFonts w:ascii="Times New Roman" w:hAnsi="Times New Roman"/>
                <w:sz w:val="28"/>
                <w:szCs w:val="28"/>
              </w:rPr>
              <w:t xml:space="preserve">Натрия сульфид (п. 5.1.3, 1% раствор)</w:t>
            </w:r>
          </w:p>
        </w:tc>
        <w:tc>
          <w:tcPr>
            <w:tcW w:w="0" w:type="auto"/>
          </w:tcPr>
          <w:p>
            <w:pPr>
              <w:pStyle w:val="TablCenter"/>
            </w:pPr>
            <w:r>
              <w:rPr>
                <w:rFonts w:ascii="Times New Roman" w:hAnsi="Times New Roman"/>
                <w:sz w:val="28"/>
                <w:szCs w:val="28"/>
              </w:rPr>
              <w:t xml:space="preserve">Документ на реактив, ч. д. а.</w:t>
            </w:r>
          </w:p>
        </w:tc>
      </w:tr>
      <w:tr>
        <w:tc>
          <w:tcPr>
            <w:tcW w:w="0" w:type="auto"/>
          </w:tcPr>
          <w:p>
            <w:pPr>
              <w:pStyle w:val="TablCenter"/>
            </w:pPr>
            <w:r>
              <w:rPr>
                <w:rFonts w:ascii="Times New Roman" w:hAnsi="Times New Roman"/>
                <w:sz w:val="28"/>
                <w:szCs w:val="28"/>
              </w:rPr>
              <w:t xml:space="preserve">Индигокармин (п. 5.3.3)</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Акрихин (п. 5.4)</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Фуксин основной (п. 5.6, среда активирующая)</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Эозин (п. 5.6)</w:t>
            </w:r>
          </w:p>
        </w:tc>
        <w:tc>
          <w:tcPr>
            <w:tcW w:w="0" w:type="auto"/>
          </w:tcPr>
          <w:p>
            <w:pPr>
              <w:pStyle w:val="TablCenter"/>
            </w:pPr>
            <w:r>
              <w:rPr>
                <w:rFonts w:ascii="Times New Roman" w:hAnsi="Times New Roman"/>
                <w:sz w:val="28"/>
                <w:szCs w:val="28"/>
              </w:rPr>
              <w:t xml:space="preserve">ч. д. а.</w:t>
            </w:r>
          </w:p>
        </w:tc>
      </w:tr>
      <w:tr>
        <w:tc>
          <w:tcPr>
            <w:tcW w:w="0" w:type="auto"/>
          </w:tcPr>
          <w:p>
            <w:pPr>
              <w:pStyle w:val="TablCenter"/>
            </w:pPr>
            <w:r>
              <w:rPr>
                <w:rFonts w:ascii="Times New Roman" w:hAnsi="Times New Roman"/>
                <w:sz w:val="28"/>
                <w:szCs w:val="28"/>
              </w:rPr>
              <w:t xml:space="preserve">Трис(гидроксиметил)аминометан (п. 5.6, 0,005 М Трис-HCl; см. также табл. 8)</w:t>
            </w:r>
          </w:p>
        </w:tc>
        <w:tc>
          <w:tcPr>
            <w:tcW w:w="0" w:type="auto"/>
          </w:tcPr>
          <w:p>
            <w:pPr>
              <w:pStyle w:val="TablCenter"/>
            </w:pPr>
            <w:r>
              <w:rPr>
                <w:rFonts w:ascii="Times New Roman" w:hAnsi="Times New Roman"/>
                <w:sz w:val="28"/>
                <w:szCs w:val="28"/>
              </w:rPr>
              <w:t xml:space="preserve">Основного вещества ≥99,9%; молекулярная масса 121,14</w:t>
            </w:r>
          </w:p>
        </w:tc>
      </w:tr>
      <w:tr>
        <w:tc>
          <w:tcPr>
            <w:tcW w:w="0" w:type="auto"/>
          </w:tcPr>
          <w:p>
            <w:pPr>
              <w:pStyle w:val="TablCenter"/>
            </w:pPr>
            <w:r>
              <w:rPr>
                <w:rFonts w:ascii="Times New Roman" w:hAnsi="Times New Roman"/>
                <w:sz w:val="28"/>
                <w:szCs w:val="28"/>
              </w:rPr>
              <w:t xml:space="preserve">Толуол (консервация проб навоза и навозных стоков, п. 3.1.12)</w:t>
            </w:r>
          </w:p>
        </w:tc>
        <w:tc>
          <w:tcPr>
            <w:tcW w:w="0" w:type="auto"/>
          </w:tcPr>
          <w:p>
            <w:pPr>
              <w:pStyle w:val="TablCenter"/>
            </w:pPr>
            <w:r>
              <w:rPr>
                <w:rFonts w:ascii="Times New Roman" w:hAnsi="Times New Roman"/>
                <w:sz w:val="28"/>
                <w:szCs w:val="28"/>
              </w:rPr>
              <w:t xml:space="preserve">ГОСТ 5789</w:t>
            </w:r>
          </w:p>
        </w:tc>
      </w:tr>
      <w:tr>
        <w:tc>
          <w:tcPr>
            <w:tcW w:w="0" w:type="auto"/>
          </w:tcPr>
          <w:p>
            <w:pPr>
              <w:pStyle w:val="TablCenter"/>
            </w:pPr>
            <w:r>
              <w:rPr>
                <w:rFonts w:ascii="Times New Roman" w:hAnsi="Times New Roman"/>
                <w:sz w:val="28"/>
                <w:szCs w:val="28"/>
              </w:rPr>
              <w:t xml:space="preserve">Метанол-яд (метиловый спирт) (фиксация мазков при окраске по Цилю-Нильсену, п. 4.9.5-в)</w:t>
            </w:r>
          </w:p>
        </w:tc>
        <w:tc>
          <w:tcPr>
            <w:tcW w:w="0" w:type="auto"/>
          </w:tcPr>
          <w:p>
            <w:pPr>
              <w:pStyle w:val="TablCenter"/>
            </w:pPr>
            <w:r>
              <w:rPr>
                <w:rFonts w:ascii="Times New Roman" w:hAnsi="Times New Roman"/>
                <w:sz w:val="28"/>
                <w:szCs w:val="28"/>
              </w:rPr>
              <w:t xml:space="preserve">ГОСТ 6995</w:t>
            </w:r>
          </w:p>
        </w:tc>
      </w:tr>
      <w:tr>
        <w:tc>
          <w:tcPr>
            <w:tcW w:w="0" w:type="auto"/>
          </w:tcPr>
          <w:p>
            <w:pPr>
              <w:pStyle w:val="TablCenter"/>
            </w:pPr>
            <w:r>
              <w:rPr>
                <w:rFonts w:ascii="Times New Roman" w:hAnsi="Times New Roman"/>
                <w:sz w:val="28"/>
                <w:szCs w:val="28"/>
              </w:rPr>
              <w:t xml:space="preserve">Карболовый фуксин (фуксин основной + фенол) (окраска по Цилю-Нильсену)</w:t>
            </w:r>
          </w:p>
        </w:tc>
        <w:tc>
          <w:tcPr>
            <w:tcW w:w="0" w:type="auto"/>
          </w:tcPr>
          <w:p>
            <w:pPr>
              <w:pStyle w:val="TablCenter"/>
            </w:pPr>
            <w:r>
              <w:rPr>
                <w:rFonts w:ascii="Times New Roman" w:hAnsi="Times New Roman"/>
                <w:sz w:val="28"/>
                <w:szCs w:val="28"/>
              </w:rPr>
              <w:t xml:space="preserve">Приготовление — приложение 3; исходные: фуксин основной, фенол, спирт этиловый</w:t>
            </w:r>
          </w:p>
        </w:tc>
      </w:tr>
      <w:tr>
        <w:tc>
          <w:tcPr>
            <w:tcW w:w="0" w:type="auto"/>
          </w:tcPr>
          <w:p>
            <w:pPr>
              <w:pStyle w:val="TablCenter"/>
            </w:pPr>
            <w:r>
              <w:rPr>
                <w:rFonts w:ascii="Times New Roman" w:hAnsi="Times New Roman"/>
                <w:sz w:val="28"/>
                <w:szCs w:val="28"/>
              </w:rPr>
              <w:t xml:space="preserve">Чистый песок (прокалённый) (исследование осадков по методу Падченко, п. 4.4.3)</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Аммиак водный (обезжиривание предметных стёкол, п. 4.9.2; по ГОСТ Р 57782-2017 §5 — «аммиак»)</w:t>
            </w:r>
          </w:p>
        </w:tc>
        <w:tc>
          <w:tcPr>
            <w:tcW w:w="0" w:type="auto"/>
          </w:tcPr>
          <w:p>
            <w:pPr>
              <w:pStyle w:val="TablCenter"/>
            </w:pPr>
            <w:r>
              <w:rPr>
                <w:rFonts w:ascii="Times New Roman" w:hAnsi="Times New Roman"/>
                <w:sz w:val="28"/>
                <w:szCs w:val="28"/>
              </w:rPr>
              <w:t xml:space="preserve">ГОСТ 3760</w:t>
            </w:r>
          </w:p>
        </w:tc>
      </w:tr>
      <w:tr>
        <w:tc>
          <w:tcPr>
            <w:tcW w:w="0" w:type="auto"/>
          </w:tcPr>
          <w:p>
            <w:pPr>
              <w:pStyle w:val="TablCenter"/>
            </w:pPr>
            <w:r>
              <w:rPr>
                <w:rFonts w:ascii="Times New Roman" w:hAnsi="Times New Roman"/>
                <w:sz w:val="28"/>
                <w:szCs w:val="28"/>
              </w:rPr>
              <w:t xml:space="preserve">Калий двухромовокислый (бихромат калия) (2,5 % раствор для влажной камеры при культивировании ооцист и цист, п. 5.7.2)</w:t>
            </w:r>
          </w:p>
        </w:tc>
        <w:tc>
          <w:tcPr>
            <w:tcW w:w="0" w:type="auto"/>
          </w:tcPr>
          <w:p>
            <w:pPr>
              <w:pStyle w:val="TablCenter"/>
            </w:pPr>
            <w:r>
              <w:rPr>
                <w:rFonts w:ascii="Times New Roman" w:hAnsi="Times New Roman"/>
                <w:sz w:val="28"/>
                <w:szCs w:val="28"/>
              </w:rPr>
              <w:t xml:space="preserve">ГОСТ 4220</w:t>
            </w:r>
          </w:p>
        </w:tc>
      </w:tr>
      <w:tr>
        <w:tc>
          <w:tcPr>
            <w:tcW w:w="0" w:type="auto"/>
          </w:tcPr>
          <w:p>
            <w:pPr>
              <w:pStyle w:val="TablCenter"/>
            </w:pPr>
            <w:r>
              <w:rPr>
                <w:rFonts w:ascii="Times New Roman" w:hAnsi="Times New Roman"/>
                <w:sz w:val="28"/>
                <w:szCs w:val="28"/>
              </w:rPr>
              <w:t xml:space="preserve">Кислота уксусная (5% раствор — замена формалина при формалин-эфирной седиментации, п. 4.9.5-б)</w:t>
            </w:r>
          </w:p>
        </w:tc>
        <w:tc>
          <w:tcPr>
            <w:tcW w:w="0" w:type="auto"/>
          </w:tcPr>
          <w:p>
            <w:pPr>
              <w:pStyle w:val="TablCenter"/>
            </w:pPr>
            <w:r>
              <w:rPr>
                <w:rFonts w:ascii="Times New Roman" w:hAnsi="Times New Roman"/>
                <w:sz w:val="28"/>
                <w:szCs w:val="28"/>
              </w:rPr>
              <w:t xml:space="preserve">ГОСТ 61, х. ч.</w:t>
            </w:r>
          </w:p>
        </w:tc>
      </w:tr>
      <w:tr>
        <w:tc>
          <w:tcPr>
            <w:tcW w:w="0" w:type="auto"/>
          </w:tcPr>
          <w:p>
            <w:pPr>
              <w:pStyle w:val="TablCenter"/>
            </w:pPr>
            <w:r>
              <w:rPr>
                <w:rFonts w:ascii="Times New Roman" w:hAnsi="Times New Roman"/>
                <w:sz w:val="28"/>
                <w:szCs w:val="28"/>
              </w:rPr>
              <w:t xml:space="preserve">Примечание. Допускается применение реактивов отечественных и зарубежных производителей с аналогичными или лучшими характеристиками, разрешенных к применению в установленном порядке.</w:t>
            </w:r>
          </w:p>
        </w:tc>
        <w:tc>
          <w:tcPr>
            <w:tcW w:w="0" w:type="auto"/>
          </w:tcPr>
          <w:p>
            <w:pPr>
              <w:pStyle w:val="TablCenter"/>
            </w:pPr>
          </w:p>
        </w:tc>
      </w:tr>
    </w:tbl>
    <w:p>
      <w:pPr>
        <w:spacing w:after="60"/>
      </w:pPr>
    </w:p>
    <w:p>
      <w:pPr>
        <w:pStyle w:val="Zagtab"/>
      </w:pPr>
      <w:r>
        <w:rPr>
          <w:rFonts w:ascii="Times New Roman" w:hAnsi="Times New Roman"/>
          <w:sz w:val="28"/>
          <w:szCs w:val="28"/>
        </w:rPr>
        <w:t xml:space="preserve">Таблица 5 — Оборудование для проведения исследований методом иммуномагнитного разделения и мечения флуоресцирующими антителами</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4513"/>
        <w:gridCol w:w="4513"/>
      </w:tblGrid>
      <w:tr>
        <w:tc>
          <w:tcPr>
            <w:tcW w:w="0" w:type="auto"/>
          </w:tcPr>
          <w:p>
            <w:pPr>
              <w:pStyle w:val="TablCenter"/>
              <w:rPr>
                <w:b/>
              </w:rPr>
            </w:pPr>
            <w:r>
              <w:rPr>
                <w:rFonts w:ascii="Times New Roman" w:hAnsi="Times New Roman"/>
                <w:b/>
                <w:sz w:val="28"/>
                <w:szCs w:val="28"/>
              </w:rPr>
              <w:t xml:space="preserve">Наименование оборудования</w:t>
            </w:r>
          </w:p>
        </w:tc>
        <w:tc>
          <w:tcPr>
            <w:tcW w:w="0" w:type="auto"/>
          </w:tcPr>
          <w:p>
            <w:pPr>
              <w:pStyle w:val="TablCenter"/>
              <w:rPr>
                <w:b/>
              </w:rPr>
            </w:pPr>
            <w:r>
              <w:rPr>
                <w:rFonts w:ascii="Times New Roman" w:hAnsi="Times New Roman"/>
                <w:b/>
                <w:sz w:val="28"/>
                <w:szCs w:val="28"/>
              </w:rPr>
              <w:t xml:space="preserve">Обозначение и наименование документов, технические характеристики</w:t>
            </w:r>
          </w:p>
        </w:tc>
      </w:tr>
      <w:tr>
        <w:tc>
          <w:tcPr>
            <w:tcW w:w="0" w:type="auto"/>
          </w:tcPr>
          <w:p>
            <w:pPr>
              <w:pStyle w:val="TablCenter"/>
            </w:pPr>
            <w:r>
              <w:rPr>
                <w:rFonts w:ascii="Times New Roman" w:hAnsi="Times New Roman"/>
                <w:sz w:val="28"/>
                <w:szCs w:val="28"/>
              </w:rPr>
              <w:t xml:space="preserve">Дозаторы пипеточные одноканальные</w:t>
            </w:r>
          </w:p>
        </w:tc>
        <w:tc>
          <w:tcPr>
            <w:tcW w:w="0" w:type="auto"/>
          </w:tcPr>
          <w:p>
            <w:pPr>
              <w:pStyle w:val="TablCenter"/>
            </w:pPr>
            <w:r>
              <w:rPr>
                <w:rFonts w:ascii="Times New Roman" w:hAnsi="Times New Roman"/>
                <w:sz w:val="28"/>
                <w:szCs w:val="28"/>
              </w:rPr>
              <w:t xml:space="preserve">С диапазоном измерения 100 – 1000 мкл, погрешность (± 1,0 – 1,5%)</w:t>
            </w:r>
          </w:p>
        </w:tc>
      </w:tr>
      <w:tr>
        <w:tc>
          <w:tcPr>
            <w:tcW w:w="0" w:type="auto"/>
          </w:tcPr>
          <w:p>
            <w:pPr>
              <w:pStyle w:val="TablCenter"/>
            </w:pPr>
            <w:r>
              <w:rPr>
                <w:rFonts w:ascii="Times New Roman" w:hAnsi="Times New Roman"/>
                <w:sz w:val="28"/>
                <w:szCs w:val="28"/>
              </w:rPr>
              <w:t xml:space="preserve">Люминесцентный микроскоп или насадка для люминесцентного метода исследования</w:t>
            </w:r>
          </w:p>
        </w:tc>
        <w:tc>
          <w:tcPr>
            <w:tcW w:w="0" w:type="auto"/>
          </w:tcPr>
          <w:p>
            <w:pPr>
              <w:pStyle w:val="TablCenter"/>
            </w:pPr>
            <w:r>
              <w:rPr>
                <w:rFonts w:ascii="Times New Roman" w:hAnsi="Times New Roman"/>
                <w:sz w:val="28"/>
                <w:szCs w:val="28"/>
              </w:rPr>
              <w:t xml:space="preserve">Сине-фиолетовый светофильтр, желтый светофильтр</w:t>
            </w:r>
          </w:p>
        </w:tc>
      </w:tr>
      <w:tr>
        <w:tc>
          <w:tcPr>
            <w:tcW w:w="0" w:type="auto"/>
          </w:tcPr>
          <w:p>
            <w:pPr>
              <w:pStyle w:val="TablCenter"/>
            </w:pPr>
            <w:r>
              <w:rPr>
                <w:rFonts w:ascii="Times New Roman" w:hAnsi="Times New Roman"/>
                <w:sz w:val="28"/>
                <w:szCs w:val="28"/>
              </w:rPr>
              <w:t xml:space="preserve">Аппарат для встряхивания типа «Вортекс»</w:t>
            </w:r>
          </w:p>
        </w:tc>
        <w:tc>
          <w:tcPr>
            <w:tcW w:w="0" w:type="auto"/>
          </w:tcPr>
          <w:p>
            <w:pPr>
              <w:pStyle w:val="TablCenter"/>
            </w:pPr>
            <w:r>
              <w:rPr>
                <w:rFonts w:ascii="Times New Roman" w:hAnsi="Times New Roman"/>
                <w:sz w:val="28"/>
                <w:szCs w:val="28"/>
              </w:rPr>
              <w:t xml:space="preserve">50–4500 об/мин.</w:t>
            </w:r>
          </w:p>
        </w:tc>
      </w:tr>
      <w:tr>
        <w:tc>
          <w:tcPr>
            <w:tcW w:w="0" w:type="auto"/>
          </w:tcPr>
          <w:p>
            <w:pPr>
              <w:pStyle w:val="TablCenter"/>
            </w:pPr>
            <w:r>
              <w:rPr>
                <w:rFonts w:ascii="Times New Roman" w:hAnsi="Times New Roman"/>
                <w:sz w:val="28"/>
                <w:szCs w:val="28"/>
              </w:rPr>
              <w:t xml:space="preserve">Микроскоп люминесцентный (эпифлуоресцентный) для метода иммунофлуоресценции (ИФМ)</w:t>
            </w:r>
          </w:p>
        </w:tc>
        <w:tc>
          <w:tcPr>
            <w:tcW w:w="0" w:type="auto"/>
          </w:tcPr>
          <w:p>
            <w:pPr>
              <w:pStyle w:val="TablCenter"/>
            </w:pPr>
            <w:r>
              <w:rPr>
                <w:rFonts w:ascii="Times New Roman" w:hAnsi="Times New Roman"/>
                <w:sz w:val="28"/>
                <w:szCs w:val="28"/>
              </w:rPr>
              <w:t xml:space="preserve">Светофильтры: возбуждения BG12 или DM490–495 и эмиссии DM520–550 (FITC); D360/460 (DAPI); объектив 100× иммерсионный; DIC-приставка или эквивалент</w:t>
            </w:r>
          </w:p>
        </w:tc>
      </w:tr>
      <w:tr>
        <w:tc>
          <w:tcPr>
            <w:tcW w:w="0" w:type="auto"/>
          </w:tcPr>
          <w:p>
            <w:pPr>
              <w:pStyle w:val="TablCenter"/>
            </w:pPr>
            <w:r>
              <w:rPr>
                <w:rFonts w:ascii="Times New Roman" w:hAnsi="Times New Roman"/>
                <w:sz w:val="28"/>
                <w:szCs w:val="28"/>
              </w:rPr>
              <w:t xml:space="preserve">Лабораторный ротатор</w:t>
            </w:r>
          </w:p>
        </w:tc>
        <w:tc>
          <w:tcPr>
            <w:tcW w:w="0" w:type="auto"/>
          </w:tcPr>
          <w:p>
            <w:pPr>
              <w:pStyle w:val="TablCenter"/>
            </w:pPr>
            <w:r>
              <w:rPr>
                <w:rFonts w:ascii="Times New Roman" w:hAnsi="Times New Roman"/>
                <w:sz w:val="28"/>
                <w:szCs w:val="28"/>
              </w:rPr>
              <w:t xml:space="preserve">18 об/мин</w:t>
            </w:r>
          </w:p>
        </w:tc>
      </w:tr>
      <w:tr>
        <w:tc>
          <w:tcPr>
            <w:tcW w:w="0" w:type="auto"/>
          </w:tcPr>
          <w:p>
            <w:pPr>
              <w:pStyle w:val="TablCenter"/>
            </w:pPr>
            <w:r>
              <w:rPr>
                <w:rFonts w:ascii="Times New Roman" w:hAnsi="Times New Roman"/>
                <w:sz w:val="28"/>
                <w:szCs w:val="28"/>
              </w:rPr>
              <w:t xml:space="preserve">Термостат электрический</w:t>
            </w:r>
          </w:p>
        </w:tc>
        <w:tc>
          <w:tcPr>
            <w:tcW w:w="0" w:type="auto"/>
          </w:tcPr>
          <w:p>
            <w:pPr>
              <w:pStyle w:val="TablCenter"/>
            </w:pPr>
            <w:r>
              <w:rPr>
                <w:rFonts w:ascii="Times New Roman" w:hAnsi="Times New Roman"/>
                <w:sz w:val="28"/>
                <w:szCs w:val="28"/>
              </w:rPr>
              <w:t xml:space="preserve">Поддержание температуры в камере в пределах (37 ± 1) ᵒC</w:t>
            </w:r>
          </w:p>
        </w:tc>
      </w:tr>
      <w:tr>
        <w:tc>
          <w:tcPr>
            <w:tcW w:w="0" w:type="auto"/>
          </w:tcPr>
          <w:p>
            <w:pPr>
              <w:pStyle w:val="TablCenter"/>
            </w:pPr>
            <w:r>
              <w:rPr>
                <w:rFonts w:ascii="Times New Roman" w:hAnsi="Times New Roman"/>
                <w:sz w:val="28"/>
                <w:szCs w:val="28"/>
              </w:rPr>
              <w:t xml:space="preserve">Холодильник электрический</w:t>
            </w:r>
          </w:p>
        </w:tc>
        <w:tc>
          <w:tcPr>
            <w:tcW w:w="0" w:type="auto"/>
          </w:tcPr>
          <w:p>
            <w:pPr>
              <w:pStyle w:val="TablCenter"/>
            </w:pPr>
            <w:r>
              <w:rPr>
                <w:rFonts w:ascii="Times New Roman" w:hAnsi="Times New Roman"/>
                <w:sz w:val="28"/>
                <w:szCs w:val="28"/>
              </w:rPr>
              <w:t xml:space="preserve">Поддержание температуры (5 ± 2) °С (2–8 °С — по инструкции производителя наборов), без замораживания</w:t>
            </w:r>
          </w:p>
        </w:tc>
      </w:tr>
      <w:tr>
        <w:tc>
          <w:tcPr>
            <w:tcW w:w="0" w:type="auto"/>
          </w:tcPr>
          <w:p>
            <w:pPr>
              <w:pStyle w:val="TablCenter"/>
            </w:pPr>
            <w:r>
              <w:rPr>
                <w:rFonts w:ascii="Times New Roman" w:hAnsi="Times New Roman"/>
                <w:sz w:val="28"/>
                <w:szCs w:val="28"/>
              </w:rPr>
              <w:t xml:space="preserve">Центрифуга напольная и/или настольная</w:t>
            </w:r>
          </w:p>
        </w:tc>
        <w:tc>
          <w:tcPr>
            <w:tcW w:w="0" w:type="auto"/>
          </w:tcPr>
          <w:p>
            <w:pPr>
              <w:pStyle w:val="TablCenter"/>
            </w:pPr>
            <w:r>
              <w:rPr>
                <w:rFonts w:ascii="Times New Roman" w:hAnsi="Times New Roman"/>
                <w:sz w:val="28"/>
                <w:szCs w:val="28"/>
              </w:rPr>
              <w:t xml:space="preserve">Частота вращения ≥1500 об/мин, для пробирок от 10 до 250 мл</w:t>
            </w:r>
          </w:p>
        </w:tc>
      </w:tr>
      <w:tr>
        <w:tc>
          <w:tcPr>
            <w:tcW w:w="0" w:type="auto"/>
          </w:tcPr>
          <w:p>
            <w:pPr>
              <w:pStyle w:val="TablCenter"/>
            </w:pPr>
            <w:r>
              <w:rPr>
                <w:rFonts w:ascii="Times New Roman" w:hAnsi="Times New Roman"/>
                <w:sz w:val="28"/>
                <w:szCs w:val="28"/>
              </w:rPr>
              <w:t xml:space="preserve">Часы песочные или лабораторный таймер</w:t>
            </w:r>
          </w:p>
        </w:tc>
        <w:tc>
          <w:tcPr>
            <w:tcW w:w="0" w:type="auto"/>
          </w:tcPr>
          <w:p>
            <w:pPr>
              <w:pStyle w:val="TablCenter"/>
            </w:pPr>
            <w:r>
              <w:rPr>
                <w:rFonts w:ascii="Times New Roman" w:hAnsi="Times New Roman"/>
                <w:sz w:val="28"/>
                <w:szCs w:val="28"/>
              </w:rPr>
              <w:t xml:space="preserve">На 3 и 5 мин</w:t>
            </w:r>
          </w:p>
        </w:tc>
      </w:tr>
      <w:tr>
        <w:tc>
          <w:tcPr>
            <w:tcW w:w="0" w:type="auto"/>
            <w:gridSpan w:val="2"/>
            <w:shd w:val="clear" w:fill="F2F2F2"/>
          </w:tcPr>
          <w:p>
            <w:pPr>
              <w:pStyle w:val="TablCenter"/>
              <w:rPr>
                <w:b/>
              </w:rPr>
            </w:pPr>
            <w:r>
              <w:rPr>
                <w:rFonts w:ascii="Times New Roman" w:hAnsi="Times New Roman"/>
                <w:b/>
                <w:sz w:val="28"/>
                <w:szCs w:val="28"/>
              </w:rPr>
              <w:t xml:space="preserve">Примечание. Допускается применение приборов отечественных и зарубежных производителей с аналогичными или лучшими характеристиками, разрешенных к применению в установленном порядке.</w:t>
            </w:r>
          </w:p>
        </w:tc>
      </w:tr>
      <w:tr>
        <w:tc>
          <w:tcPr>
            <w:tcW w:w="0" w:type="auto"/>
          </w:tcPr>
          <w:p>
            <w:pPr>
              <w:pStyle w:val="TablCenter"/>
            </w:pPr>
            <w:r>
              <w:rPr>
                <w:rFonts w:ascii="Times New Roman" w:hAnsi="Times New Roman"/>
                <w:sz w:val="28"/>
                <w:szCs w:val="28"/>
              </w:rPr>
              <w:t xml:space="preserve">Воронки и марлевые фильтры (двойной слой) для предварительного удаления грубого детрита из проб навоза и стоков перед ИМС</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Ситечки металлические или пластмассовые (ячейки 0,25–0,3 мм)</w:t>
            </w:r>
          </w:p>
        </w:tc>
        <w:tc>
          <w:tcPr>
            <w:tcW w:w="0" w:type="auto"/>
          </w:tcPr>
          <w:p>
            <w:pPr>
              <w:pStyle w:val="TablCenter"/>
            </w:pPr>
            <w:r>
              <w:rPr>
                <w:rFonts w:ascii="Times New Roman" w:hAnsi="Times New Roman"/>
                <w:sz w:val="28"/>
                <w:szCs w:val="28"/>
              </w:rPr>
              <w:t xml:space="preserve">—</w:t>
            </w:r>
          </w:p>
        </w:tc>
      </w:tr>
    </w:tbl>
    <w:p>
      <w:pPr>
        <w:spacing w:after="60"/>
      </w:pPr>
    </w:p>
    <w:p>
      <w:pPr>
        <w:pStyle w:val="Zagtab"/>
      </w:pPr>
      <w:r>
        <w:rPr>
          <w:rFonts w:ascii="Times New Roman" w:hAnsi="Times New Roman"/>
          <w:sz w:val="28"/>
          <w:szCs w:val="28"/>
        </w:rPr>
        <w:t xml:space="preserve">Таблица 6 — Реактивы, лабораторная посуда и расходные материалы для проведения исследований методом иммуномагнитного разделения и мечения флуоресцирующими антителами</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4513"/>
        <w:gridCol w:w="4513"/>
      </w:tblGrid>
      <w:tr>
        <w:tc>
          <w:tcPr>
            <w:tcW w:w="0" w:type="auto"/>
          </w:tcPr>
          <w:p>
            <w:pPr>
              <w:pStyle w:val="TablCenter"/>
              <w:rPr>
                <w:b/>
              </w:rPr>
            </w:pPr>
            <w:r>
              <w:rPr>
                <w:rFonts w:ascii="Times New Roman" w:hAnsi="Times New Roman"/>
                <w:b/>
                <w:sz w:val="28"/>
                <w:szCs w:val="28"/>
              </w:rPr>
              <w:t xml:space="preserve">Наименование материалов</w:t>
            </w:r>
          </w:p>
        </w:tc>
        <w:tc>
          <w:tcPr>
            <w:tcW w:w="0" w:type="auto"/>
          </w:tcPr>
          <w:p>
            <w:pPr>
              <w:pStyle w:val="TablCenter"/>
              <w:rPr>
                <w:b/>
              </w:rPr>
            </w:pPr>
            <w:r>
              <w:rPr>
                <w:rFonts w:ascii="Times New Roman" w:hAnsi="Times New Roman"/>
                <w:b/>
                <w:sz w:val="28"/>
                <w:szCs w:val="28"/>
              </w:rPr>
              <w:t xml:space="preserve">Обозначение и наименование документов, технические характеристики</w:t>
            </w:r>
          </w:p>
        </w:tc>
      </w:tr>
      <w:tr>
        <w:tc>
          <w:tcPr>
            <w:tcW w:w="0" w:type="auto"/>
          </w:tcPr>
          <w:p>
            <w:pPr>
              <w:pStyle w:val="TablCenter"/>
            </w:pPr>
            <w:r>
              <w:rPr>
                <w:rFonts w:ascii="Times New Roman" w:hAnsi="Times New Roman"/>
                <w:sz w:val="28"/>
                <w:szCs w:val="28"/>
              </w:rPr>
              <w:t xml:space="preserve">Стаканы стеклянные высокие с носиком (ВН) номинальной вместимостью 50 – 100 мл</w:t>
            </w:r>
          </w:p>
        </w:tc>
        <w:tc>
          <w:tcPr>
            <w:tcW w:w="0" w:type="auto"/>
          </w:tcPr>
          <w:p>
            <w:pPr>
              <w:pStyle w:val="TablCenter"/>
            </w:pPr>
            <w:r>
              <w:rPr>
                <w:rFonts w:ascii="Times New Roman" w:hAnsi="Times New Roman"/>
                <w:sz w:val="28"/>
                <w:szCs w:val="28"/>
              </w:rPr>
              <w:t xml:space="preserve">ГОСТ 10394</w:t>
            </w:r>
          </w:p>
        </w:tc>
      </w:tr>
      <w:tr>
        <w:tc>
          <w:tcPr>
            <w:tcW w:w="0" w:type="auto"/>
          </w:tcPr>
          <w:p>
            <w:pPr>
              <w:pStyle w:val="TablCenter"/>
            </w:pPr>
            <w:r>
              <w:rPr>
                <w:rFonts w:ascii="Times New Roman" w:hAnsi="Times New Roman"/>
                <w:sz w:val="28"/>
                <w:szCs w:val="28"/>
              </w:rPr>
              <w:t xml:space="preserve">Пробирки центрифужные емкостью 80-100 мл, 250 мл или градуированные контейнеры одноразовые медицинские (биологические) полимерные объемом 80, 100, 125 мл</w:t>
            </w:r>
          </w:p>
        </w:tc>
        <w:tc>
          <w:tcPr>
            <w:tcW w:w="0" w:type="auto"/>
          </w:tcPr>
          <w:p>
            <w:pPr>
              <w:pStyle w:val="TablCenter"/>
            </w:pPr>
            <w:r>
              <w:rPr>
                <w:rFonts w:ascii="Times New Roman" w:hAnsi="Times New Roman"/>
                <w:sz w:val="28"/>
                <w:szCs w:val="28"/>
              </w:rPr>
              <w:t xml:space="preserve">Входящие в комплект центрифуг или подходящие для адаптеров используемых центрифуг</w:t>
            </w:r>
          </w:p>
        </w:tc>
      </w:tr>
      <w:tr>
        <w:tc>
          <w:tcPr>
            <w:tcW w:w="0" w:type="auto"/>
          </w:tcPr>
          <w:p>
            <w:pPr>
              <w:pStyle w:val="TablCenter"/>
            </w:pPr>
            <w:r>
              <w:rPr>
                <w:rFonts w:ascii="Times New Roman" w:hAnsi="Times New Roman"/>
                <w:sz w:val="28"/>
                <w:szCs w:val="28"/>
              </w:rPr>
              <w:t xml:space="preserve">ИМС-пробирки для иммуномагнитной сепарации</w:t>
            </w:r>
          </w:p>
        </w:tc>
        <w:tc>
          <w:tcPr>
            <w:tcW w:w="0" w:type="auto"/>
          </w:tcPr>
          <w:p>
            <w:pPr>
              <w:pStyle w:val="TablCenter"/>
            </w:pPr>
            <w:r>
              <w:rPr>
                <w:rFonts w:ascii="Times New Roman" w:hAnsi="Times New Roman"/>
                <w:sz w:val="28"/>
                <w:szCs w:val="28"/>
              </w:rPr>
              <w:t xml:space="preserve">ИМС-пробирки с одной плоской стенкой</w:t>
            </w:r>
          </w:p>
        </w:tc>
      </w:tr>
      <w:tr>
        <w:tc>
          <w:tcPr>
            <w:tcW w:w="0" w:type="auto"/>
          </w:tcPr>
          <w:p>
            <w:pPr>
              <w:pStyle w:val="TablCenter"/>
            </w:pPr>
            <w:r>
              <w:rPr>
                <w:rFonts w:ascii="Times New Roman" w:hAnsi="Times New Roman"/>
                <w:sz w:val="28"/>
                <w:szCs w:val="28"/>
              </w:rPr>
              <w:t xml:space="preserve">Ячейка влажности для предметных стекол</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Стекла покровные размером 18 × 18; 24 × 24 мм; 24 × 50 мм</w:t>
            </w:r>
          </w:p>
        </w:tc>
        <w:tc>
          <w:tcPr>
            <w:tcW w:w="0" w:type="auto"/>
          </w:tcPr>
          <w:p>
            <w:pPr>
              <w:pStyle w:val="TablCenter"/>
            </w:pPr>
            <w:r>
              <w:rPr>
                <w:rFonts w:ascii="Times New Roman" w:hAnsi="Times New Roman"/>
                <w:sz w:val="28"/>
                <w:szCs w:val="28"/>
              </w:rPr>
              <w:t xml:space="preserve">ГОСТ 6672</w:t>
            </w:r>
          </w:p>
        </w:tc>
      </w:tr>
      <w:tr>
        <w:tc>
          <w:tcPr>
            <w:tcW w:w="0" w:type="auto"/>
          </w:tcPr>
          <w:p>
            <w:pPr>
              <w:pStyle w:val="TablCenter"/>
            </w:pPr>
            <w:r>
              <w:rPr>
                <w:rFonts w:ascii="Times New Roman" w:hAnsi="Times New Roman"/>
                <w:sz w:val="28"/>
                <w:szCs w:val="28"/>
              </w:rPr>
              <w:t xml:space="preserve">Предметные стекла для ИМС</w:t>
            </w:r>
          </w:p>
        </w:tc>
        <w:tc>
          <w:tcPr>
            <w:tcW w:w="0" w:type="auto"/>
          </w:tcPr>
          <w:p>
            <w:pPr>
              <w:pStyle w:val="TablCenter"/>
            </w:pPr>
            <w:r>
              <w:rPr>
                <w:rFonts w:ascii="Times New Roman" w:hAnsi="Times New Roman"/>
                <w:sz w:val="28"/>
                <w:szCs w:val="28"/>
              </w:rPr>
              <w:t xml:space="preserve">S100-1 (одно окно), S100-2 (два окна), S100-3 (три окна)</w:t>
            </w:r>
          </w:p>
        </w:tc>
      </w:tr>
      <w:tr>
        <w:tc>
          <w:tcPr>
            <w:tcW w:w="0" w:type="auto"/>
          </w:tcPr>
          <w:p>
            <w:pPr>
              <w:pStyle w:val="TablCenter"/>
            </w:pPr>
            <w:r>
              <w:rPr>
                <w:rFonts w:ascii="Times New Roman" w:hAnsi="Times New Roman"/>
                <w:sz w:val="28"/>
                <w:szCs w:val="28"/>
              </w:rPr>
              <w:t xml:space="preserve">Чашки биологические (Петри)</w:t>
            </w:r>
          </w:p>
        </w:tc>
        <w:tc>
          <w:tcPr>
            <w:tcW w:w="0" w:type="auto"/>
          </w:tcPr>
          <w:p>
            <w:pPr>
              <w:pStyle w:val="TablCenter"/>
            </w:pPr>
            <w:r>
              <w:rPr>
                <w:rFonts w:ascii="Times New Roman" w:hAnsi="Times New Roman"/>
                <w:sz w:val="28"/>
                <w:szCs w:val="28"/>
              </w:rPr>
              <w:t xml:space="preserve">ГОСТ 23932</w:t>
            </w:r>
          </w:p>
        </w:tc>
      </w:tr>
      <w:tr>
        <w:tc>
          <w:tcPr>
            <w:tcW w:w="0" w:type="auto"/>
          </w:tcPr>
          <w:p>
            <w:pPr>
              <w:pStyle w:val="TablCenter"/>
            </w:pPr>
            <w:r>
              <w:rPr>
                <w:rFonts w:ascii="Times New Roman" w:hAnsi="Times New Roman"/>
                <w:sz w:val="28"/>
                <w:szCs w:val="28"/>
              </w:rPr>
              <w:t xml:space="preserve">Стеклянные палочки</w:t>
            </w:r>
          </w:p>
        </w:tc>
        <w:tc>
          <w:tcPr>
            <w:tcW w:w="0" w:type="auto"/>
          </w:tcPr>
          <w:p>
            <w:pPr>
              <w:pStyle w:val="TablCenter"/>
            </w:pPr>
            <w:r>
              <w:rPr>
                <w:rFonts w:ascii="Times New Roman" w:hAnsi="Times New Roman"/>
                <w:sz w:val="28"/>
                <w:szCs w:val="28"/>
              </w:rPr>
              <w:t xml:space="preserve">ГОСТ 27460</w:t>
            </w:r>
          </w:p>
        </w:tc>
      </w:tr>
      <w:tr>
        <w:tc>
          <w:tcPr>
            <w:tcW w:w="0" w:type="auto"/>
          </w:tcPr>
          <w:p>
            <w:pPr>
              <w:pStyle w:val="TablCenter"/>
            </w:pPr>
            <w:r>
              <w:rPr>
                <w:rFonts w:ascii="Times New Roman" w:hAnsi="Times New Roman"/>
                <w:sz w:val="28"/>
                <w:szCs w:val="28"/>
              </w:rPr>
              <w:t xml:space="preserve">Пипетки градуированные от 1 до 10 мл</w:t>
            </w:r>
          </w:p>
        </w:tc>
        <w:tc>
          <w:tcPr>
            <w:tcW w:w="0" w:type="auto"/>
          </w:tcPr>
          <w:p>
            <w:pPr>
              <w:pStyle w:val="TablCenter"/>
            </w:pPr>
            <w:r>
              <w:rPr>
                <w:rFonts w:ascii="Times New Roman" w:hAnsi="Times New Roman"/>
                <w:sz w:val="28"/>
                <w:szCs w:val="28"/>
              </w:rPr>
              <w:t xml:space="preserve">ГОСТ 29227-91</w:t>
            </w:r>
          </w:p>
        </w:tc>
      </w:tr>
      <w:tr>
        <w:tc>
          <w:tcPr>
            <w:tcW w:w="0" w:type="auto"/>
          </w:tcPr>
          <w:p>
            <w:pPr>
              <w:pStyle w:val="TablCenter"/>
            </w:pPr>
            <w:r>
              <w:rPr>
                <w:rFonts w:ascii="Times New Roman" w:hAnsi="Times New Roman"/>
                <w:sz w:val="28"/>
                <w:szCs w:val="28"/>
              </w:rPr>
              <w:t xml:space="preserve">Ступки и пестики разных размеров: ступки №№ – 3, 4, 5, 6, 7; пестики №№ – 2, 3, 4</w:t>
            </w:r>
          </w:p>
        </w:tc>
        <w:tc>
          <w:tcPr>
            <w:tcW w:w="0" w:type="auto"/>
          </w:tcPr>
          <w:p>
            <w:pPr>
              <w:pStyle w:val="TablCenter"/>
            </w:pPr>
            <w:r>
              <w:rPr>
                <w:rFonts w:ascii="Times New Roman" w:hAnsi="Times New Roman"/>
                <w:sz w:val="28"/>
                <w:szCs w:val="28"/>
              </w:rPr>
              <w:t xml:space="preserve">ГОСТ 9147</w:t>
            </w:r>
          </w:p>
        </w:tc>
      </w:tr>
      <w:tr>
        <w:tc>
          <w:tcPr>
            <w:tcW w:w="0" w:type="auto"/>
          </w:tcPr>
          <w:p>
            <w:pPr>
              <w:pStyle w:val="TablCenter"/>
            </w:pPr>
            <w:r>
              <w:rPr>
                <w:rFonts w:ascii="Times New Roman" w:hAnsi="Times New Roman"/>
                <w:sz w:val="28"/>
                <w:szCs w:val="28"/>
              </w:rPr>
              <w:t xml:space="preserve">Пробирки типа Эппендорф</w:t>
            </w:r>
          </w:p>
        </w:tc>
        <w:tc>
          <w:tcPr>
            <w:tcW w:w="0" w:type="auto"/>
          </w:tcPr>
          <w:p>
            <w:pPr>
              <w:pStyle w:val="TablCenter"/>
            </w:pPr>
            <w:r>
              <w:rPr>
                <w:rFonts w:ascii="Times New Roman" w:hAnsi="Times New Roman"/>
                <w:sz w:val="28"/>
                <w:szCs w:val="28"/>
              </w:rPr>
              <w:t xml:space="preserve">на 1,5 см3</w:t>
            </w:r>
          </w:p>
        </w:tc>
      </w:tr>
      <w:tr>
        <w:tc>
          <w:tcPr>
            <w:tcW w:w="0" w:type="auto"/>
          </w:tcPr>
          <w:p>
            <w:pPr>
              <w:pStyle w:val="TablCenter"/>
            </w:pPr>
            <w:r>
              <w:rPr>
                <w:rFonts w:ascii="Times New Roman" w:hAnsi="Times New Roman"/>
                <w:sz w:val="28"/>
                <w:szCs w:val="28"/>
              </w:rPr>
              <w:t xml:space="preserve">Маркер по стеклу и фарфору</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Штативы и подносы для пробирок и контейнеров</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Штатив для ИМС-пробирок</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Другие расходные материалы, в том числе перевязочные (вата, марля, салфетки и пр.)</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Иммерсионное масло</w:t>
            </w:r>
          </w:p>
        </w:tc>
        <w:tc>
          <w:tcPr>
            <w:tcW w:w="0" w:type="auto"/>
          </w:tcPr>
          <w:p>
            <w:pPr>
              <w:pStyle w:val="TablCenter"/>
            </w:pPr>
            <w:r>
              <w:rPr>
                <w:rFonts w:ascii="Times New Roman" w:hAnsi="Times New Roman"/>
                <w:sz w:val="28"/>
                <w:szCs w:val="28"/>
              </w:rPr>
              <w:t xml:space="preserve">ГОСТ 13739-78</w:t>
            </w:r>
          </w:p>
        </w:tc>
      </w:tr>
      <w:tr>
        <w:tc>
          <w:tcPr>
            <w:tcW w:w="0" w:type="auto"/>
          </w:tcPr>
          <w:p>
            <w:pPr>
              <w:pStyle w:val="TablCenter"/>
            </w:pPr>
            <w:r>
              <w:rPr>
                <w:rFonts w:ascii="Times New Roman" w:hAnsi="Times New Roman"/>
                <w:sz w:val="28"/>
                <w:szCs w:val="28"/>
              </w:rPr>
              <w:t xml:space="preserve">Натрия гидроокись</w:t>
            </w:r>
          </w:p>
        </w:tc>
        <w:tc>
          <w:tcPr>
            <w:tcW w:w="0" w:type="auto"/>
          </w:tcPr>
          <w:p>
            <w:pPr>
              <w:pStyle w:val="TablCenter"/>
            </w:pPr>
            <w:r>
              <w:rPr>
                <w:rFonts w:ascii="Times New Roman" w:hAnsi="Times New Roman"/>
                <w:sz w:val="28"/>
                <w:szCs w:val="28"/>
              </w:rPr>
              <w:t xml:space="preserve">ГОСТ 4328</w:t>
            </w:r>
          </w:p>
        </w:tc>
      </w:tr>
      <w:tr>
        <w:tc>
          <w:tcPr>
            <w:tcW w:w="0" w:type="auto"/>
          </w:tcPr>
          <w:p>
            <w:pPr>
              <w:pStyle w:val="TablCenter"/>
            </w:pPr>
            <w:r>
              <w:rPr>
                <w:rFonts w:ascii="Times New Roman" w:hAnsi="Times New Roman"/>
                <w:sz w:val="28"/>
                <w:szCs w:val="28"/>
              </w:rPr>
              <w:t xml:space="preserve">Кислота соляная</w:t>
            </w:r>
          </w:p>
        </w:tc>
        <w:tc>
          <w:tcPr>
            <w:tcW w:w="0" w:type="auto"/>
          </w:tcPr>
          <w:p>
            <w:pPr>
              <w:pStyle w:val="TablCenter"/>
            </w:pPr>
            <w:r>
              <w:rPr>
                <w:rFonts w:ascii="Times New Roman" w:hAnsi="Times New Roman"/>
                <w:sz w:val="28"/>
                <w:szCs w:val="28"/>
              </w:rPr>
              <w:t xml:space="preserve">ГОСТ 3118</w:t>
            </w:r>
          </w:p>
        </w:tc>
      </w:tr>
      <w:tr>
        <w:tc>
          <w:tcPr>
            <w:tcW w:w="0" w:type="auto"/>
          </w:tcPr>
          <w:p>
            <w:pPr>
              <w:pStyle w:val="TablCenter"/>
            </w:pPr>
            <w:r>
              <w:rPr>
                <w:rFonts w:ascii="Times New Roman" w:hAnsi="Times New Roman"/>
                <w:sz w:val="28"/>
                <w:szCs w:val="28"/>
              </w:rPr>
              <w:t xml:space="preserve">Реагенты, химреактивы и расходные материалы диагностического набора для иммуномагнитной сепарации: Контроль положительный (взвесь с цистами лямблий) Буфер А для иммуномагнитной сепарации, 2-концентрированный Иммуномагнитная суспензия, специфичная к цистам лямблий Моющий буфер В Таблетированный фосфатный буфер DAPI концентрированный раствор Моющий буфер Иммунореагент для иммуномагнитной сепарации в рабочем разведении Контрастирующий краситель Защитная среда</w:t>
            </w:r>
          </w:p>
        </w:tc>
        <w:tc>
          <w:tcPr>
            <w:tcW w:w="0" w:type="auto"/>
          </w:tcPr>
          <w:p>
            <w:pPr>
              <w:pStyle w:val="TablCenter"/>
            </w:pPr>
            <w:r>
              <w:rPr>
                <w:rFonts w:ascii="Times New Roman" w:hAnsi="Times New Roman"/>
                <w:sz w:val="28"/>
                <w:szCs w:val="28"/>
              </w:rPr>
              <w:t xml:space="preserve">Входят в состав диагностического набора</w:t>
            </w:r>
          </w:p>
        </w:tc>
      </w:tr>
      <w:tr>
        <w:tc>
          <w:tcPr>
            <w:tcW w:w="0" w:type="auto"/>
            <w:gridSpan w:val="2"/>
            <w:shd w:val="clear" w:fill="F2F2F2"/>
          </w:tcPr>
          <w:p>
            <w:pPr>
              <w:pStyle w:val="TablCenter"/>
              <w:rPr>
                <w:b/>
              </w:rPr>
            </w:pPr>
            <w:r>
              <w:rPr>
                <w:rFonts w:ascii="Times New Roman" w:hAnsi="Times New Roman"/>
                <w:b/>
                <w:sz w:val="28"/>
                <w:szCs w:val="28"/>
              </w:rPr>
              <w:t xml:space="preserve">Примечание. Допускается применение материалов и лабораторной посуды отечественных и зарубежных производителей с аналогичными или лучшими характеристиками, разрешенных к применению в установленном порядке.</w:t>
            </w:r>
          </w:p>
        </w:tc>
      </w:tr>
      <w:tr>
        <w:tc>
          <w:tcPr>
            <w:tcW w:w="0" w:type="auto"/>
          </w:tcPr>
          <w:p>
            <w:pPr>
              <w:pStyle w:val="TablCenter"/>
            </w:pPr>
            <w:r>
              <w:rPr>
                <w:rFonts w:ascii="Times New Roman" w:hAnsi="Times New Roman"/>
                <w:sz w:val="28"/>
                <w:szCs w:val="28"/>
              </w:rPr>
              <w:t xml:space="preserve">Раствор натрия хлорида изотонический 0,85% (Барбагалло) — для консервации концентратов проб навоза</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Формалин 3–4%</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Протеиназа К и буферы — предусмотреть вариант выделения из проб с высоким содержанием детрита (навоз)</w:t>
            </w:r>
          </w:p>
        </w:tc>
        <w:tc>
          <w:tcPr>
            <w:tcW w:w="0" w:type="auto"/>
          </w:tcPr>
          <w:p>
            <w:pPr>
              <w:pStyle w:val="TablCenter"/>
            </w:pPr>
            <w:r>
              <w:rPr>
                <w:rFonts w:ascii="Times New Roman" w:hAnsi="Times New Roman"/>
                <w:sz w:val="28"/>
                <w:szCs w:val="28"/>
              </w:rPr>
              <w:t xml:space="preserve">—</w:t>
            </w:r>
          </w:p>
        </w:tc>
      </w:tr>
    </w:tbl>
    <w:p>
      <w:pPr>
        <w:spacing w:after="60"/>
      </w:pPr>
    </w:p>
    <w:p>
      <w:pPr>
        <w:pStyle w:val="Zagtab"/>
      </w:pPr>
      <w:r>
        <w:rPr>
          <w:rFonts w:ascii="Times New Roman" w:hAnsi="Times New Roman"/>
          <w:sz w:val="28"/>
          <w:szCs w:val="28"/>
        </w:rPr>
        <w:t xml:space="preserve">Таблица 7 — Оборудование для проведения исследований (анализа) методом полимеразной цепной реакции (ПЦР)</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4513"/>
        <w:gridCol w:w="4513"/>
      </w:tblGrid>
      <w:tr>
        <w:tc>
          <w:tcPr>
            <w:tcW w:w="0" w:type="auto"/>
          </w:tcPr>
          <w:p>
            <w:pPr>
              <w:pStyle w:val="TablCenter"/>
              <w:rPr>
                <w:b/>
              </w:rPr>
            </w:pPr>
            <w:r>
              <w:rPr>
                <w:rFonts w:ascii="Times New Roman" w:hAnsi="Times New Roman"/>
                <w:b/>
                <w:sz w:val="28"/>
                <w:szCs w:val="28"/>
              </w:rPr>
              <w:t xml:space="preserve">Наименование оборудования</w:t>
            </w:r>
          </w:p>
        </w:tc>
        <w:tc>
          <w:tcPr>
            <w:tcW w:w="0" w:type="auto"/>
          </w:tcPr>
          <w:p>
            <w:pPr>
              <w:pStyle w:val="TablCenter"/>
              <w:rPr>
                <w:b/>
              </w:rPr>
            </w:pPr>
            <w:r>
              <w:rPr>
                <w:rFonts w:ascii="Times New Roman" w:hAnsi="Times New Roman"/>
                <w:b/>
                <w:sz w:val="28"/>
                <w:szCs w:val="28"/>
              </w:rPr>
              <w:t xml:space="preserve">Обозначение и наименование документов, технические характеристики</w:t>
            </w:r>
          </w:p>
        </w:tc>
      </w:tr>
      <w:tr>
        <w:tc>
          <w:tcPr>
            <w:tcW w:w="0" w:type="auto"/>
            <w:gridSpan w:val="2"/>
            <w:shd w:val="clear" w:fill="F2F2F2"/>
          </w:tcPr>
          <w:p>
            <w:pPr>
              <w:pStyle w:val="TablCenter"/>
              <w:rPr>
                <w:b/>
              </w:rPr>
            </w:pPr>
            <w:r>
              <w:rPr>
                <w:rFonts w:ascii="Times New Roman" w:hAnsi="Times New Roman"/>
                <w:b/>
                <w:sz w:val="28"/>
                <w:szCs w:val="28"/>
              </w:rPr>
              <w:t xml:space="preserve">Аналитическое и вспомогательное оборудование, рекомендованное в инструкциях для выделения ДНК и выявления паразитарных патогенов, в случае использования готовых к применению коммерческих наборов, зарегистрированных и разрешённых для применения в Российской Федерации в установленном порядке.</w:t>
            </w:r>
          </w:p>
        </w:tc>
      </w:tr>
      <w:tr>
        <w:tc>
          <w:tcPr>
            <w:tcW w:w="0" w:type="auto"/>
          </w:tcPr>
          <w:p>
            <w:pPr>
              <w:pStyle w:val="TablCenter"/>
            </w:pPr>
            <w:r>
              <w:rPr>
                <w:rFonts w:ascii="Times New Roman" w:hAnsi="Times New Roman"/>
                <w:sz w:val="28"/>
                <w:szCs w:val="28"/>
              </w:rPr>
              <w:t xml:space="preserve">Механические или электронные, одноканальные или многоканальные дозаторы переменного объема (диапазоны объемов 5 – 50, 50 – 200 и 200 – 1000 мкл) и одноразовые сменные наконечники</w:t>
            </w:r>
          </w:p>
        </w:tc>
        <w:tc>
          <w:tcPr>
            <w:tcW w:w="0" w:type="auto"/>
          </w:tcPr>
          <w:p>
            <w:pPr>
              <w:pStyle w:val="TablCenter"/>
            </w:pPr>
            <w:r>
              <w:rPr>
                <w:rFonts w:ascii="Times New Roman" w:hAnsi="Times New Roman"/>
                <w:sz w:val="28"/>
                <w:szCs w:val="28"/>
              </w:rPr>
              <w:t xml:space="preserve">ГОСТ 28311</w:t>
            </w:r>
          </w:p>
        </w:tc>
      </w:tr>
      <w:tr>
        <w:tc>
          <w:tcPr>
            <w:tcW w:w="0" w:type="auto"/>
          </w:tcPr>
          <w:p>
            <w:pPr>
              <w:pStyle w:val="TablCenter"/>
            </w:pPr>
            <w:r>
              <w:rPr>
                <w:rFonts w:ascii="Times New Roman" w:hAnsi="Times New Roman"/>
                <w:sz w:val="28"/>
                <w:szCs w:val="28"/>
              </w:rPr>
              <w:t xml:space="preserve">Автоматическая станция для выделения ДНК/РНК, зарегистрированная и разрешенная для применения в Российской Федерации в установленном порядке (в случае использования автоматизированной экстракции ДНК)</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Бокс биологической безопасности II класса биологической защиты</w:t>
            </w:r>
          </w:p>
        </w:tc>
        <w:tc>
          <w:tcPr>
            <w:tcW w:w="0" w:type="auto"/>
          </w:tcPr>
          <w:p>
            <w:pPr>
              <w:pStyle w:val="TablCenter"/>
            </w:pPr>
            <w:r>
              <w:rPr>
                <w:rFonts w:ascii="Times New Roman" w:hAnsi="Times New Roman"/>
                <w:sz w:val="28"/>
                <w:szCs w:val="28"/>
              </w:rPr>
              <w:t xml:space="preserve">ГОСТ Р ЕН 12469</w:t>
            </w:r>
          </w:p>
        </w:tc>
      </w:tr>
      <w:tr>
        <w:tc>
          <w:tcPr>
            <w:tcW w:w="0" w:type="auto"/>
          </w:tcPr>
          <w:p>
            <w:pPr>
              <w:pStyle w:val="TablCenter"/>
            </w:pPr>
            <w:r>
              <w:rPr>
                <w:rFonts w:ascii="Times New Roman" w:hAnsi="Times New Roman"/>
                <w:sz w:val="28"/>
                <w:szCs w:val="28"/>
              </w:rPr>
              <w:t xml:space="preserve">ПЦР-бокс предназначенный для чистой работы с ДНК-пробами при проведении ПЦР-диагностики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Вакуумный отсасыватель, медицинский с колбой-ловушкой для удаления надосадочной жидкости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Гомогенизатор-встряхиватель (механический)</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Колба коническая из термостойкого стекла на 250 мл для плавления агарозы</w:t>
            </w:r>
          </w:p>
        </w:tc>
        <w:tc>
          <w:tcPr>
            <w:tcW w:w="0" w:type="auto"/>
          </w:tcPr>
          <w:p>
            <w:pPr>
              <w:pStyle w:val="TablCenter"/>
            </w:pPr>
            <w:r>
              <w:rPr>
                <w:rFonts w:ascii="Times New Roman" w:hAnsi="Times New Roman"/>
                <w:sz w:val="28"/>
                <w:szCs w:val="28"/>
              </w:rPr>
              <w:t xml:space="preserve">Колба коническая из термостойкого стекла вместимостью 250 мл (типоразмер Кн-250) по ГОСТ 25336-82</w:t>
            </w:r>
          </w:p>
        </w:tc>
      </w:tr>
      <w:tr>
        <w:tc>
          <w:tcPr>
            <w:tcW w:w="0" w:type="auto"/>
          </w:tcPr>
          <w:p>
            <w:pPr>
              <w:pStyle w:val="TablCenter"/>
            </w:pPr>
            <w:r>
              <w:rPr>
                <w:rFonts w:ascii="Times New Roman" w:hAnsi="Times New Roman"/>
                <w:sz w:val="28"/>
                <w:szCs w:val="28"/>
              </w:rPr>
              <w:t xml:space="preserve">Мерный цилиндр на 100 мл и на 1 л</w:t>
            </w:r>
          </w:p>
        </w:tc>
        <w:tc>
          <w:tcPr>
            <w:tcW w:w="0" w:type="auto"/>
          </w:tcPr>
          <w:p>
            <w:pPr>
              <w:pStyle w:val="TablCenter"/>
            </w:pPr>
            <w:r>
              <w:rPr>
                <w:rFonts w:ascii="Times New Roman" w:hAnsi="Times New Roman"/>
                <w:sz w:val="28"/>
                <w:szCs w:val="28"/>
              </w:rPr>
              <w:t xml:space="preserve">ГОСТ 1770</w:t>
            </w:r>
          </w:p>
        </w:tc>
      </w:tr>
      <w:tr>
        <w:tc>
          <w:tcPr>
            <w:tcW w:w="0" w:type="auto"/>
          </w:tcPr>
          <w:p>
            <w:pPr>
              <w:pStyle w:val="TablCenter"/>
            </w:pPr>
            <w:r>
              <w:rPr>
                <w:rFonts w:ascii="Times New Roman" w:hAnsi="Times New Roman"/>
                <w:sz w:val="28"/>
                <w:szCs w:val="28"/>
              </w:rPr>
              <w:t xml:space="preserve">Микроцентрифуга/вортекс</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Настольная высокоскоростная центрифуга (до 12000 об./мин ) с функцией охлаждения (до плюс 4 °C) для пробирок типа «Эппендорф» объемом 1,5 – 2 мл</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Твердотельный термостат для пробирок типа «Эппендорф» от плюс 25 – 100 °C</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Холодильник с камерами, поддерживающими температуру плюс 2 – 8 °C и не выше минус 16 °C (для хранения наборов, предназначенных для выделения нуклеиновых кислот). Возможно отдельное использование холодильника с камерой, поддерживающей температуру плюс 2 – 8 °C, и морозильника с камерой, поддерживающей температуру не выше минус 16 °C</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Холодильник с камерой, поддерживающей температуру плюс 2 – 8 °C (для хранения препаратов нуклеиновых кислот - с морозильной камерой не выше минус 20 °C). Не допускается хранение препаратов нуклеиновых кислот в одном холодильнике с компонентами набора для выделения нуклеиновых кислот</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Штативы для микропробирок объемом 1, 5 – 2 мл и 0,2 мл</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Амплификатор детектирующий (для ПЦР в реальном времени)</w:t>
            </w:r>
          </w:p>
        </w:tc>
        <w:tc>
          <w:tcPr>
            <w:tcW w:w="0" w:type="auto"/>
          </w:tcPr>
          <w:p>
            <w:pPr>
              <w:pStyle w:val="TablCenter"/>
            </w:pPr>
            <w:r>
              <w:rPr>
                <w:rFonts w:ascii="Times New Roman" w:hAnsi="Times New Roman"/>
                <w:sz w:val="28"/>
                <w:szCs w:val="28"/>
              </w:rPr>
              <w:t xml:space="preserve">Зарегистрирован в установленном порядке; число каналов детекции — в соответствии с применяемыми наборами</w:t>
            </w:r>
          </w:p>
        </w:tc>
      </w:tr>
      <w:tr>
        <w:tc>
          <w:tcPr>
            <w:tcW w:w="0" w:type="auto"/>
            <w:gridSpan w:val="2"/>
            <w:shd w:val="clear" w:fill="F2F2F2"/>
          </w:tcPr>
          <w:p>
            <w:pPr>
              <w:pStyle w:val="TablCenter"/>
              <w:rPr>
                <w:b/>
              </w:rPr>
            </w:pPr>
            <w:r>
              <w:rPr>
                <w:rFonts w:ascii="Times New Roman" w:hAnsi="Times New Roman"/>
                <w:b/>
                <w:sz w:val="28"/>
                <w:szCs w:val="28"/>
              </w:rPr>
              <w:t xml:space="preserve">ПЦР с детекцией методом электрофореза в агарозном геле</w:t>
            </w:r>
          </w:p>
        </w:tc>
      </w:tr>
      <w:tr>
        <w:tc>
          <w:tcPr>
            <w:tcW w:w="0" w:type="auto"/>
          </w:tcPr>
          <w:p>
            <w:pPr>
              <w:pStyle w:val="TablCenter"/>
            </w:pPr>
            <w:r>
              <w:rPr>
                <w:rFonts w:ascii="Times New Roman" w:hAnsi="Times New Roman"/>
                <w:sz w:val="28"/>
                <w:szCs w:val="28"/>
              </w:rPr>
              <w:t xml:space="preserve">Источник УФ-облучения для инактивации ампликонов; набор расходных материалов с УФ-обработанными наконечниками-фильтрами</w:t>
            </w:r>
          </w:p>
        </w:tc>
        <w:tc>
          <w:tcPr>
            <w:tcW w:w="0" w:type="auto"/>
          </w:tcPr>
          <w:p>
            <w:pPr>
              <w:pStyle w:val="TablCenter"/>
            </w:pPr>
            <w:r>
              <w:rPr>
                <w:rFonts w:ascii="Times New Roman" w:hAnsi="Times New Roman"/>
                <w:sz w:val="28"/>
                <w:szCs w:val="28"/>
              </w:rPr>
              <w:t xml:space="preserve">Документ производителя (ТУ/спецификация)</w:t>
            </w:r>
          </w:p>
        </w:tc>
      </w:tr>
      <w:tr>
        <w:tc>
          <w:tcPr>
            <w:tcW w:w="0" w:type="auto"/>
          </w:tcPr>
          <w:p>
            <w:pPr>
              <w:pStyle w:val="TablCenter"/>
            </w:pPr>
            <w:r>
              <w:rPr>
                <w:rFonts w:ascii="Times New Roman" w:hAnsi="Times New Roman"/>
                <w:sz w:val="28"/>
                <w:szCs w:val="28"/>
              </w:rPr>
              <w:t xml:space="preserve">Механический или электронный дозатор переменного объема до 100 мкл (отдельный)</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Видеосистема с цифровой камерой для регистрации результатов и передачи изображения</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Источник постоянного тока с напряжением 150 – 460 В</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Камера для горизонтального электрофореза объемом не более 400 мл</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Компьютер (должен быть связан через компьютерную сеть с компьютером, располагающимся в чистой зоне и предназначенным для анализа результатов электрофореза)</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Микроволновая печь или другой нагревательный прибор для плавления агарозы</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Столик и набор гребенок для приготовления геля</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Ультрафиолетовый трансиллюминатор с кабинетом для просмотра гелей</w:t>
            </w:r>
          </w:p>
        </w:tc>
        <w:tc>
          <w:tcPr>
            <w:tcW w:w="0" w:type="auto"/>
          </w:tcPr>
          <w:p>
            <w:pPr>
              <w:pStyle w:val="TablCenter"/>
            </w:pPr>
            <w:r>
              <w:rPr>
                <w:rFonts w:ascii="Times New Roman" w:hAnsi="Times New Roman"/>
                <w:sz w:val="28"/>
                <w:szCs w:val="28"/>
              </w:rPr>
              <w:t xml:space="preserve">-</w:t>
            </w:r>
          </w:p>
        </w:tc>
      </w:tr>
      <w:tr>
        <w:tc>
          <w:tcPr>
            <w:tcW w:w="0" w:type="auto"/>
            <w:gridSpan w:val="2"/>
            <w:shd w:val="clear" w:fill="F2F2F2"/>
          </w:tcPr>
          <w:p>
            <w:pPr>
              <w:pStyle w:val="TablCenter"/>
              <w:rPr>
                <w:b/>
              </w:rPr>
            </w:pPr>
            <w:r>
              <w:rPr>
                <w:rFonts w:ascii="Times New Roman" w:hAnsi="Times New Roman"/>
                <w:b/>
                <w:sz w:val="28"/>
                <w:szCs w:val="28"/>
              </w:rPr>
              <w:t xml:space="preserve">Примечание. Допускается применение приборов отечественных и зарубежных производителей с аналогичными или лучшими характеристиками, разрешенных к применению в установленном порядке.</w:t>
            </w:r>
          </w:p>
        </w:tc>
      </w:tr>
      <w:tr>
        <w:tc>
          <w:tcPr>
            <w:tcW w:w="0" w:type="auto"/>
          </w:tcPr>
          <w:p>
            <w:pPr>
              <w:pStyle w:val="TablCenter"/>
            </w:pPr>
            <w:r>
              <w:rPr>
                <w:rFonts w:ascii="Times New Roman" w:hAnsi="Times New Roman"/>
                <w:sz w:val="28"/>
                <w:szCs w:val="28"/>
              </w:rPr>
              <w:t xml:space="preserve">Приборы для гомогенизации проб (гомогенизатор, бисерные мельницы) для проб навоза, помёта и компостов</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Центрифуга с охлаждением (≥6000 об/мин) для осаждения концентратов стоков</w:t>
            </w:r>
          </w:p>
        </w:tc>
        <w:tc>
          <w:tcPr>
            <w:tcW w:w="0" w:type="auto"/>
          </w:tcPr>
          <w:p>
            <w:pPr>
              <w:pStyle w:val="TablCenter"/>
            </w:pPr>
            <w:r>
              <w:rPr>
                <w:rFonts w:ascii="Times New Roman" w:hAnsi="Times New Roman"/>
                <w:sz w:val="28"/>
                <w:szCs w:val="28"/>
              </w:rPr>
              <w:t xml:space="preserve">—</w:t>
            </w:r>
          </w:p>
        </w:tc>
      </w:tr>
    </w:tbl>
    <w:p>
      <w:pPr>
        <w:spacing w:after="60"/>
      </w:pPr>
    </w:p>
    <w:p>
      <w:pPr>
        <w:pStyle w:val="Zagtab"/>
      </w:pPr>
      <w:r>
        <w:rPr>
          <w:rFonts w:ascii="Times New Roman" w:hAnsi="Times New Roman"/>
          <w:sz w:val="28"/>
          <w:szCs w:val="28"/>
        </w:rPr>
        <w:t xml:space="preserve">Таблица 8 — Реактивы и расходные материалы для проведения исследований (анализа) методом полимеразной цепной реакции (ПЦР)</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4513"/>
        <w:gridCol w:w="4513"/>
      </w:tblGrid>
      <w:tr>
        <w:tc>
          <w:tcPr>
            <w:tcW w:w="0" w:type="auto"/>
          </w:tcPr>
          <w:p>
            <w:pPr>
              <w:pStyle w:val="TablCenter"/>
              <w:rPr>
                <w:b/>
              </w:rPr>
            </w:pPr>
            <w:r>
              <w:rPr>
                <w:rFonts w:ascii="Times New Roman" w:hAnsi="Times New Roman"/>
                <w:b/>
                <w:sz w:val="28"/>
                <w:szCs w:val="28"/>
              </w:rPr>
              <w:t xml:space="preserve">Наименование</w:t>
            </w:r>
          </w:p>
        </w:tc>
        <w:tc>
          <w:tcPr>
            <w:tcW w:w="0" w:type="auto"/>
          </w:tcPr>
          <w:p>
            <w:pPr>
              <w:pStyle w:val="TablCenter"/>
              <w:rPr>
                <w:b/>
              </w:rPr>
            </w:pPr>
            <w:r>
              <w:rPr>
                <w:rFonts w:ascii="Times New Roman" w:hAnsi="Times New Roman"/>
                <w:b/>
                <w:sz w:val="28"/>
                <w:szCs w:val="28"/>
              </w:rPr>
              <w:t xml:space="preserve">Обозначение и наименование документов, технические характеристики</w:t>
            </w:r>
          </w:p>
        </w:tc>
      </w:tr>
      <w:tr>
        <w:tc>
          <w:tcPr>
            <w:tcW w:w="0" w:type="auto"/>
            <w:gridSpan w:val="2"/>
            <w:shd w:val="clear" w:fill="F2F2F2"/>
          </w:tcPr>
          <w:p>
            <w:pPr>
              <w:pStyle w:val="TablCenter"/>
              <w:rPr>
                <w:b/>
              </w:rPr>
            </w:pPr>
            <w:r>
              <w:rPr>
                <w:rFonts w:ascii="Times New Roman" w:hAnsi="Times New Roman"/>
                <w:b/>
                <w:sz w:val="28"/>
                <w:szCs w:val="28"/>
              </w:rPr>
              <w:t xml:space="preserve">Реактивы и расходные материалы, рекомендованные в инструкциях для выделения ДНК и выявления паразитарных патогенов, в случае использования готовых к применению коммерческих наборов, зарегистрированных и разрешённых для применения в Российской Федерации в установленном порядке.</w:t>
            </w:r>
          </w:p>
        </w:tc>
      </w:tr>
      <w:tr>
        <w:tc>
          <w:tcPr>
            <w:tcW w:w="0" w:type="auto"/>
            <w:gridSpan w:val="2"/>
            <w:shd w:val="clear" w:fill="F2F2F2"/>
          </w:tcPr>
          <w:p>
            <w:pPr>
              <w:pStyle w:val="TablCenter"/>
              <w:rPr>
                <w:b/>
              </w:rPr>
            </w:pPr>
            <w:r>
              <w:rPr>
                <w:rFonts w:ascii="Times New Roman" w:hAnsi="Times New Roman"/>
                <w:b/>
                <w:sz w:val="28"/>
                <w:szCs w:val="28"/>
              </w:rPr>
              <w:t xml:space="preserve">Реактивы для проведения исследований (анализа) методом ПЦР</w:t>
            </w:r>
          </w:p>
        </w:tc>
      </w:tr>
      <w:tr>
        <w:tc>
          <w:tcPr>
            <w:tcW w:w="0" w:type="auto"/>
          </w:tcPr>
          <w:p>
            <w:pPr>
              <w:pStyle w:val="TablCenter"/>
            </w:pPr>
            <w:r>
              <w:rPr>
                <w:rFonts w:ascii="Times New Roman" w:hAnsi="Times New Roman"/>
                <w:sz w:val="28"/>
                <w:szCs w:val="28"/>
              </w:rPr>
              <w:t xml:space="preserve">Агароза для электрофореза (при проведении детекции ПЦР методом электрофореза)</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Ацетат аммония (Аммоний уксуснокислый)</w:t>
            </w:r>
          </w:p>
        </w:tc>
        <w:tc>
          <w:tcPr>
            <w:tcW w:w="0" w:type="auto"/>
          </w:tcPr>
          <w:p>
            <w:pPr>
              <w:pStyle w:val="TablCenter"/>
            </w:pPr>
            <w:r>
              <w:rPr>
                <w:rFonts w:ascii="Times New Roman" w:hAnsi="Times New Roman"/>
                <w:sz w:val="28"/>
                <w:szCs w:val="28"/>
              </w:rPr>
              <w:t xml:space="preserve">ГОСТ 3117-78</w:t>
            </w:r>
          </w:p>
        </w:tc>
      </w:tr>
      <w:tr>
        <w:tc>
          <w:tcPr>
            <w:tcW w:w="0" w:type="auto"/>
          </w:tcPr>
          <w:p>
            <w:pPr>
              <w:pStyle w:val="TablCenter"/>
            </w:pPr>
            <w:r>
              <w:rPr>
                <w:rFonts w:ascii="Times New Roman" w:hAnsi="Times New Roman"/>
                <w:sz w:val="28"/>
                <w:szCs w:val="28"/>
              </w:rPr>
              <w:t xml:space="preserve">Буфер TBE (трис-боратный с ЭДТА) для проведения электрофореза нуклеиновых кислот, не содержащий нуклеаз</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Вода деионизированная, не содержащая нуклеаз и нуклеиновых кислот</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Вода дистиллированная</w:t>
            </w:r>
          </w:p>
        </w:tc>
        <w:tc>
          <w:tcPr>
            <w:tcW w:w="0" w:type="auto"/>
          </w:tcPr>
          <w:p>
            <w:pPr>
              <w:pStyle w:val="TablCenter"/>
            </w:pPr>
            <w:r>
              <w:rPr>
                <w:rFonts w:ascii="Times New Roman" w:hAnsi="Times New Roman"/>
                <w:sz w:val="28"/>
                <w:szCs w:val="28"/>
              </w:rPr>
              <w:t xml:space="preserve">ГОСТ Р 58144-2018</w:t>
            </w:r>
          </w:p>
        </w:tc>
      </w:tr>
      <w:tr>
        <w:tc>
          <w:tcPr>
            <w:tcW w:w="0" w:type="auto"/>
          </w:tcPr>
          <w:p>
            <w:pPr>
              <w:pStyle w:val="TablCenter"/>
            </w:pPr>
            <w:r>
              <w:rPr>
                <w:rFonts w:ascii="Times New Roman" w:hAnsi="Times New Roman"/>
                <w:sz w:val="28"/>
                <w:szCs w:val="28"/>
              </w:rPr>
              <w:t xml:space="preserve">Гексадецилтриметиламмония бромид (ЦТАБ)</w:t>
            </w:r>
          </w:p>
        </w:tc>
        <w:tc>
          <w:tcPr>
            <w:tcW w:w="0" w:type="auto"/>
          </w:tcPr>
          <w:p>
            <w:pPr>
              <w:pStyle w:val="TablCenter"/>
            </w:pPr>
            <w:r>
              <w:rPr>
                <w:rFonts w:ascii="Times New Roman" w:hAnsi="Times New Roman"/>
                <w:sz w:val="28"/>
                <w:szCs w:val="28"/>
              </w:rPr>
              <w:t xml:space="preserve">Массовая доля основного вещества≥ 99% молекулярная масса: 364,45</w:t>
            </w:r>
          </w:p>
        </w:tc>
      </w:tr>
      <w:tr>
        <w:tc>
          <w:tcPr>
            <w:tcW w:w="0" w:type="auto"/>
          </w:tcPr>
          <w:p>
            <w:pPr>
              <w:pStyle w:val="TablCenter"/>
            </w:pPr>
            <w:r>
              <w:rPr>
                <w:rFonts w:ascii="Times New Roman" w:hAnsi="Times New Roman"/>
                <w:sz w:val="28"/>
                <w:szCs w:val="28"/>
              </w:rPr>
              <w:t xml:space="preserve">Гидроокись натрия</w:t>
            </w:r>
          </w:p>
        </w:tc>
        <w:tc>
          <w:tcPr>
            <w:tcW w:w="0" w:type="auto"/>
          </w:tcPr>
          <w:p>
            <w:pPr>
              <w:pStyle w:val="TablCenter"/>
            </w:pPr>
            <w:r>
              <w:rPr>
                <w:rFonts w:ascii="Times New Roman" w:hAnsi="Times New Roman"/>
                <w:sz w:val="28"/>
                <w:szCs w:val="28"/>
              </w:rPr>
              <w:t xml:space="preserve">ГОСТ 4328</w:t>
            </w:r>
          </w:p>
        </w:tc>
      </w:tr>
      <w:tr>
        <w:tc>
          <w:tcPr>
            <w:tcW w:w="0" w:type="auto"/>
          </w:tcPr>
          <w:p>
            <w:pPr>
              <w:pStyle w:val="TablCenter"/>
            </w:pPr>
            <w:r>
              <w:rPr>
                <w:rFonts w:ascii="Times New Roman" w:hAnsi="Times New Roman"/>
                <w:sz w:val="28"/>
                <w:szCs w:val="28"/>
              </w:rPr>
              <w:t xml:space="preserve">Кислота соляная</w:t>
            </w:r>
          </w:p>
        </w:tc>
        <w:tc>
          <w:tcPr>
            <w:tcW w:w="0" w:type="auto"/>
          </w:tcPr>
          <w:p>
            <w:pPr>
              <w:pStyle w:val="TablCenter"/>
            </w:pPr>
            <w:r>
              <w:rPr>
                <w:rFonts w:ascii="Times New Roman" w:hAnsi="Times New Roman"/>
                <w:sz w:val="28"/>
                <w:szCs w:val="28"/>
              </w:rPr>
              <w:t xml:space="preserve">ГОСТ 3118</w:t>
            </w:r>
          </w:p>
        </w:tc>
      </w:tr>
      <w:tr>
        <w:tc>
          <w:tcPr>
            <w:tcW w:w="0" w:type="auto"/>
          </w:tcPr>
          <w:p>
            <w:pPr>
              <w:pStyle w:val="TablCenter"/>
            </w:pPr>
            <w:r>
              <w:rPr>
                <w:rFonts w:ascii="Times New Roman" w:hAnsi="Times New Roman"/>
                <w:sz w:val="28"/>
                <w:szCs w:val="28"/>
              </w:rPr>
              <w:t xml:space="preserve">Натрий хлористый</w:t>
            </w:r>
          </w:p>
        </w:tc>
        <w:tc>
          <w:tcPr>
            <w:tcW w:w="0" w:type="auto"/>
          </w:tcPr>
          <w:p>
            <w:pPr>
              <w:pStyle w:val="TablCenter"/>
            </w:pPr>
            <w:r>
              <w:rPr>
                <w:rFonts w:ascii="Times New Roman" w:hAnsi="Times New Roman"/>
                <w:sz w:val="28"/>
                <w:szCs w:val="28"/>
              </w:rPr>
              <w:t xml:space="preserve">ГОСТ 4233-77</w:t>
            </w:r>
          </w:p>
        </w:tc>
      </w:tr>
      <w:tr>
        <w:tc>
          <w:tcPr>
            <w:tcW w:w="0" w:type="auto"/>
          </w:tcPr>
          <w:p>
            <w:pPr>
              <w:pStyle w:val="TablCenter"/>
            </w:pPr>
            <w:r>
              <w:rPr>
                <w:rFonts w:ascii="Times New Roman" w:hAnsi="Times New Roman"/>
                <w:sz w:val="28"/>
                <w:szCs w:val="28"/>
              </w:rPr>
              <w:t xml:space="preserve">Протеиназа К</w:t>
            </w:r>
          </w:p>
        </w:tc>
        <w:tc>
          <w:tcPr>
            <w:tcW w:w="0" w:type="auto"/>
          </w:tcPr>
          <w:p>
            <w:pPr>
              <w:pStyle w:val="TablCenter"/>
            </w:pPr>
            <w:r>
              <w:rPr>
                <w:rFonts w:ascii="Times New Roman" w:hAnsi="Times New Roman"/>
                <w:sz w:val="28"/>
                <w:szCs w:val="28"/>
              </w:rPr>
              <w:t xml:space="preserve">массовая доля основного вещества ≥ 99 %</w:t>
            </w:r>
          </w:p>
        </w:tc>
      </w:tr>
      <w:tr>
        <w:tc>
          <w:tcPr>
            <w:tcW w:w="0" w:type="auto"/>
          </w:tcPr>
          <w:p>
            <w:pPr>
              <w:pStyle w:val="TablCenter"/>
            </w:pPr>
            <w:r>
              <w:rPr>
                <w:rFonts w:ascii="Times New Roman" w:hAnsi="Times New Roman"/>
                <w:sz w:val="28"/>
                <w:szCs w:val="28"/>
              </w:rPr>
              <w:t xml:space="preserve">Спирт изопропиловый</w:t>
            </w:r>
          </w:p>
        </w:tc>
        <w:tc>
          <w:tcPr>
            <w:tcW w:w="0" w:type="auto"/>
          </w:tcPr>
          <w:p>
            <w:pPr>
              <w:pStyle w:val="TablCenter"/>
            </w:pPr>
            <w:r>
              <w:rPr>
                <w:rFonts w:ascii="Times New Roman" w:hAnsi="Times New Roman"/>
                <w:sz w:val="28"/>
                <w:szCs w:val="28"/>
              </w:rPr>
              <w:t xml:space="preserve">ГОСТ 9805</w:t>
            </w:r>
          </w:p>
        </w:tc>
      </w:tr>
      <w:tr>
        <w:tc>
          <w:tcPr>
            <w:tcW w:w="0" w:type="auto"/>
          </w:tcPr>
          <w:p>
            <w:pPr>
              <w:pStyle w:val="TablCenter"/>
            </w:pPr>
            <w:r>
              <w:rPr>
                <w:rFonts w:ascii="Times New Roman" w:hAnsi="Times New Roman"/>
                <w:sz w:val="28"/>
                <w:szCs w:val="28"/>
              </w:rPr>
              <w:t xml:space="preserve">Спирт этиловый ректификованный</w:t>
            </w:r>
          </w:p>
        </w:tc>
        <w:tc>
          <w:tcPr>
            <w:tcW w:w="0" w:type="auto"/>
          </w:tcPr>
          <w:p>
            <w:pPr>
              <w:pStyle w:val="TablCenter"/>
            </w:pPr>
            <w:r>
              <w:rPr>
                <w:rFonts w:ascii="Times New Roman" w:hAnsi="Times New Roman"/>
                <w:sz w:val="28"/>
                <w:szCs w:val="28"/>
              </w:rPr>
              <w:t xml:space="preserve">ГОСТ Р 51652</w:t>
            </w:r>
          </w:p>
        </w:tc>
      </w:tr>
      <w:tr>
        <w:tc>
          <w:tcPr>
            <w:tcW w:w="0" w:type="auto"/>
          </w:tcPr>
          <w:p>
            <w:pPr>
              <w:pStyle w:val="TablCenter"/>
            </w:pPr>
            <w:r>
              <w:rPr>
                <w:rFonts w:ascii="Times New Roman" w:hAnsi="Times New Roman"/>
                <w:sz w:val="28"/>
                <w:szCs w:val="28"/>
              </w:rPr>
              <w:t xml:space="preserve">Трис(гидроксиметил)аминометан</w:t>
            </w:r>
          </w:p>
        </w:tc>
        <w:tc>
          <w:tcPr>
            <w:tcW w:w="0" w:type="auto"/>
          </w:tcPr>
          <w:p>
            <w:pPr>
              <w:pStyle w:val="TablCenter"/>
            </w:pPr>
            <w:r>
              <w:rPr>
                <w:rFonts w:ascii="Times New Roman" w:hAnsi="Times New Roman"/>
                <w:sz w:val="28"/>
                <w:szCs w:val="28"/>
              </w:rPr>
              <w:t xml:space="preserve">основного вещества ≥ 99,9% молекулярная масса: 121,14</w:t>
            </w:r>
          </w:p>
        </w:tc>
      </w:tr>
      <w:tr>
        <w:tc>
          <w:tcPr>
            <w:tcW w:w="0" w:type="auto"/>
          </w:tcPr>
          <w:p>
            <w:pPr>
              <w:pStyle w:val="TablCenter"/>
            </w:pPr>
            <w:r>
              <w:rPr>
                <w:rFonts w:ascii="Times New Roman" w:hAnsi="Times New Roman"/>
                <w:sz w:val="28"/>
                <w:szCs w:val="28"/>
              </w:rPr>
              <w:t xml:space="preserve">Хлороформ (в/с)</w:t>
            </w:r>
          </w:p>
        </w:tc>
        <w:tc>
          <w:tcPr>
            <w:tcW w:w="0" w:type="auto"/>
          </w:tcPr>
          <w:p>
            <w:pPr>
              <w:pStyle w:val="TablCenter"/>
            </w:pPr>
            <w:r>
              <w:rPr>
                <w:rFonts w:ascii="Times New Roman" w:hAnsi="Times New Roman"/>
                <w:sz w:val="28"/>
                <w:szCs w:val="28"/>
              </w:rPr>
              <w:t xml:space="preserve">ГОСТ 20015</w:t>
            </w:r>
          </w:p>
        </w:tc>
      </w:tr>
      <w:tr>
        <w:tc>
          <w:tcPr>
            <w:tcW w:w="0" w:type="auto"/>
          </w:tcPr>
          <w:p>
            <w:pPr>
              <w:pStyle w:val="TablCenter"/>
            </w:pPr>
            <w:r>
              <w:rPr>
                <w:rFonts w:ascii="Times New Roman" w:hAnsi="Times New Roman"/>
                <w:sz w:val="28"/>
                <w:szCs w:val="28"/>
              </w:rPr>
              <w:t xml:space="preserve">Этидий бромистый, исходный (маточный) раствор 10 мг/см³ для окрашивания гелей; канцероген — работа в перчатках, отходы обеззараживать</w:t>
            </w:r>
          </w:p>
        </w:tc>
        <w:tc>
          <w:tcPr>
            <w:tcW w:w="0" w:type="auto"/>
          </w:tcPr>
          <w:p>
            <w:pPr>
              <w:pStyle w:val="TablCenter"/>
            </w:pPr>
            <w:r>
              <w:rPr>
                <w:rFonts w:ascii="Times New Roman" w:hAnsi="Times New Roman"/>
                <w:sz w:val="28"/>
                <w:szCs w:val="28"/>
              </w:rPr>
              <w:t xml:space="preserve">Документ производителя (ТУ/спецификация); приготовление — приложение 5, п. 9</w:t>
            </w:r>
          </w:p>
        </w:tc>
      </w:tr>
      <w:tr>
        <w:tc>
          <w:tcPr>
            <w:tcW w:w="0" w:type="auto"/>
          </w:tcPr>
          <w:p>
            <w:pPr>
              <w:pStyle w:val="TablCenter"/>
            </w:pPr>
            <w:r>
              <w:rPr>
                <w:rFonts w:ascii="Times New Roman" w:hAnsi="Times New Roman"/>
                <w:sz w:val="28"/>
                <w:szCs w:val="28"/>
              </w:rPr>
              <w:t xml:space="preserve">Этилендиаминтетрауксусная кислота (ЭДТА)</w:t>
            </w:r>
          </w:p>
        </w:tc>
        <w:tc>
          <w:tcPr>
            <w:tcW w:w="0" w:type="auto"/>
          </w:tcPr>
          <w:p>
            <w:pPr>
              <w:pStyle w:val="TablCenter"/>
            </w:pPr>
            <w:r>
              <w:rPr>
                <w:rFonts w:ascii="Times New Roman" w:hAnsi="Times New Roman"/>
                <w:sz w:val="28"/>
                <w:szCs w:val="28"/>
              </w:rPr>
              <w:t xml:space="preserve">ГОСТ 10652</w:t>
            </w:r>
          </w:p>
        </w:tc>
      </w:tr>
      <w:tr>
        <w:tc>
          <w:tcPr>
            <w:tcW w:w="0" w:type="auto"/>
            <w:gridSpan w:val="2"/>
            <w:shd w:val="clear" w:fill="F2F2F2"/>
          </w:tcPr>
          <w:p>
            <w:pPr>
              <w:pStyle w:val="TablCenter"/>
              <w:rPr>
                <w:b/>
              </w:rPr>
            </w:pPr>
            <w:r>
              <w:rPr>
                <w:rFonts w:ascii="Times New Roman" w:hAnsi="Times New Roman"/>
                <w:b/>
                <w:sz w:val="28"/>
                <w:szCs w:val="28"/>
              </w:rPr>
              <w:t xml:space="preserve">Расходные материалы для проведения исследований (анализа) методом ПЦР</w:t>
            </w:r>
          </w:p>
        </w:tc>
      </w:tr>
      <w:tr>
        <w:tc>
          <w:tcPr>
            <w:tcW w:w="0" w:type="auto"/>
          </w:tcPr>
          <w:p>
            <w:pPr>
              <w:pStyle w:val="TablCenter"/>
            </w:pPr>
            <w:r>
              <w:rPr>
                <w:rFonts w:ascii="Times New Roman" w:hAnsi="Times New Roman"/>
                <w:sz w:val="28"/>
                <w:szCs w:val="28"/>
              </w:rPr>
              <w:t xml:space="preserve">Наконечники для дозаторов с фильтрами, предназначенные для ПЦР (апирогенные, сертифицированные на отсутствие ДНК, РНК, ДНКаз, РНКаз и ингибиторов ПЦР (PCR-clean) на объем в диапазонах 1 – 10 или 2 – 20, 20 – 200, 200 – 1000 мкл</w:t>
            </w:r>
          </w:p>
        </w:tc>
        <w:tc>
          <w:tcPr>
            <w:tcW w:w="0" w:type="auto"/>
          </w:tcPr>
          <w:p>
            <w:pPr>
              <w:pStyle w:val="TablCenter"/>
            </w:pPr>
          </w:p>
        </w:tc>
      </w:tr>
      <w:tr>
        <w:tc>
          <w:tcPr>
            <w:tcW w:w="0" w:type="auto"/>
          </w:tcPr>
          <w:p>
            <w:pPr>
              <w:pStyle w:val="TablCenter"/>
            </w:pPr>
            <w:r>
              <w:rPr>
                <w:rFonts w:ascii="Times New Roman" w:hAnsi="Times New Roman"/>
                <w:sz w:val="28"/>
                <w:szCs w:val="28"/>
              </w:rPr>
              <w:t xml:space="preserve">Полипропиленовые плотно закрывающиеся пробирки типа «Эппендорф» объемом 1,5 – 2 мл, апирогенные, сертифицированные на отсутствие ДНК, РНК, ДНКаз, РНКаз и ингибиторов ПЦР (PCR-clean</w:t>
            </w:r>
          </w:p>
        </w:tc>
        <w:tc>
          <w:tcPr>
            <w:tcW w:w="0" w:type="auto"/>
          </w:tcPr>
          <w:p>
            <w:pPr>
              <w:pStyle w:val="TablCenter"/>
            </w:pPr>
          </w:p>
        </w:tc>
      </w:tr>
      <w:tr>
        <w:tc>
          <w:tcPr>
            <w:tcW w:w="0" w:type="auto"/>
          </w:tcPr>
          <w:p>
            <w:pPr>
              <w:pStyle w:val="TablCenter"/>
            </w:pPr>
            <w:r>
              <w:rPr>
                <w:rFonts w:ascii="Times New Roman" w:hAnsi="Times New Roman"/>
                <w:sz w:val="28"/>
                <w:szCs w:val="28"/>
              </w:rPr>
              <w:t xml:space="preserve">Пробирки для проведения ПЦР – апирогенные, тонкостенные, сертифицированные на отсутствие ДНК, РНК, ДНКаз, РНКаз и ингибиторов ПЦР (PCR-clean), отдельные либо в стрипах, соответствующие используемой модели амплификатора.</w:t>
            </w:r>
          </w:p>
        </w:tc>
        <w:tc>
          <w:tcPr>
            <w:tcW w:w="0" w:type="auto"/>
          </w:tcPr>
          <w:p>
            <w:pPr>
              <w:pStyle w:val="TablCenter"/>
            </w:pPr>
          </w:p>
        </w:tc>
      </w:tr>
      <w:tr>
        <w:tc>
          <w:tcPr>
            <w:tcW w:w="0" w:type="auto"/>
          </w:tcPr>
          <w:p>
            <w:pPr>
              <w:pStyle w:val="TablCenter"/>
            </w:pPr>
            <w:r>
              <w:rPr>
                <w:rFonts w:ascii="Times New Roman" w:hAnsi="Times New Roman"/>
                <w:sz w:val="28"/>
                <w:szCs w:val="28"/>
              </w:rPr>
              <w:t xml:space="preserve">Стеклянные или циркониевые шарики для гомогенизации допустимого диаметра от 0,1 до 1,0 мм</w:t>
            </w:r>
          </w:p>
        </w:tc>
        <w:tc>
          <w:tcPr>
            <w:tcW w:w="0" w:type="auto"/>
          </w:tcPr>
          <w:p>
            <w:pPr>
              <w:pStyle w:val="TablCenter"/>
            </w:pPr>
          </w:p>
        </w:tc>
      </w:tr>
      <w:tr>
        <w:tc>
          <w:tcPr>
            <w:tcW w:w="0" w:type="auto"/>
            <w:gridSpan w:val="2"/>
            <w:shd w:val="clear" w:fill="F2F2F2"/>
          </w:tcPr>
          <w:p>
            <w:pPr>
              <w:pStyle w:val="TablCenter"/>
              <w:rPr>
                <w:b/>
              </w:rPr>
            </w:pPr>
            <w:r>
              <w:rPr>
                <w:rFonts w:ascii="Times New Roman" w:hAnsi="Times New Roman"/>
                <w:b/>
                <w:sz w:val="28"/>
                <w:szCs w:val="28"/>
              </w:rPr>
              <w:t xml:space="preserve">Примечание. Допускается применение материалов и лабораторной посуды отечественных и зарубежных производителей с аналогичными или лучшими характеристиками, разрешенных к применению в установленном порядке.</w:t>
            </w:r>
          </w:p>
        </w:tc>
      </w:tr>
      <w:tr>
        <w:tc>
          <w:tcPr>
            <w:tcW w:w="0" w:type="auto"/>
          </w:tcPr>
          <w:p>
            <w:pPr>
              <w:pStyle w:val="TablCenter"/>
            </w:pPr>
            <w:r>
              <w:rPr>
                <w:rFonts w:ascii="Times New Roman" w:hAnsi="Times New Roman"/>
                <w:sz w:val="28"/>
                <w:szCs w:val="28"/>
              </w:rPr>
              <w:t xml:space="preserve">Внутренний контрольный образец (ДНК-мишень в матрице пробы) для контроля ингибирования амплификации</w:t>
            </w:r>
          </w:p>
        </w:tc>
        <w:tc>
          <w:tcPr>
            <w:tcW w:w="0" w:type="auto"/>
          </w:tcPr>
          <w:p>
            <w:pPr>
              <w:pStyle w:val="TablCenter"/>
            </w:pPr>
            <w:r>
              <w:rPr>
                <w:rFonts w:ascii="Times New Roman" w:hAnsi="Times New Roman"/>
                <w:sz w:val="28"/>
                <w:szCs w:val="28"/>
              </w:rPr>
              <w:t xml:space="preserve">—</w:t>
            </w:r>
          </w:p>
        </w:tc>
      </w:tr>
      <w:tr>
        <w:tc>
          <w:tcPr>
            <w:tcW w:w="0" w:type="auto"/>
          </w:tcPr>
          <w:p>
            <w:pPr>
              <w:pStyle w:val="TablCenter"/>
            </w:pPr>
            <w:r>
              <w:rPr>
                <w:rFonts w:ascii="Times New Roman" w:hAnsi="Times New Roman"/>
                <w:sz w:val="28"/>
                <w:szCs w:val="28"/>
              </w:rPr>
              <w:t xml:space="preserve">Поливинилпирролидон (ПВП) / сорбенты для удаления гуминовых веществ и полисахаридов при выделении ДНК из навоза и компостов</w:t>
            </w:r>
          </w:p>
        </w:tc>
        <w:tc>
          <w:tcPr>
            <w:tcW w:w="0" w:type="auto"/>
          </w:tcPr>
          <w:p>
            <w:pPr>
              <w:pStyle w:val="TablCenter"/>
            </w:pPr>
            <w:r>
              <w:rPr>
                <w:rFonts w:ascii="Times New Roman" w:hAnsi="Times New Roman"/>
                <w:sz w:val="28"/>
                <w:szCs w:val="28"/>
              </w:rPr>
              <w:t xml:space="preserve">—</w:t>
            </w:r>
          </w:p>
        </w:tc>
      </w:tr>
    </w:tbl>
    <w:p>
      <w:pPr>
        <w:spacing w:after="60"/>
      </w:pPr>
    </w:p>
    <w:p>
      <w:pPr>
        <w:widowControl w:val="0"/>
        <w:keepNext/>
        <w:keepLines/>
        <w:spacing w:before="360" w:after="120"/>
        <w:jc w:val="center"/>
        <w:outlineLvl w:val="0"/>
      </w:pPr>
      <w:r>
        <w:rPr>
          <w:rFonts w:ascii="Times New Roman" w:hAnsi="Times New Roman"/>
          <w:sz w:val="28"/>
          <w:szCs w:val="28"/>
        </w:rPr>
        <w:t xml:space="preserve">Приложение 2</w:t>
      </w:r>
    </w:p>
    <w:p>
      <w:pPr>
        <w:widowControl w:val="0"/>
        <w:spacing w:before="0" w:after="60" w:line="240" w:lineRule="auto"/>
        <w:ind w:firstLine="709"/>
        <w:jc w:val="both"/>
      </w:pPr>
      <w:r>
        <w:rPr>
          <w:rFonts w:ascii="Times New Roman" w:hAnsi="Times New Roman"/>
          <w:sz w:val="28"/>
          <w:szCs w:val="28"/>
        </w:rPr>
        <w:t xml:space="preserve">к МУК 4.2.____-26</w:t>
      </w:r>
    </w:p>
    <w:p>
      <w:pPr>
        <w:widowControl w:val="0"/>
        <w:spacing w:before="0" w:after="60" w:line="240" w:lineRule="auto"/>
        <w:ind w:firstLine="709"/>
        <w:jc w:val="both"/>
      </w:pPr>
      <w:r>
        <w:rPr>
          <w:rFonts w:ascii="Times New Roman" w:hAnsi="Times New Roman"/>
          <w:sz w:val="28"/>
          <w:szCs w:val="28"/>
        </w:rPr>
        <w:t xml:space="preserve">(рекомендуемое)</w:t>
      </w:r>
    </w:p>
    <w:p>
      <w:pPr>
        <w:widowControl w:val="0"/>
        <w:spacing w:before="0" w:after="60" w:line="240" w:lineRule="auto"/>
        <w:ind w:firstLine="709"/>
        <w:jc w:val="both"/>
      </w:pPr>
      <w:r>
        <w:rPr>
          <w:rFonts w:ascii="Times New Roman" w:hAnsi="Times New Roman"/>
          <w:sz w:val="28"/>
          <w:szCs w:val="28"/>
        </w:rPr>
        <w:t xml:space="preserve">Методы концентрирования проб разных видов вод</w:t>
      </w:r>
    </w:p>
    <w:p>
      <w:pPr>
        <w:widowControl w:val="0"/>
        <w:spacing w:before="0" w:after="60" w:line="240" w:lineRule="auto"/>
        <w:ind w:firstLine="709"/>
        <w:jc w:val="both"/>
      </w:pPr>
      <w:r>
        <w:rPr>
          <w:rFonts w:ascii="Times New Roman" w:hAnsi="Times New Roman"/>
          <w:sz w:val="28"/>
          <w:szCs w:val="28"/>
        </w:rPr>
        <w:t xml:space="preserve">Концентрация больших объемов воды (25 л и более) на объектах позволяет пробу воды, предназначенную для доставки в лабораторию на исследование, уменьшить до 0,5 – 1,0 л.</w:t>
      </w:r>
    </w:p>
    <w:p>
      <w:pPr>
        <w:widowControl w:val="0"/>
        <w:spacing w:before="0" w:after="60" w:line="240" w:lineRule="auto"/>
        <w:ind w:firstLine="709"/>
        <w:jc w:val="both"/>
      </w:pPr>
      <w:r>
        <w:rPr>
          <w:rFonts w:ascii="Times New Roman" w:hAnsi="Times New Roman"/>
          <w:sz w:val="28"/>
          <w:szCs w:val="28"/>
        </w:rPr>
        <w:t xml:space="preserve">Концентрирование больших объемов воды применимо также непосредственно в лабораториях, что позволяет не только уменьшить объемы исследуемых проб воды, но и хранить пробы перед исследованием в холодильнике до 3 суток при (5 ± 2) °С.</w:t>
      </w:r>
    </w:p>
    <w:p>
      <w:pPr>
        <w:widowControl w:val="0"/>
        <w:spacing w:before="0" w:after="60" w:line="240" w:lineRule="auto"/>
        <w:ind w:firstLine="709"/>
        <w:jc w:val="both"/>
      </w:pPr>
      <w:r>
        <w:rPr>
          <w:rFonts w:ascii="Times New Roman" w:hAnsi="Times New Roman"/>
          <w:sz w:val="28"/>
          <w:szCs w:val="28"/>
        </w:rPr>
        <w:t xml:space="preserve">Концентрирование проб воды с применением химических веществ</w:t>
      </w:r>
    </w:p>
    <w:p>
      <w:pPr>
        <w:widowControl w:val="0"/>
        <w:spacing w:before="0" w:after="60" w:line="240" w:lineRule="auto"/>
        <w:ind w:firstLine="709"/>
        <w:jc w:val="both"/>
      </w:pPr>
      <w:r>
        <w:rPr>
          <w:rFonts w:ascii="Times New Roman" w:hAnsi="Times New Roman"/>
          <w:sz w:val="28"/>
          <w:szCs w:val="28"/>
        </w:rPr>
        <w:t xml:space="preserve">Концентрированием пробы воды с применением коагулянтов: сульфата алюминия, сульфата железа, сульфата меди:</w:t>
      </w:r>
    </w:p>
    <w:p>
      <w:pPr>
        <w:widowControl w:val="0"/>
        <w:spacing w:before="0" w:after="60" w:line="240" w:lineRule="auto"/>
        <w:ind w:firstLine="709"/>
        <w:jc w:val="both"/>
      </w:pPr>
      <w:r>
        <w:rPr>
          <w:rFonts w:ascii="Times New Roman" w:hAnsi="Times New Roman"/>
          <w:sz w:val="28"/>
          <w:szCs w:val="28"/>
        </w:rPr>
        <w:t xml:space="preserve">коагулянт в расчете 0,1 – 0,5 г / л добавляют в отобранную пробу воды непосредственно на обследуемом объекте, хорошо перемешивают;</w:t>
      </w:r>
    </w:p>
    <w:p>
      <w:pPr>
        <w:widowControl w:val="0"/>
        <w:spacing w:before="0" w:after="60" w:line="240" w:lineRule="auto"/>
        <w:ind w:firstLine="709"/>
        <w:jc w:val="both"/>
      </w:pPr>
      <w:r>
        <w:rPr>
          <w:rFonts w:ascii="Times New Roman" w:hAnsi="Times New Roman"/>
          <w:sz w:val="28"/>
          <w:szCs w:val="28"/>
        </w:rPr>
        <w:t xml:space="preserve">отстаивают в течение 40 – 50 мин;</w:t>
      </w:r>
    </w:p>
    <w:p>
      <w:pPr>
        <w:widowControl w:val="0"/>
        <w:spacing w:before="0" w:after="60" w:line="240" w:lineRule="auto"/>
        <w:ind w:firstLine="709"/>
        <w:jc w:val="both"/>
      </w:pPr>
      <w:r>
        <w:rPr>
          <w:rFonts w:ascii="Times New Roman" w:hAnsi="Times New Roman"/>
          <w:sz w:val="28"/>
          <w:szCs w:val="28"/>
        </w:rPr>
        <w:t xml:space="preserve">после осаждения хлопьев надосадочную жидкость (две третьих от общего объема) удаляют;</w:t>
      </w:r>
    </w:p>
    <w:p>
      <w:pPr>
        <w:widowControl w:val="0"/>
        <w:spacing w:before="0" w:after="60" w:line="240" w:lineRule="auto"/>
        <w:ind w:firstLine="709"/>
        <w:jc w:val="both"/>
      </w:pPr>
      <w:r>
        <w:rPr>
          <w:rFonts w:ascii="Times New Roman" w:hAnsi="Times New Roman"/>
          <w:sz w:val="28"/>
          <w:szCs w:val="28"/>
        </w:rPr>
        <w:t xml:space="preserve">образовавшийся осадок переливают в емкости с завинчивающейся крышкой, маркируют и доставляют в лабораторию.</w:t>
      </w:r>
    </w:p>
    <w:p>
      <w:pPr>
        <w:widowControl w:val="0"/>
        <w:spacing w:before="0" w:after="60" w:line="240" w:lineRule="auto"/>
        <w:ind w:firstLine="709"/>
        <w:jc w:val="both"/>
      </w:pPr>
      <w:r>
        <w:rPr>
          <w:rFonts w:ascii="Times New Roman" w:hAnsi="Times New Roman"/>
          <w:sz w:val="28"/>
          <w:szCs w:val="28"/>
        </w:rPr>
        <w:t xml:space="preserve">Концентрирование пробы воды карбонатом кальция:</w:t>
      </w:r>
    </w:p>
    <w:p>
      <w:pPr>
        <w:widowControl w:val="0"/>
        <w:spacing w:before="0" w:after="60" w:line="240" w:lineRule="auto"/>
        <w:ind w:firstLine="709"/>
        <w:jc w:val="both"/>
      </w:pPr>
      <w:r>
        <w:rPr>
          <w:rFonts w:ascii="Times New Roman" w:hAnsi="Times New Roman"/>
          <w:sz w:val="28"/>
          <w:szCs w:val="28"/>
        </w:rPr>
        <w:t xml:space="preserve">к 10 л пробы добавляют 100 мл 1 моль / л CaCl2, затем 100 мл 1 моль / л Na2CO3. Встряхивают емкость для перемешивания;</w:t>
      </w:r>
    </w:p>
    <w:p>
      <w:pPr>
        <w:widowControl w:val="0"/>
        <w:spacing w:before="0" w:after="60" w:line="240" w:lineRule="auto"/>
        <w:ind w:firstLine="709"/>
        <w:jc w:val="both"/>
      </w:pPr>
      <w:r>
        <w:rPr>
          <w:rFonts w:ascii="Times New Roman" w:hAnsi="Times New Roman"/>
          <w:sz w:val="28"/>
          <w:szCs w:val="28"/>
        </w:rPr>
        <w:t xml:space="preserve">добавляют 100 мл 1 моль / л NaOH, перемешивают и отстаивают не менее 2 ч;</w:t>
      </w:r>
    </w:p>
    <w:p>
      <w:pPr>
        <w:widowControl w:val="0"/>
        <w:spacing w:before="0" w:after="60" w:line="240" w:lineRule="auto"/>
        <w:ind w:firstLine="709"/>
        <w:jc w:val="both"/>
      </w:pPr>
      <w:r>
        <w:rPr>
          <w:rFonts w:ascii="Times New Roman" w:hAnsi="Times New Roman"/>
          <w:sz w:val="28"/>
          <w:szCs w:val="28"/>
        </w:rPr>
        <w:t xml:space="preserve">после осаждения хлопьев удаляют из емкости надосадочную жидкость, оставив 4 – 5 см жидкости над осадком (даже если осадок невидим);</w:t>
      </w:r>
    </w:p>
    <w:p>
      <w:pPr>
        <w:widowControl w:val="0"/>
        <w:spacing w:before="0" w:after="60" w:line="240" w:lineRule="auto"/>
        <w:ind w:firstLine="709"/>
        <w:jc w:val="both"/>
      </w:pPr>
      <w:r>
        <w:rPr>
          <w:rFonts w:ascii="Times New Roman" w:hAnsi="Times New Roman"/>
          <w:sz w:val="28"/>
          <w:szCs w:val="28"/>
        </w:rPr>
        <w:t xml:space="preserve">в осадок с надосадочной жидкостью добавляют 10 %-й раствор сульфаминовой (амидосернистой) кислоты (NH2SO3H) для полного растворения хлопьев;</w:t>
      </w:r>
    </w:p>
    <w:p>
      <w:pPr>
        <w:widowControl w:val="0"/>
        <w:spacing w:before="0" w:after="60" w:line="240" w:lineRule="auto"/>
        <w:ind w:firstLine="709"/>
        <w:jc w:val="both"/>
      </w:pPr>
      <w:r>
        <w:rPr>
          <w:rFonts w:ascii="Times New Roman" w:hAnsi="Times New Roman"/>
          <w:sz w:val="28"/>
          <w:szCs w:val="28"/>
        </w:rPr>
        <w:t xml:space="preserve">хорошо перемешивают содержимое емкости и переливают в центрифужные флаконы объемом 1 000 мл или 500 мл, пронумерованные в соответствии с номером пробы;</w:t>
      </w:r>
    </w:p>
    <w:p>
      <w:pPr>
        <w:widowControl w:val="0"/>
        <w:spacing w:before="0" w:after="60" w:line="240" w:lineRule="auto"/>
        <w:ind w:firstLine="709"/>
        <w:jc w:val="both"/>
      </w:pPr>
      <w:r>
        <w:rPr>
          <w:rFonts w:ascii="Times New Roman" w:hAnsi="Times New Roman"/>
          <w:sz w:val="28"/>
          <w:szCs w:val="28"/>
        </w:rPr>
        <w:t xml:space="preserve">вода во флаконах должна иметь pH 6 ± 0,5, чтобы не было повторного образования хлопьев. При несоответствии рН доводят раствором 1 моль / л NaOH;</w:t>
      </w:r>
    </w:p>
    <w:p>
      <w:pPr>
        <w:widowControl w:val="0"/>
        <w:spacing w:before="0" w:after="60" w:line="240" w:lineRule="auto"/>
        <w:ind w:firstLine="709"/>
        <w:jc w:val="both"/>
      </w:pPr>
      <w:r>
        <w:rPr>
          <w:rFonts w:ascii="Times New Roman" w:hAnsi="Times New Roman"/>
          <w:sz w:val="28"/>
          <w:szCs w:val="28"/>
        </w:rPr>
        <w:t xml:space="preserve">центрифугируют флаконы 10 мин при 1500 – 2000 об/мин, удалить (слить) надосадочную жидкость, энергично перемешивают оставшуюся жидкость, ресуспендируя осадок, и переносят его в градуированную центрифужную пробирку объемом 50 мл;</w:t>
      </w:r>
    </w:p>
    <w:p>
      <w:pPr>
        <w:widowControl w:val="0"/>
        <w:spacing w:before="0" w:after="60" w:line="240" w:lineRule="auto"/>
        <w:ind w:firstLine="709"/>
        <w:jc w:val="both"/>
      </w:pPr>
      <w:r>
        <w:rPr>
          <w:rFonts w:ascii="Times New Roman" w:hAnsi="Times New Roman"/>
          <w:sz w:val="28"/>
          <w:szCs w:val="28"/>
        </w:rPr>
        <w:t xml:space="preserve">доводят объем в ней до 50 мл фильтрованной дистиллированной водой, центрифугируют пробирки 15 мин при 2000 – 2500 об/мин (записывают объем осадка сразу после центрифугирования), удаляют надосадочную жидкость, оставив 1 см над осадком;</w:t>
      </w:r>
    </w:p>
    <w:p>
      <w:pPr>
        <w:widowControl w:val="0"/>
        <w:spacing w:before="0" w:after="60" w:line="240" w:lineRule="auto"/>
        <w:ind w:firstLine="709"/>
        <w:jc w:val="both"/>
      </w:pPr>
      <w:r>
        <w:rPr>
          <w:rFonts w:ascii="Times New Roman" w:hAnsi="Times New Roman"/>
          <w:sz w:val="28"/>
          <w:szCs w:val="28"/>
        </w:rPr>
        <w:t xml:space="preserve">добавляют дистиллированную воду в центрифужную пробирку, доведя объем до 5 мл, встряхивают суспензию в течение 10 – 15 с.</w:t>
      </w:r>
    </w:p>
    <w:p>
      <w:pPr>
        <w:widowControl w:val="0"/>
        <w:spacing w:before="0" w:after="60" w:line="240" w:lineRule="auto"/>
        <w:ind w:firstLine="709"/>
        <w:jc w:val="both"/>
      </w:pPr>
      <w:r>
        <w:rPr>
          <w:rFonts w:ascii="Times New Roman" w:hAnsi="Times New Roman"/>
          <w:sz w:val="28"/>
          <w:szCs w:val="28"/>
        </w:rPr>
        <w:t xml:space="preserve">Концентрирование пробы воды сульфатом железа (FeSO4 × 7H2O):</w:t>
      </w:r>
    </w:p>
    <w:p>
      <w:pPr>
        <w:widowControl w:val="0"/>
        <w:spacing w:before="0" w:after="60" w:line="240" w:lineRule="auto"/>
        <w:ind w:firstLine="709"/>
        <w:jc w:val="both"/>
      </w:pPr>
      <w:r>
        <w:rPr>
          <w:rFonts w:ascii="Times New Roman" w:hAnsi="Times New Roman"/>
          <w:sz w:val="28"/>
          <w:szCs w:val="28"/>
        </w:rPr>
        <w:t xml:space="preserve">на 10 л добавляют 20 мл 1 моль / л раствор FeSO4 × 7H2O, перемешивают механически в течение 5 мин, доводят значение pH до 9,0  0,2, добавив в емкость 2 мл 1 моль / л раствора NaOH;</w:t>
      </w:r>
    </w:p>
    <w:p>
      <w:pPr>
        <w:widowControl w:val="0"/>
        <w:spacing w:before="0" w:after="60" w:line="240" w:lineRule="auto"/>
        <w:ind w:firstLine="709"/>
        <w:jc w:val="both"/>
      </w:pPr>
      <w:r>
        <w:rPr>
          <w:rFonts w:ascii="Times New Roman" w:hAnsi="Times New Roman"/>
          <w:sz w:val="28"/>
          <w:szCs w:val="28"/>
        </w:rPr>
        <w:t xml:space="preserve">отстаивают в течение 12 – 18 ч при комнатной температуре (плюс 15 – 20°С), затем удаляют надосадочную жидкость, оставив над осадком 4 – 5 см жидкости;</w:t>
      </w:r>
    </w:p>
    <w:p>
      <w:pPr>
        <w:widowControl w:val="0"/>
        <w:spacing w:before="0" w:after="60" w:line="240" w:lineRule="auto"/>
        <w:ind w:firstLine="709"/>
        <w:jc w:val="both"/>
      </w:pPr>
      <w:r>
        <w:rPr>
          <w:rFonts w:ascii="Times New Roman" w:hAnsi="Times New Roman"/>
          <w:sz w:val="28"/>
          <w:szCs w:val="28"/>
        </w:rPr>
        <w:t xml:space="preserve">переливают содержимое канистры в центрифужные флаконы объемом 1000 мл или 500 мл и центрифугируют 10 мин при 1500 – 2000 об/мин;</w:t>
      </w:r>
    </w:p>
    <w:p>
      <w:pPr>
        <w:widowControl w:val="0"/>
        <w:spacing w:before="0" w:after="60" w:line="240" w:lineRule="auto"/>
        <w:ind w:firstLine="709"/>
        <w:jc w:val="both"/>
      </w:pPr>
      <w:r>
        <w:rPr>
          <w:rFonts w:ascii="Times New Roman" w:hAnsi="Times New Roman"/>
          <w:sz w:val="28"/>
          <w:szCs w:val="28"/>
        </w:rPr>
        <w:t xml:space="preserve">удаляют надосадочную жидкость, оставив над осадком (даже если осадок невидим) 1 см жидкости;</w:t>
      </w:r>
    </w:p>
    <w:p>
      <w:pPr>
        <w:widowControl w:val="0"/>
        <w:spacing w:before="0" w:after="60" w:line="240" w:lineRule="auto"/>
        <w:ind w:firstLine="709"/>
        <w:jc w:val="both"/>
      </w:pPr>
      <w:r>
        <w:rPr>
          <w:rFonts w:ascii="Times New Roman" w:hAnsi="Times New Roman"/>
          <w:sz w:val="28"/>
          <w:szCs w:val="28"/>
        </w:rPr>
        <w:t xml:space="preserve">измеряют лакмусовой бумагой pH концентрированного осадка и, если необходимо, доводят до pH 7,2 – 7,4 раствором 1 моль / л NaOH;</w:t>
      </w:r>
    </w:p>
    <w:p>
      <w:pPr>
        <w:widowControl w:val="0"/>
        <w:spacing w:before="0" w:after="60" w:line="240" w:lineRule="auto"/>
        <w:ind w:firstLine="709"/>
        <w:jc w:val="both"/>
      </w:pPr>
      <w:r>
        <w:rPr>
          <w:rFonts w:ascii="Times New Roman" w:hAnsi="Times New Roman"/>
          <w:sz w:val="28"/>
          <w:szCs w:val="28"/>
        </w:rPr>
        <w:t xml:space="preserve">переносят суспензию в градуированные центрифужные пробирки объемом 50 мл, доводят объем в пробирках до 50 мл дистиллированной водой, центрифугируют 15 мин при 1500 об/мин (записывают объем осадка сразу после центрифугирования, удаляют надосадочную, оставив над осадком 1 см жидкости;</w:t>
      </w:r>
    </w:p>
    <w:p>
      <w:pPr>
        <w:widowControl w:val="0"/>
        <w:spacing w:before="0" w:after="60" w:line="240" w:lineRule="auto"/>
        <w:ind w:firstLine="709"/>
        <w:jc w:val="both"/>
      </w:pPr>
      <w:r>
        <w:rPr>
          <w:rFonts w:ascii="Times New Roman" w:hAnsi="Times New Roman"/>
          <w:sz w:val="28"/>
          <w:szCs w:val="28"/>
        </w:rPr>
        <w:t xml:space="preserve">добавляют в центрифужные пробирки дистиллированной воды, доведя объем до 10 мл, встряхивают суспензию в течение 10 – 15 с.</w:t>
      </w:r>
    </w:p>
    <w:p>
      <w:pPr>
        <w:widowControl w:val="0"/>
        <w:spacing w:before="0" w:after="60" w:line="240" w:lineRule="auto"/>
        <w:ind w:firstLine="709"/>
        <w:jc w:val="both"/>
      </w:pPr>
      <w:r>
        <w:rPr>
          <w:rFonts w:ascii="Times New Roman" w:hAnsi="Times New Roman"/>
          <w:sz w:val="28"/>
          <w:szCs w:val="28"/>
        </w:rPr>
        <w:t xml:space="preserve">Недостаток метода:</w:t>
      </w:r>
    </w:p>
    <w:p>
      <w:pPr>
        <w:widowControl w:val="0"/>
        <w:spacing w:before="0" w:after="60" w:line="240" w:lineRule="auto"/>
        <w:ind w:firstLine="709"/>
        <w:jc w:val="both"/>
      </w:pPr>
      <w:r>
        <w:rPr>
          <w:rFonts w:ascii="Times New Roman" w:hAnsi="Times New Roman"/>
          <w:sz w:val="28"/>
          <w:szCs w:val="28"/>
        </w:rPr>
        <w:t xml:space="preserve">1) на месте забора проб воды необходимо иметь дополнительное оборудование – центрифугу;</w:t>
      </w:r>
    </w:p>
    <w:p>
      <w:pPr>
        <w:widowControl w:val="0"/>
        <w:spacing w:before="0" w:after="60" w:line="240" w:lineRule="auto"/>
        <w:ind w:firstLine="709"/>
        <w:jc w:val="both"/>
      </w:pPr>
      <w:r>
        <w:rPr>
          <w:rFonts w:ascii="Times New Roman" w:hAnsi="Times New Roman"/>
          <w:sz w:val="28"/>
          <w:szCs w:val="28"/>
        </w:rPr>
        <w:t xml:space="preserve">2) длительность отстаивания воды после добавления химических веществ (несколько часов и более), что не всегда возможно при ограниченности времени, отведенного на отбор проб.</w:t>
      </w:r>
    </w:p>
    <w:p>
      <w:pPr>
        <w:widowControl w:val="0"/>
        <w:spacing w:before="0" w:after="60" w:line="240" w:lineRule="auto"/>
        <w:ind w:firstLine="709"/>
        <w:jc w:val="both"/>
      </w:pPr>
      <w:r>
        <w:rPr>
          <w:rFonts w:ascii="Times New Roman" w:hAnsi="Times New Roman"/>
          <w:sz w:val="28"/>
          <w:szCs w:val="28"/>
        </w:rPr>
        <w:t xml:space="preserve">Концентрирование разного вида вод на мембранных и порошковых фильтрах</w:t>
      </w:r>
    </w:p>
    <w:p>
      <w:pPr>
        <w:widowControl w:val="0"/>
        <w:spacing w:before="0" w:after="60" w:line="240" w:lineRule="auto"/>
        <w:ind w:firstLine="709"/>
        <w:jc w:val="both"/>
      </w:pPr>
      <w:r>
        <w:rPr>
          <w:rFonts w:ascii="Times New Roman" w:hAnsi="Times New Roman"/>
          <w:sz w:val="28"/>
          <w:szCs w:val="28"/>
        </w:rPr>
        <w:t xml:space="preserve">Применяемые для фильтрования мембранные фильтры МФАС СПА или прозрачные АТМ укладывают на фильтродержатель (фритту) прибора вакуумного или напорного фильтрования и фильтруют через них исследуемую пробу воды в соответствии с инструкцией к прибору.</w:t>
      </w:r>
    </w:p>
    <w:p>
      <w:pPr>
        <w:widowControl w:val="0"/>
        <w:spacing w:before="0" w:after="60" w:line="240" w:lineRule="auto"/>
        <w:ind w:firstLine="709"/>
        <w:jc w:val="both"/>
      </w:pPr>
      <w:r>
        <w:rPr>
          <w:rFonts w:ascii="Times New Roman" w:hAnsi="Times New Roman"/>
          <w:sz w:val="28"/>
          <w:szCs w:val="28"/>
        </w:rPr>
        <w:t xml:space="preserve">По мере замедления процесса фильтрации из-за загрязнения фильтра его заменяют новым, использованный фильтр с осадком снимают пинцетом с фильтродержателя прибора и помещают в емкости для хранения и доставки в лабораторию. Использование в приборах предфильтров перед поступлением исследуемой воды на мембранный фильтр уменьшает вероятность их загрязнения крупными частицами.</w:t>
      </w:r>
    </w:p>
    <w:p>
      <w:pPr>
        <w:widowControl w:val="0"/>
        <w:spacing w:before="0" w:after="60" w:line="240" w:lineRule="auto"/>
        <w:ind w:firstLine="709"/>
        <w:jc w:val="both"/>
      </w:pPr>
      <w:r>
        <w:rPr>
          <w:rFonts w:ascii="Times New Roman" w:hAnsi="Times New Roman"/>
          <w:sz w:val="28"/>
          <w:szCs w:val="28"/>
        </w:rPr>
        <w:t xml:space="preserve">В условиях лаборатории производится смыв осадка с мембранных фильтров в день отбора (фильтрования) и доставки проб. Исследование концентрированного смыва с мембранных фильтров проводится в лаборатории в соответствии с методиками в день доставки или не позднее 3-х суток с момента отбора проб, при условии хранения смыва в стеклянных емкостях.</w:t>
      </w:r>
    </w:p>
    <w:p>
      <w:pPr>
        <w:widowControl w:val="0"/>
        <w:spacing w:before="0" w:after="60" w:line="240" w:lineRule="auto"/>
        <w:ind w:firstLine="709"/>
        <w:jc w:val="both"/>
      </w:pPr>
      <w:r>
        <w:rPr>
          <w:rFonts w:ascii="Times New Roman" w:hAnsi="Times New Roman"/>
          <w:sz w:val="28"/>
          <w:szCs w:val="28"/>
        </w:rPr>
        <w:t xml:space="preserve">Порошковая фильтрация осуществляется на приборах типа ПробоКонг и проводится в соответствии с инструкцией к прибору. Объем профильтрованной воды измеряют водосчетчиком, давление фильтрации – манометром. Фильтрование происходит через намывной порошковый фильтр гидробиологический (ПФГ), формируемый на опорной сетке потоком исследуемой воды. В качестве сменного корпуса фильтра применяют пластиковую бутылку, в которую после окончания фильтрации смывают слой порошкового фильтра с задержанными патогенами и транспортируют в лабораторию для дальнейшего исследования.</w:t>
      </w:r>
    </w:p>
    <w:p>
      <w:pPr>
        <w:widowControl w:val="0"/>
        <w:spacing w:before="0" w:after="60" w:line="240" w:lineRule="auto"/>
        <w:ind w:firstLine="709"/>
        <w:jc w:val="both"/>
      </w:pPr>
      <w:r>
        <w:rPr>
          <w:rFonts w:ascii="Times New Roman" w:hAnsi="Times New Roman"/>
          <w:sz w:val="28"/>
          <w:szCs w:val="28"/>
        </w:rPr>
        <w:t xml:space="preserve">Метод обеспечивает возможность быстрого концентрирования больших (до 1000 л) объемов питьевой воды до 100 – 500 мл концентрата для дальнейшего исследования, простоту отделения паразитарных объектов от фильтрующего материала в процессе флотации, исключает необходимость отбора и транспортирования в лабораторию больших ( 50 л) объемов питьевой воды.</w:t>
      </w:r>
    </w:p>
    <w:p>
      <w:pPr>
        <w:widowControl w:val="0"/>
        <w:keepNext/>
        <w:keepLines/>
        <w:spacing w:before="360" w:after="120"/>
        <w:jc w:val="center"/>
        <w:outlineLvl w:val="0"/>
      </w:pPr>
      <w:r>
        <w:rPr>
          <w:rFonts w:ascii="Times New Roman" w:hAnsi="Times New Roman"/>
          <w:sz w:val="28"/>
          <w:szCs w:val="28"/>
        </w:rPr>
        <w:t xml:space="preserve">Приложение 3</w:t>
      </w:r>
    </w:p>
    <w:p>
      <w:pPr>
        <w:widowControl w:val="0"/>
        <w:spacing w:before="0" w:after="60" w:line="240" w:lineRule="auto"/>
        <w:ind w:firstLine="709"/>
        <w:jc w:val="both"/>
      </w:pPr>
      <w:r>
        <w:rPr>
          <w:rFonts w:ascii="Times New Roman" w:hAnsi="Times New Roman"/>
          <w:sz w:val="28"/>
          <w:szCs w:val="28"/>
        </w:rPr>
        <w:t xml:space="preserve">к МУК 4.2.____-26</w:t>
      </w:r>
    </w:p>
    <w:p>
      <w:pPr>
        <w:widowControl w:val="0"/>
        <w:spacing w:before="0" w:after="60" w:line="240" w:lineRule="auto"/>
        <w:ind w:firstLine="709"/>
        <w:jc w:val="both"/>
      </w:pPr>
      <w:r>
        <w:rPr>
          <w:rFonts w:ascii="Times New Roman" w:hAnsi="Times New Roman"/>
          <w:sz w:val="28"/>
          <w:szCs w:val="28"/>
        </w:rPr>
        <w:t xml:space="preserve">Состав флотационных растворов</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1805"/>
        <w:gridCol w:w="1805"/>
        <w:gridCol w:w="1805"/>
        <w:gridCol w:w="1805"/>
        <w:gridCol w:w="1805"/>
      </w:tblGrid>
      <w:tr>
        <w:tc>
          <w:tcPr>
            <w:tcW w:w="0" w:type="auto"/>
          </w:tcPr>
          <w:p>
            <w:pPr>
              <w:pStyle w:val="TablCenter"/>
              <w:rPr>
                <w:b/>
              </w:rPr>
            </w:pPr>
            <w:r>
              <w:rPr>
                <w:rFonts w:ascii="Times New Roman" w:hAnsi="Times New Roman"/>
                <w:b/>
                <w:sz w:val="28"/>
                <w:szCs w:val="28"/>
              </w:rPr>
              <w:t xml:space="preserve">№ п/п</w:t>
            </w:r>
          </w:p>
        </w:tc>
        <w:tc>
          <w:tcPr>
            <w:tcW w:w="0" w:type="auto"/>
          </w:tcPr>
          <w:p>
            <w:pPr>
              <w:pStyle w:val="TablCenter"/>
              <w:rPr>
                <w:b/>
              </w:rPr>
            </w:pPr>
            <w:r>
              <w:rPr>
                <w:rFonts w:ascii="Times New Roman" w:hAnsi="Times New Roman"/>
                <w:b/>
                <w:sz w:val="28"/>
                <w:szCs w:val="28"/>
              </w:rPr>
              <w:t xml:space="preserve">Наименование реактива</w:t>
            </w:r>
          </w:p>
        </w:tc>
        <w:tc>
          <w:tcPr>
            <w:tcW w:w="0" w:type="auto"/>
          </w:tcPr>
          <w:p>
            <w:pPr>
              <w:pStyle w:val="TablCenter"/>
              <w:rPr>
                <w:b/>
              </w:rPr>
            </w:pPr>
            <w:r>
              <w:rPr>
                <w:rFonts w:ascii="Times New Roman" w:hAnsi="Times New Roman"/>
                <w:b/>
                <w:sz w:val="28"/>
                <w:szCs w:val="28"/>
              </w:rPr>
              <w:t xml:space="preserve">Химическая формула</w:t>
            </w:r>
          </w:p>
        </w:tc>
        <w:tc>
          <w:tcPr>
            <w:tcW w:w="0" w:type="auto"/>
          </w:tcPr>
          <w:p>
            <w:pPr>
              <w:pStyle w:val="TablCenter"/>
              <w:rPr>
                <w:b/>
              </w:rPr>
            </w:pPr>
            <w:r>
              <w:rPr>
                <w:rFonts w:ascii="Times New Roman" w:hAnsi="Times New Roman"/>
                <w:b/>
                <w:sz w:val="28"/>
                <w:szCs w:val="28"/>
              </w:rPr>
              <w:t xml:space="preserve">Кол-во реактива (г) на 1 л воды</w:t>
            </w:r>
          </w:p>
        </w:tc>
        <w:tc>
          <w:tcPr>
            <w:tcW w:w="0" w:type="auto"/>
          </w:tcPr>
          <w:p>
            <w:pPr>
              <w:pStyle w:val="TablCenter"/>
              <w:rPr>
                <w:b/>
              </w:rPr>
            </w:pPr>
            <w:r>
              <w:rPr>
                <w:rFonts w:ascii="Times New Roman" w:hAnsi="Times New Roman"/>
                <w:b/>
                <w:sz w:val="28"/>
                <w:szCs w:val="28"/>
              </w:rPr>
              <w:t xml:space="preserve">Плотность, г/см³</w:t>
            </w:r>
          </w:p>
        </w:tc>
      </w:tr>
      <w:tr>
        <w:tc>
          <w:tcPr>
            <w:tcW w:w="0" w:type="auto"/>
          </w:tcPr>
          <w:p>
            <w:pPr>
              <w:pStyle w:val="TablCenter"/>
            </w:pPr>
            <w:r>
              <w:rPr>
                <w:rFonts w:ascii="Times New Roman" w:hAnsi="Times New Roman"/>
                <w:sz w:val="28"/>
                <w:szCs w:val="28"/>
              </w:rPr>
              <w:t xml:space="preserve">1</w:t>
            </w:r>
          </w:p>
        </w:tc>
        <w:tc>
          <w:tcPr>
            <w:tcW w:w="0" w:type="auto"/>
          </w:tcPr>
          <w:p>
            <w:pPr>
              <w:pStyle w:val="TablCenter"/>
            </w:pPr>
            <w:r>
              <w:rPr>
                <w:rFonts w:ascii="Times New Roman" w:hAnsi="Times New Roman"/>
                <w:sz w:val="28"/>
                <w:szCs w:val="28"/>
              </w:rPr>
              <w:t xml:space="preserve">Азотнокислый натрий</w:t>
            </w:r>
          </w:p>
        </w:tc>
        <w:tc>
          <w:tcPr>
            <w:tcW w:w="0" w:type="auto"/>
          </w:tcPr>
          <w:p>
            <w:pPr>
              <w:pStyle w:val="TablCenter"/>
            </w:pPr>
            <w:r>
              <w:rPr>
                <w:rFonts w:ascii="Times New Roman" w:hAnsi="Times New Roman"/>
                <w:sz w:val="28"/>
                <w:szCs w:val="28"/>
              </w:rPr>
              <w:t xml:space="preserve">NaNO3</w:t>
            </w:r>
          </w:p>
        </w:tc>
        <w:tc>
          <w:tcPr>
            <w:tcW w:w="0" w:type="auto"/>
          </w:tcPr>
          <w:p>
            <w:pPr>
              <w:pStyle w:val="TablCenter"/>
            </w:pPr>
            <w:r>
              <w:rPr>
                <w:rFonts w:ascii="Times New Roman" w:hAnsi="Times New Roman"/>
                <w:sz w:val="28"/>
                <w:szCs w:val="28"/>
              </w:rPr>
              <w:t xml:space="preserve">1000 (растворять в горячей воде; плотность контролировать ареометром после охлаждения до (20 ± 2) °С)</w:t>
            </w:r>
          </w:p>
        </w:tc>
        <w:tc>
          <w:tcPr>
            <w:tcW w:w="0" w:type="auto"/>
          </w:tcPr>
          <w:p>
            <w:pPr>
              <w:pStyle w:val="TablCenter"/>
            </w:pPr>
            <w:r>
              <w:rPr>
                <w:rFonts w:ascii="Times New Roman" w:hAnsi="Times New Roman"/>
                <w:sz w:val="28"/>
                <w:szCs w:val="28"/>
              </w:rPr>
              <w:t xml:space="preserve">1,38–1,40</w:t>
            </w:r>
          </w:p>
        </w:tc>
      </w:tr>
      <w:tr>
        <w:tc>
          <w:tcPr>
            <w:tcW w:w="0" w:type="auto"/>
          </w:tcPr>
          <w:p>
            <w:pPr>
              <w:pStyle w:val="TablCenter"/>
            </w:pPr>
            <w:r>
              <w:rPr>
                <w:rFonts w:ascii="Times New Roman" w:hAnsi="Times New Roman"/>
                <w:sz w:val="28"/>
                <w:szCs w:val="28"/>
              </w:rPr>
              <w:t xml:space="preserve">2</w:t>
            </w:r>
          </w:p>
        </w:tc>
        <w:tc>
          <w:tcPr>
            <w:tcW w:w="0" w:type="auto"/>
          </w:tcPr>
          <w:p>
            <w:pPr>
              <w:pStyle w:val="TablCenter"/>
            </w:pPr>
            <w:r>
              <w:rPr>
                <w:rFonts w:ascii="Times New Roman" w:hAnsi="Times New Roman"/>
                <w:sz w:val="28"/>
                <w:szCs w:val="28"/>
              </w:rPr>
              <w:t xml:space="preserve">Нитрат аммония (аммиачная селитра)</w:t>
            </w:r>
          </w:p>
        </w:tc>
        <w:tc>
          <w:tcPr>
            <w:tcW w:w="0" w:type="auto"/>
          </w:tcPr>
          <w:p>
            <w:pPr>
              <w:pStyle w:val="TablCenter"/>
            </w:pPr>
            <w:r>
              <w:rPr>
                <w:rFonts w:ascii="Times New Roman" w:hAnsi="Times New Roman"/>
                <w:sz w:val="28"/>
                <w:szCs w:val="28"/>
              </w:rPr>
              <w:t xml:space="preserve">NH4NO3</w:t>
            </w:r>
          </w:p>
        </w:tc>
        <w:tc>
          <w:tcPr>
            <w:tcW w:w="0" w:type="auto"/>
          </w:tcPr>
          <w:p>
            <w:pPr>
              <w:pStyle w:val="TablCenter"/>
            </w:pPr>
            <w:r>
              <w:rPr>
                <w:rFonts w:ascii="Times New Roman" w:hAnsi="Times New Roman"/>
                <w:sz w:val="28"/>
                <w:szCs w:val="28"/>
              </w:rPr>
              <w:t xml:space="preserve">1500</w:t>
            </w:r>
          </w:p>
        </w:tc>
        <w:tc>
          <w:tcPr>
            <w:tcW w:w="0" w:type="auto"/>
          </w:tcPr>
          <w:p>
            <w:pPr>
              <w:pStyle w:val="TablCenter"/>
            </w:pPr>
            <w:r>
              <w:rPr>
                <w:rFonts w:ascii="Times New Roman" w:hAnsi="Times New Roman"/>
                <w:sz w:val="28"/>
                <w:szCs w:val="28"/>
              </w:rPr>
              <w:t xml:space="preserve">1,3</w:t>
            </w:r>
          </w:p>
        </w:tc>
      </w:tr>
      <w:tr>
        <w:tc>
          <w:tcPr>
            <w:tcW w:w="0" w:type="auto"/>
          </w:tcPr>
          <w:p>
            <w:pPr>
              <w:pStyle w:val="TablCenter"/>
            </w:pPr>
            <w:r>
              <w:rPr>
                <w:rFonts w:ascii="Times New Roman" w:hAnsi="Times New Roman"/>
                <w:sz w:val="28"/>
                <w:szCs w:val="28"/>
              </w:rPr>
              <w:t xml:space="preserve">3</w:t>
            </w:r>
          </w:p>
        </w:tc>
        <w:tc>
          <w:tcPr>
            <w:tcW w:w="0" w:type="auto"/>
          </w:tcPr>
          <w:p>
            <w:pPr>
              <w:pStyle w:val="TablCenter"/>
            </w:pPr>
            <w:r>
              <w:rPr>
                <w:rFonts w:ascii="Times New Roman" w:hAnsi="Times New Roman"/>
                <w:sz w:val="28"/>
                <w:szCs w:val="28"/>
              </w:rPr>
              <w:t xml:space="preserve">Тиосульфат натрия (гипосульфит)</w:t>
            </w:r>
          </w:p>
        </w:tc>
        <w:tc>
          <w:tcPr>
            <w:tcW w:w="0" w:type="auto"/>
          </w:tcPr>
          <w:p>
            <w:pPr>
              <w:pStyle w:val="TablCenter"/>
            </w:pPr>
            <w:r>
              <w:rPr>
                <w:rFonts w:ascii="Times New Roman" w:hAnsi="Times New Roman"/>
                <w:sz w:val="28"/>
                <w:szCs w:val="28"/>
              </w:rPr>
              <w:t xml:space="preserve">Na2S2O3×5H2O</w:t>
            </w:r>
          </w:p>
        </w:tc>
        <w:tc>
          <w:tcPr>
            <w:tcW w:w="0" w:type="auto"/>
          </w:tcPr>
          <w:p>
            <w:pPr>
              <w:pStyle w:val="TablCenter"/>
            </w:pPr>
            <w:r>
              <w:rPr>
                <w:rFonts w:ascii="Times New Roman" w:hAnsi="Times New Roman"/>
                <w:sz w:val="28"/>
                <w:szCs w:val="28"/>
              </w:rPr>
              <w:t xml:space="preserve">1750</w:t>
            </w:r>
          </w:p>
        </w:tc>
        <w:tc>
          <w:tcPr>
            <w:tcW w:w="0" w:type="auto"/>
          </w:tcPr>
          <w:p>
            <w:pPr>
              <w:pStyle w:val="TablCenter"/>
            </w:pPr>
            <w:r>
              <w:rPr>
                <w:rFonts w:ascii="Times New Roman" w:hAnsi="Times New Roman"/>
                <w:sz w:val="28"/>
                <w:szCs w:val="28"/>
              </w:rPr>
              <w:t xml:space="preserve">1,4</w:t>
            </w:r>
          </w:p>
        </w:tc>
      </w:tr>
      <w:tr>
        <w:tc>
          <w:tcPr>
            <w:tcW w:w="0" w:type="auto"/>
          </w:tcPr>
          <w:p>
            <w:pPr>
              <w:pStyle w:val="TablCenter"/>
            </w:pPr>
            <w:r>
              <w:rPr>
                <w:rFonts w:ascii="Times New Roman" w:hAnsi="Times New Roman"/>
                <w:sz w:val="28"/>
                <w:szCs w:val="28"/>
              </w:rPr>
              <w:t xml:space="preserve">4</w:t>
            </w:r>
          </w:p>
        </w:tc>
        <w:tc>
          <w:tcPr>
            <w:tcW w:w="0" w:type="auto"/>
          </w:tcPr>
          <w:p>
            <w:pPr>
              <w:pStyle w:val="TablCenter"/>
            </w:pPr>
            <w:r>
              <w:rPr>
                <w:rFonts w:ascii="Times New Roman" w:hAnsi="Times New Roman"/>
                <w:sz w:val="28"/>
                <w:szCs w:val="28"/>
              </w:rPr>
              <w:t xml:space="preserve">Нитрат натрия плюс нитрат калия (раствор Брудастова)</w:t>
            </w:r>
          </w:p>
        </w:tc>
        <w:tc>
          <w:tcPr>
            <w:tcW w:w="0" w:type="auto"/>
          </w:tcPr>
          <w:p>
            <w:pPr>
              <w:pStyle w:val="TablCenter"/>
            </w:pPr>
            <w:r>
              <w:rPr>
                <w:rFonts w:ascii="Times New Roman" w:hAnsi="Times New Roman"/>
                <w:sz w:val="28"/>
                <w:szCs w:val="28"/>
              </w:rPr>
              <w:t xml:space="preserve">NaNO3 + KNO3</w:t>
            </w:r>
          </w:p>
        </w:tc>
        <w:tc>
          <w:tcPr>
            <w:tcW w:w="0" w:type="auto"/>
          </w:tcPr>
          <w:p>
            <w:pPr>
              <w:pStyle w:val="TablCenter"/>
            </w:pPr>
            <w:r>
              <w:rPr>
                <w:rFonts w:ascii="Times New Roman" w:hAnsi="Times New Roman"/>
                <w:sz w:val="28"/>
                <w:szCs w:val="28"/>
              </w:rPr>
              <w:t xml:space="preserve">900 + 400</w:t>
            </w:r>
          </w:p>
        </w:tc>
        <w:tc>
          <w:tcPr>
            <w:tcW w:w="0" w:type="auto"/>
          </w:tcPr>
          <w:p>
            <w:pPr>
              <w:pStyle w:val="TablCenter"/>
            </w:pPr>
            <w:r>
              <w:rPr>
                <w:rFonts w:ascii="Times New Roman" w:hAnsi="Times New Roman"/>
                <w:sz w:val="28"/>
                <w:szCs w:val="28"/>
              </w:rPr>
              <w:t xml:space="preserve">1,47–1,48 (через 24 ч снижается до 1,40–1,42; раствор готовят непосредственно перед исследованием)</w:t>
            </w:r>
          </w:p>
        </w:tc>
      </w:tr>
      <w:tr>
        <w:tc>
          <w:tcPr>
            <w:tcW w:w="0" w:type="auto"/>
          </w:tcPr>
          <w:p>
            <w:pPr>
              <w:pStyle w:val="TablCenter"/>
            </w:pPr>
            <w:r>
              <w:rPr>
                <w:rFonts w:ascii="Times New Roman" w:hAnsi="Times New Roman"/>
                <w:sz w:val="28"/>
                <w:szCs w:val="28"/>
              </w:rPr>
              <w:t xml:space="preserve">5</w:t>
            </w:r>
          </w:p>
        </w:tc>
        <w:tc>
          <w:tcPr>
            <w:tcW w:w="0" w:type="auto"/>
          </w:tcPr>
          <w:p>
            <w:pPr>
              <w:pStyle w:val="TablCenter"/>
            </w:pPr>
            <w:r>
              <w:rPr>
                <w:rFonts w:ascii="Times New Roman" w:hAnsi="Times New Roman"/>
                <w:sz w:val="28"/>
                <w:szCs w:val="28"/>
              </w:rPr>
              <w:t xml:space="preserve">Хлорид цинка</w:t>
            </w:r>
          </w:p>
        </w:tc>
        <w:tc>
          <w:tcPr>
            <w:tcW w:w="0" w:type="auto"/>
          </w:tcPr>
          <w:p>
            <w:pPr>
              <w:pStyle w:val="TablCenter"/>
            </w:pPr>
            <w:r>
              <w:rPr>
                <w:rFonts w:ascii="Times New Roman" w:hAnsi="Times New Roman"/>
                <w:sz w:val="28"/>
                <w:szCs w:val="28"/>
              </w:rPr>
              <w:t xml:space="preserve">ZnCl2</w:t>
            </w:r>
          </w:p>
        </w:tc>
        <w:tc>
          <w:tcPr>
            <w:tcW w:w="0" w:type="auto"/>
          </w:tcPr>
          <w:p>
            <w:pPr>
              <w:pStyle w:val="TablCenter"/>
            </w:pPr>
            <w:r>
              <w:rPr>
                <w:rFonts w:ascii="Times New Roman" w:hAnsi="Times New Roman"/>
                <w:sz w:val="28"/>
                <w:szCs w:val="28"/>
              </w:rPr>
              <w:t xml:space="preserve">2000</w:t>
            </w:r>
          </w:p>
        </w:tc>
        <w:tc>
          <w:tcPr>
            <w:tcW w:w="0" w:type="auto"/>
          </w:tcPr>
          <w:p>
            <w:pPr>
              <w:pStyle w:val="TablCenter"/>
            </w:pPr>
            <w:r>
              <w:rPr>
                <w:rFonts w:ascii="Times New Roman" w:hAnsi="Times New Roman"/>
                <w:sz w:val="28"/>
                <w:szCs w:val="28"/>
              </w:rPr>
              <w:t xml:space="preserve">1,75–1,82 (концентрированный раствор ≈67% w/w; не является насыщенным при 20–25 °С)</w:t>
            </w:r>
          </w:p>
        </w:tc>
      </w:tr>
      <w:tr>
        <w:tc>
          <w:tcPr>
            <w:tcW w:w="0" w:type="auto"/>
          </w:tcPr>
          <w:p>
            <w:pPr>
              <w:pStyle w:val="TablCenter"/>
            </w:pPr>
            <w:r>
              <w:rPr>
                <w:rFonts w:ascii="Times New Roman" w:hAnsi="Times New Roman"/>
                <w:sz w:val="28"/>
                <w:szCs w:val="28"/>
              </w:rPr>
              <w:t xml:space="preserve">6</w:t>
            </w:r>
          </w:p>
        </w:tc>
        <w:tc>
          <w:tcPr>
            <w:tcW w:w="0" w:type="auto"/>
          </w:tcPr>
          <w:p>
            <w:pPr>
              <w:pStyle w:val="TablCenter"/>
            </w:pPr>
            <w:r>
              <w:rPr>
                <w:rFonts w:ascii="Times New Roman" w:hAnsi="Times New Roman"/>
                <w:sz w:val="28"/>
                <w:szCs w:val="28"/>
              </w:rPr>
              <w:t xml:space="preserve">Сульфат цинка</w:t>
            </w:r>
          </w:p>
        </w:tc>
        <w:tc>
          <w:tcPr>
            <w:tcW w:w="0" w:type="auto"/>
          </w:tcPr>
          <w:p>
            <w:pPr>
              <w:pStyle w:val="TablCenter"/>
            </w:pPr>
            <w:r>
              <w:rPr>
                <w:rFonts w:ascii="Times New Roman" w:hAnsi="Times New Roman"/>
                <w:sz w:val="28"/>
                <w:szCs w:val="28"/>
              </w:rPr>
              <w:t xml:space="preserve">ZnSO4×7H2O</w:t>
            </w:r>
          </w:p>
        </w:tc>
        <w:tc>
          <w:tcPr>
            <w:tcW w:w="0" w:type="auto"/>
          </w:tcPr>
          <w:p>
            <w:pPr>
              <w:pStyle w:val="TablCenter"/>
            </w:pPr>
            <w:r>
              <w:rPr>
                <w:rFonts w:ascii="Times New Roman" w:hAnsi="Times New Roman"/>
                <w:sz w:val="28"/>
                <w:szCs w:val="28"/>
              </w:rPr>
              <w:t xml:space="preserve">650 (методы исследования почвы); для навоза и органических удобрений — 400 г на 1 дм³ горячей воды, годен в день приготовления (п. 4.9.1-1)</w:t>
            </w:r>
          </w:p>
        </w:tc>
        <w:tc>
          <w:tcPr>
            <w:tcW w:w="0" w:type="auto"/>
          </w:tcPr>
          <w:p>
            <w:pPr>
              <w:pStyle w:val="TablCenter"/>
            </w:pPr>
            <w:r>
              <w:rPr>
                <w:rFonts w:ascii="Times New Roman" w:hAnsi="Times New Roman"/>
                <w:sz w:val="28"/>
                <w:szCs w:val="28"/>
              </w:rPr>
              <w:t xml:space="preserve">1,25 – 1,26 (почва); для п. 4.9.1-1 — ρ 1,24 г/см³ (ГОСТ Р 57782-2017, 7.1.6)</w:t>
            </w:r>
          </w:p>
        </w:tc>
      </w:tr>
      <w:tr>
        <w:tc>
          <w:tcPr>
            <w:tcW w:w="0" w:type="auto"/>
          </w:tcPr>
          <w:p>
            <w:pPr>
              <w:pStyle w:val="TablCenter"/>
            </w:pPr>
            <w:r>
              <w:rPr>
                <w:rFonts w:ascii="Times New Roman" w:hAnsi="Times New Roman"/>
                <w:sz w:val="28"/>
                <w:szCs w:val="28"/>
              </w:rPr>
              <w:t xml:space="preserve">7</w:t>
            </w:r>
          </w:p>
        </w:tc>
        <w:tc>
          <w:tcPr>
            <w:tcW w:w="0" w:type="auto"/>
          </w:tcPr>
          <w:p>
            <w:pPr>
              <w:pStyle w:val="TablCenter"/>
            </w:pPr>
            <w:r>
              <w:rPr>
                <w:rFonts w:ascii="Times New Roman" w:hAnsi="Times New Roman"/>
                <w:sz w:val="28"/>
                <w:szCs w:val="28"/>
              </w:rPr>
              <w:t xml:space="preserve">Сульфат магния</w:t>
            </w:r>
          </w:p>
        </w:tc>
        <w:tc>
          <w:tcPr>
            <w:tcW w:w="0" w:type="auto"/>
          </w:tcPr>
          <w:p>
            <w:pPr>
              <w:pStyle w:val="TablCenter"/>
            </w:pPr>
            <w:r>
              <w:rPr>
                <w:rFonts w:ascii="Times New Roman" w:hAnsi="Times New Roman"/>
                <w:sz w:val="28"/>
                <w:szCs w:val="28"/>
              </w:rPr>
              <w:t xml:space="preserve">MgSO4×7H2O (почва) / MgSO4 (навоз)</w:t>
            </w:r>
          </w:p>
        </w:tc>
        <w:tc>
          <w:tcPr>
            <w:tcW w:w="0" w:type="auto"/>
          </w:tcPr>
          <w:p>
            <w:pPr>
              <w:pStyle w:val="TablCenter"/>
            </w:pPr>
            <w:r>
              <w:rPr>
                <w:rFonts w:ascii="Times New Roman" w:hAnsi="Times New Roman"/>
                <w:sz w:val="28"/>
                <w:szCs w:val="28"/>
              </w:rPr>
              <w:t xml:space="preserve">почва — семиводный до насыщения (≈1130 при 20 °С); навоз и органические удобрения — 920 г на 1 дм³ дистиллированной воды (п. 4.9.1-1)</w:t>
            </w:r>
          </w:p>
        </w:tc>
        <w:tc>
          <w:tcPr>
            <w:tcW w:w="0" w:type="auto"/>
          </w:tcPr>
          <w:p>
            <w:pPr>
              <w:pStyle w:val="TablCenter"/>
            </w:pPr>
            <w:r>
              <w:rPr>
                <w:rFonts w:ascii="Times New Roman" w:hAnsi="Times New Roman"/>
                <w:sz w:val="28"/>
                <w:szCs w:val="28"/>
              </w:rPr>
              <w:t xml:space="preserve">1,25–1,27 (почва); для п. 4.9.1-1 — ρ 1,28–1,29 г/см³ (ГОСТ Р 57782-2017, 7.1.3)</w:t>
            </w:r>
          </w:p>
        </w:tc>
      </w:tr>
      <w:tr>
        <w:tc>
          <w:tcPr>
            <w:tcW w:w="0" w:type="auto"/>
          </w:tcPr>
          <w:p>
            <w:pPr>
              <w:pStyle w:val="TablCenter"/>
            </w:pPr>
            <w:r>
              <w:rPr>
                <w:rFonts w:ascii="Times New Roman" w:hAnsi="Times New Roman"/>
                <w:sz w:val="28"/>
                <w:szCs w:val="28"/>
              </w:rPr>
              <w:t xml:space="preserve">8</w:t>
            </w:r>
          </w:p>
        </w:tc>
        <w:tc>
          <w:tcPr>
            <w:tcW w:w="0" w:type="auto"/>
          </w:tcPr>
          <w:p>
            <w:pPr>
              <w:pStyle w:val="TablCenter"/>
            </w:pPr>
            <w:r>
              <w:rPr>
                <w:rFonts w:ascii="Times New Roman" w:hAnsi="Times New Roman"/>
                <w:sz w:val="28"/>
                <w:szCs w:val="28"/>
              </w:rPr>
              <w:t xml:space="preserve">Сахароза</w:t>
            </w:r>
          </w:p>
        </w:tc>
        <w:tc>
          <w:tcPr>
            <w:tcW w:w="0" w:type="auto"/>
          </w:tcPr>
          <w:p>
            <w:pPr>
              <w:pStyle w:val="TablCenter"/>
            </w:pPr>
            <w:r>
              <w:rPr>
                <w:rFonts w:ascii="Times New Roman" w:hAnsi="Times New Roman"/>
                <w:sz w:val="28"/>
                <w:szCs w:val="28"/>
              </w:rPr>
              <w:t xml:space="preserve">C12H22O11</w:t>
            </w:r>
          </w:p>
        </w:tc>
        <w:tc>
          <w:tcPr>
            <w:tcW w:w="0" w:type="auto"/>
          </w:tcPr>
          <w:p>
            <w:pPr>
              <w:pStyle w:val="TablCenter"/>
            </w:pPr>
            <w:r>
              <w:rPr>
                <w:rFonts w:ascii="Times New Roman" w:hAnsi="Times New Roman"/>
                <w:sz w:val="28"/>
                <w:szCs w:val="28"/>
              </w:rPr>
              <w:t xml:space="preserve">1250–1550</w:t>
            </w:r>
          </w:p>
        </w:tc>
        <w:tc>
          <w:tcPr>
            <w:tcW w:w="0" w:type="auto"/>
          </w:tcPr>
          <w:p>
            <w:pPr>
              <w:pStyle w:val="TablCenter"/>
            </w:pPr>
            <w:r>
              <w:rPr>
                <w:rFonts w:ascii="Times New Roman" w:hAnsi="Times New Roman"/>
                <w:sz w:val="28"/>
                <w:szCs w:val="28"/>
              </w:rPr>
              <w:t xml:space="preserve">1,26 – 1,30</w:t>
            </w:r>
          </w:p>
        </w:tc>
      </w:tr>
    </w:tbl>
    <w:p>
      <w:pPr>
        <w:spacing w:after="60"/>
      </w:pPr>
    </w:p>
    <w:p>
      <w:pPr>
        <w:widowControl w:val="0"/>
        <w:spacing w:before="0" w:after="60" w:line="240" w:lineRule="auto"/>
        <w:ind w:firstLine="709"/>
        <w:jc w:val="both"/>
      </w:pPr>
      <w:r>
        <w:rPr>
          <w:rFonts w:ascii="Times New Roman" w:hAnsi="Times New Roman"/>
          <w:sz w:val="28"/>
          <w:szCs w:val="28"/>
        </w:rPr>
        <w:t xml:space="preserve">Примечание. Реактивы растворяют в горячей воде. Флотационный раствор применяют после достижения им комнатной температуры (плюс 15 – 20°С); перед использованием контролируют плотность флотационных растворов ареометром (денсиметром); для раствора хлорида цинка (позиция 5) применяют ареометр с верхним пределом измерения не менее 2,000 кг/м³; приготовление растворов допустимо в другом объеме при условии пропорционального пересчета количества ингредиентов (воды и растворяемого реактива). Срок хранения насыщенных растворов – не более 3 месяцев (кроме раствора Брудастова, который готовят непосредственно перед исследованием).</w:t>
      </w:r>
    </w:p>
    <w:p>
      <w:pPr>
        <w:widowControl w:val="0"/>
        <w:spacing w:before="0" w:after="60" w:line="240" w:lineRule="auto"/>
        <w:ind w:firstLine="709"/>
        <w:jc w:val="both"/>
      </w:pPr>
      <w:r>
        <w:rPr>
          <w:rFonts w:ascii="Times New Roman" w:hAnsi="Times New Roman"/>
          <w:sz w:val="28"/>
          <w:szCs w:val="28"/>
        </w:rPr>
        <w:t xml:space="preserve">Приготовление растворов</w:t>
      </w:r>
    </w:p>
    <w:p>
      <w:pPr>
        <w:widowControl w:val="0"/>
        <w:spacing w:before="0" w:after="60" w:line="240" w:lineRule="auto"/>
        <w:ind w:firstLine="709"/>
        <w:jc w:val="both"/>
      </w:pPr>
      <w:r>
        <w:rPr>
          <w:rFonts w:ascii="Times New Roman" w:hAnsi="Times New Roman"/>
          <w:sz w:val="28"/>
          <w:szCs w:val="28"/>
        </w:rPr>
        <w:t xml:space="preserve">5% Раствор Люголя (маточный). 10 г калия йодистого KI растворяют в 30 мл дистиллированной воды, добавляют 5 г йода кристаллического I2, перемешивают до полного растворения, доводят дистиллированной водой до объема 100 мл. Хранят в темном стекле. Срок хранения: 12 месяцев в темном месте при комнатной температуре (плюс 15 – 20°С).</w:t>
      </w:r>
    </w:p>
    <w:p>
      <w:pPr>
        <w:widowControl w:val="0"/>
        <w:spacing w:before="0" w:after="60" w:line="240" w:lineRule="auto"/>
        <w:ind w:firstLine="709"/>
        <w:jc w:val="both"/>
      </w:pPr>
      <w:r>
        <w:rPr>
          <w:rFonts w:ascii="Times New Roman" w:hAnsi="Times New Roman"/>
          <w:sz w:val="28"/>
          <w:szCs w:val="28"/>
        </w:rPr>
        <w:t xml:space="preserve">1% Раствор Люголя (рабочий). 5 мл 5% раствора Люголя (маточного) добавляют в 20 мл физиологического раствора. Хранят в темном стекле. Срок хранения: 14 дней в темном месте при комнатной температуре (плюс 15 – 20°С).</w:t>
      </w:r>
    </w:p>
    <w:p>
      <w:pPr>
        <w:widowControl w:val="0"/>
        <w:spacing w:before="0" w:after="60" w:line="240" w:lineRule="auto"/>
        <w:ind w:firstLine="709"/>
        <w:jc w:val="both"/>
      </w:pPr>
      <w:r>
        <w:rPr>
          <w:rFonts w:ascii="Times New Roman" w:hAnsi="Times New Roman"/>
          <w:sz w:val="28"/>
          <w:szCs w:val="28"/>
        </w:rPr>
        <w:t xml:space="preserve">Обесцвечивающий раствор серной кислоты H2SO4. 25 мл концентрированной серной кислоты осторожно добавляют в 75 мл дистиллированной воды. Срок хранения: 3 месяца при комнатной температуре (плюс 15 – 20°С).</w:t>
      </w:r>
    </w:p>
    <w:p>
      <w:pPr>
        <w:widowControl w:val="0"/>
        <w:spacing w:before="0" w:after="60" w:line="240" w:lineRule="auto"/>
        <w:ind w:firstLine="709"/>
        <w:jc w:val="both"/>
      </w:pPr>
      <w:r>
        <w:rPr>
          <w:rFonts w:ascii="Times New Roman" w:hAnsi="Times New Roman"/>
          <w:sz w:val="28"/>
          <w:szCs w:val="28"/>
        </w:rPr>
        <w:t xml:space="preserve">3% раствор соляной кислоты. 68,6 см³ соляной кислоты с массовой долей HCl 37,23% смешивают с 931,4 см³ дистиллированной воды (с учётом фактической массовой доли используемой кислоты пересчитывают). Срок хранения: 3 месяца при комнатной температуре (плюс 15 – 20 °С). Раствор применяют для консервации проб навоза и органических удобрений (п. 3.4.7; ГОСТ Р 58487-2019, п. 4.32).</w:t>
      </w:r>
    </w:p>
    <w:p>
      <w:pPr>
        <w:widowControl w:val="0"/>
        <w:spacing w:before="0" w:after="60" w:line="240" w:lineRule="auto"/>
        <w:ind w:firstLine="709"/>
        <w:jc w:val="both"/>
      </w:pPr>
      <w:r>
        <w:rPr>
          <w:rFonts w:ascii="Times New Roman" w:hAnsi="Times New Roman"/>
          <w:sz w:val="28"/>
          <w:szCs w:val="28"/>
        </w:rPr>
        <w:t xml:space="preserve">2% раствор формалина. 10 мл 40% формалина технического CH2O добавляют в 190 мл дистиллированной воды или 11 мл 37% формалина технического CH2O добавляют в 189 мл дистиллированной воды. Срок хранения: 3 месяца при комнатной температуре (плюс 15 – 20°С).</w:t>
      </w:r>
    </w:p>
    <w:p>
      <w:pPr>
        <w:widowControl w:val="0"/>
        <w:spacing w:before="0" w:after="60" w:line="240" w:lineRule="auto"/>
        <w:ind w:firstLine="709"/>
        <w:jc w:val="both"/>
      </w:pPr>
      <w:r>
        <w:rPr>
          <w:rFonts w:ascii="Times New Roman" w:hAnsi="Times New Roman"/>
          <w:sz w:val="28"/>
          <w:szCs w:val="28"/>
        </w:rPr>
        <w:t xml:space="preserve">Насыщенный раствор хлористого натрия (ρ 1,18–1,19 г/см³): 420 г хлористого натрия растворяют в 1 дм³ кипящей дистиллированной воды и охлаждают (ГОСТ Р 57782-2017, п. 7.1.1; для навоза — п. 4.9.1-1).</w:t>
      </w:r>
    </w:p>
    <w:p>
      <w:pPr>
        <w:widowControl w:val="0"/>
        <w:spacing w:before="0" w:after="60" w:line="240" w:lineRule="auto"/>
        <w:ind w:firstLine="709"/>
        <w:jc w:val="both"/>
      </w:pPr>
      <w:r>
        <w:rPr>
          <w:rFonts w:ascii="Times New Roman" w:hAnsi="Times New Roman"/>
          <w:sz w:val="28"/>
          <w:szCs w:val="28"/>
        </w:rPr>
        <w:t xml:space="preserve">Раствор нитрата аммония (ρ 1,28–1,29 г/см³): 1500 г нитрата аммония растворяют в 1 дм³ горячей дистиллированной воды (п. 7.1.2).</w:t>
      </w:r>
    </w:p>
    <w:p>
      <w:pPr>
        <w:widowControl w:val="0"/>
        <w:spacing w:before="0" w:after="60" w:line="240" w:lineRule="auto"/>
        <w:ind w:firstLine="709"/>
        <w:jc w:val="both"/>
      </w:pPr>
      <w:r>
        <w:rPr>
          <w:rFonts w:ascii="Times New Roman" w:hAnsi="Times New Roman"/>
          <w:sz w:val="28"/>
          <w:szCs w:val="28"/>
        </w:rPr>
        <w:t xml:space="preserve">Раствор сульфата магния (ρ 1,28–1,29 г/см³): 920 г сульфата магния растворяют в 1 дм³ дистиллированной воды и охлаждают (п. 7.1.3; для навоза — п. 4.9.1-1).</w:t>
      </w:r>
    </w:p>
    <w:p>
      <w:pPr>
        <w:widowControl w:val="0"/>
        <w:spacing w:before="0" w:after="60" w:line="240" w:lineRule="auto"/>
        <w:ind w:firstLine="709"/>
        <w:jc w:val="both"/>
      </w:pPr>
      <w:r>
        <w:rPr>
          <w:rFonts w:ascii="Times New Roman" w:hAnsi="Times New Roman"/>
          <w:sz w:val="28"/>
          <w:szCs w:val="28"/>
        </w:rPr>
        <w:t xml:space="preserve">Смесь хлористого натрия и нитрата аммония (ρ 1,27–1,28 г/см³): 250 г хлористого натрия и 550 г нитрата аммония растворяют в 1 дм³ кипящей дистиллированной воды (п. 7.1.4; в тексте ГОСТ Р 57782-2017 для 550 г нитрата аммония ошибочно указан ГОСТ 4523 — верно ГОСТ 22867 либо ГОСТ 2 гранулированный).</w:t>
      </w:r>
    </w:p>
    <w:p>
      <w:pPr>
        <w:widowControl w:val="0"/>
        <w:spacing w:before="0" w:after="60" w:line="240" w:lineRule="auto"/>
        <w:ind w:firstLine="709"/>
        <w:jc w:val="both"/>
      </w:pPr>
      <w:r>
        <w:rPr>
          <w:rFonts w:ascii="Times New Roman" w:hAnsi="Times New Roman"/>
          <w:sz w:val="28"/>
          <w:szCs w:val="28"/>
        </w:rPr>
        <w:t xml:space="preserve">Смесь азотнокислого натрия и сернокислого магния (ρ 1,27–1,28 г/см³): 500 г азотнокислого натрия и 960 г сернокислого магния растворяют в 1 дм³ кипящей дистиллированной воды (п. 7.1.5).</w:t>
      </w:r>
    </w:p>
    <w:p>
      <w:pPr>
        <w:widowControl w:val="0"/>
        <w:spacing w:before="0" w:after="60" w:line="240" w:lineRule="auto"/>
        <w:ind w:firstLine="709"/>
        <w:jc w:val="both"/>
      </w:pPr>
      <w:r>
        <w:rPr>
          <w:rFonts w:ascii="Times New Roman" w:hAnsi="Times New Roman"/>
          <w:sz w:val="28"/>
          <w:szCs w:val="28"/>
        </w:rPr>
        <w:t xml:space="preserve">Раствор сернокислого цинка (ρ 1,24 г/см³): 400 г сернокислого цинка растворяют в 1 дм³ горячей дистиллированной воды; годен к применению в день приготовления (п. 7.1.6; для навоза — п. 4.9.1-1).</w:t>
      </w:r>
    </w:p>
    <w:p>
      <w:pPr>
        <w:widowControl w:val="0"/>
        <w:spacing w:before="0" w:after="60" w:line="240" w:lineRule="auto"/>
        <w:ind w:firstLine="709"/>
        <w:jc w:val="both"/>
      </w:pPr>
      <w:r>
        <w:rPr>
          <w:rFonts w:ascii="Times New Roman" w:hAnsi="Times New Roman"/>
          <w:sz w:val="28"/>
          <w:szCs w:val="28"/>
        </w:rPr>
        <w:t xml:space="preserve">2,5 % раствор бихромата калия: 2,5 г калия двухромовокислого (ГОСТ 4220) растворяют в 100 см³ дистиллированной воды (для влажной камеры при культивировании, п. 5.7.2).</w:t>
      </w:r>
    </w:p>
    <w:p>
      <w:pPr>
        <w:widowControl w:val="0"/>
        <w:spacing w:before="0" w:after="60" w:line="240" w:lineRule="auto"/>
        <w:ind w:firstLine="709"/>
        <w:jc w:val="both"/>
      </w:pPr>
      <w:r>
        <w:rPr>
          <w:rFonts w:ascii="Times New Roman" w:hAnsi="Times New Roman"/>
          <w:sz w:val="28"/>
          <w:szCs w:val="28"/>
        </w:rPr>
        <w:t xml:space="preserve">10 % раствор формалина (для формалин-эфирной седиментации, п. 4.9.5-б): технический 40 % формалин разводят дистиллированной водой 1:1.</w:t>
      </w:r>
    </w:p>
    <w:p>
      <w:pPr>
        <w:widowControl w:val="0"/>
        <w:spacing w:before="0" w:after="60" w:line="240" w:lineRule="auto"/>
        <w:ind w:firstLine="709"/>
        <w:jc w:val="both"/>
      </w:pPr>
      <w:r>
        <w:rPr>
          <w:rFonts w:ascii="Times New Roman" w:hAnsi="Times New Roman"/>
          <w:sz w:val="28"/>
          <w:szCs w:val="28"/>
        </w:rPr>
        <w:t xml:space="preserve">5 % раствор уксусной кислоты: ледяную уксусную кислоту (ГОСТ 61) разводят дистиллированной водой до массовой доли 5 % (замена формалина при седиментации, п. 4.9.5-б).</w:t>
      </w:r>
    </w:p>
    <w:p>
      <w:pPr>
        <w:widowControl w:val="0"/>
        <w:spacing w:before="0" w:after="60" w:line="240" w:lineRule="auto"/>
        <w:ind w:firstLine="709"/>
        <w:jc w:val="both"/>
      </w:pPr>
      <w:r>
        <w:rPr>
          <w:rFonts w:ascii="Times New Roman" w:hAnsi="Times New Roman"/>
          <w:sz w:val="28"/>
          <w:szCs w:val="28"/>
        </w:rPr>
        <w:t xml:space="preserve">Раствор натрия хлорида изотонический 0,85 % и 0,9 %: 8,5 г или 9,0 г натрия хлорида (ГОСТ 4233) растворяют в дистиллированной воде до 1 дм³; служит основой жидкости Барбагалло (п. 3.1.4).</w:t>
      </w:r>
    </w:p>
    <w:p>
      <w:pPr>
        <w:widowControl w:val="0"/>
        <w:spacing w:before="0" w:after="60" w:line="240" w:lineRule="auto"/>
        <w:ind w:firstLine="709"/>
        <w:jc w:val="both"/>
      </w:pPr>
      <w:r>
        <w:rPr>
          <w:rFonts w:ascii="Times New Roman" w:hAnsi="Times New Roman"/>
          <w:sz w:val="28"/>
          <w:szCs w:val="28"/>
        </w:rPr>
        <w:t xml:space="preserve">50 % водный раствор глицерина: 500 см³ глицерина (ГОСТ 6259) смешивают с 500 см³ дистиллированной воды; при необходимости применяют смесь 50 % раствора глицерина с дистиллированной водой 1:1 (пп. 4.9.2, 4.9.5-г, 4.9.11).</w:t>
      </w:r>
    </w:p>
    <w:p>
      <w:pPr>
        <w:widowControl w:val="0"/>
        <w:spacing w:before="0" w:after="60" w:line="240" w:lineRule="auto"/>
        <w:ind w:firstLine="709"/>
        <w:jc w:val="both"/>
      </w:pPr>
      <w:r>
        <w:rPr>
          <w:rFonts w:ascii="Times New Roman" w:hAnsi="Times New Roman"/>
          <w:sz w:val="28"/>
          <w:szCs w:val="28"/>
        </w:rPr>
        <w:t xml:space="preserve">3 % раствор едкого натра (едкого кали): 30 г NaOH (ГОСТ 4328) или KOH (ГОСТ 24363) растворяют в 1 дм³ дистиллированной воды (п. 4.9.11); раствор готовят в стеклянной посуде непосредственно перед применением.</w:t>
      </w:r>
    </w:p>
    <w:p>
      <w:pPr>
        <w:widowControl w:val="0"/>
        <w:spacing w:before="0" w:after="60" w:line="240" w:lineRule="auto"/>
        <w:ind w:firstLine="709"/>
        <w:jc w:val="both"/>
      </w:pPr>
      <w:r>
        <w:rPr>
          <w:rFonts w:ascii="Times New Roman" w:hAnsi="Times New Roman"/>
          <w:sz w:val="28"/>
          <w:szCs w:val="28"/>
        </w:rPr>
        <w:t xml:space="preserve">Смесь этилового спирта с эфиром 1:2 — для обезжиривания предметных стёкол (п. 4.9.11).</w:t>
      </w:r>
    </w:p>
    <w:p>
      <w:pPr>
        <w:widowControl w:val="0"/>
        <w:spacing w:before="0" w:after="60" w:line="240" w:lineRule="auto"/>
        <w:ind w:firstLine="709"/>
        <w:jc w:val="both"/>
      </w:pPr>
      <w:r>
        <w:rPr>
          <w:rFonts w:ascii="Times New Roman" w:hAnsi="Times New Roman"/>
          <w:sz w:val="28"/>
          <w:szCs w:val="28"/>
        </w:rPr>
        <w:t xml:space="preserve">Карболовый фуксин (фуксин Циля): фуксин основной растворяют в 96 %-м этиловом спирте и смешивают с водным раствором фенола (реактивы — табл. 4 приложения 1); применяют для окраски по Цилю–Нильсену (п. 4.9.5-в) и активирующей среды (п. 5.6).</w:t>
      </w:r>
    </w:p>
    <w:p>
      <w:pPr>
        <w:widowControl w:val="0"/>
        <w:spacing w:before="0" w:after="60" w:line="240" w:lineRule="auto"/>
        <w:ind w:firstLine="709"/>
        <w:jc w:val="both"/>
      </w:pPr>
      <w:r>
        <w:rPr>
          <w:rFonts w:ascii="Times New Roman" w:hAnsi="Times New Roman"/>
          <w:sz w:val="28"/>
          <w:szCs w:val="28"/>
        </w:rPr>
        <w:t xml:space="preserve">1 моль/л раствор хлорида кальция и 1 моль/л раствор карбоната натрия — для концентрирования проб воды (приложение 2).</w:t>
      </w:r>
    </w:p>
    <w:p>
      <w:pPr>
        <w:widowControl w:val="0"/>
        <w:spacing w:before="0" w:after="60" w:line="240" w:lineRule="auto"/>
        <w:ind w:firstLine="709"/>
        <w:jc w:val="both"/>
      </w:pPr>
      <w:r>
        <w:rPr>
          <w:rFonts w:ascii="Times New Roman" w:hAnsi="Times New Roman"/>
          <w:sz w:val="28"/>
          <w:szCs w:val="28"/>
        </w:rPr>
        <w:t xml:space="preserve">1 % раствор сульфида натрия: 1,0 г натрия сульфида растворяют в 100 см³ дистиллированной воды (п. 5.1.3); готовят непосредственно перед применением.</w:t>
      </w:r>
    </w:p>
    <w:p>
      <w:pPr>
        <w:widowControl w:val="0"/>
        <w:spacing w:before="0" w:after="60" w:line="240" w:lineRule="auto"/>
        <w:ind w:firstLine="709"/>
        <w:jc w:val="both"/>
      </w:pPr>
      <w:r>
        <w:rPr>
          <w:rFonts w:ascii="Times New Roman" w:hAnsi="Times New Roman"/>
          <w:sz w:val="28"/>
          <w:szCs w:val="28"/>
        </w:rPr>
        <w:t xml:space="preserve">0,005 М трис-HCl буфер (pH 7,5): 0,61 г трис(гидроксиметил)аминометана растворить в ≈80 см³ дистиллированной воды, довести pH до 7,5 разбавленной HCl и довести объём до 1 дм³ (среда активирующая, п. 5.6).</w:t>
      </w:r>
    </w:p>
    <w:p>
      <w:pPr>
        <w:widowControl w:val="0"/>
        <w:keepNext/>
        <w:keepLines/>
        <w:spacing w:before="360" w:after="120"/>
        <w:jc w:val="center"/>
        <w:outlineLvl w:val="0"/>
      </w:pPr>
      <w:r>
        <w:rPr>
          <w:rFonts w:ascii="Times New Roman" w:hAnsi="Times New Roman"/>
          <w:sz w:val="28"/>
          <w:szCs w:val="28"/>
        </w:rPr>
        <w:t xml:space="preserve">Приложение 4</w:t>
      </w:r>
    </w:p>
    <w:p>
      <w:pPr>
        <w:widowControl w:val="0"/>
        <w:spacing w:before="0" w:after="60" w:line="240" w:lineRule="auto"/>
        <w:ind w:firstLine="709"/>
        <w:jc w:val="both"/>
      </w:pPr>
      <w:r>
        <w:rPr>
          <w:rFonts w:ascii="Times New Roman" w:hAnsi="Times New Roman"/>
          <w:sz w:val="28"/>
          <w:szCs w:val="28"/>
        </w:rPr>
        <w:t xml:space="preserve">к МУК 4.2.____-26</w:t>
      </w:r>
    </w:p>
    <w:p>
      <w:pPr>
        <w:widowControl w:val="0"/>
        <w:spacing w:before="0" w:after="60" w:line="240" w:lineRule="auto"/>
        <w:ind w:firstLine="709"/>
        <w:jc w:val="both"/>
      </w:pPr>
      <w:r>
        <w:rPr>
          <w:rFonts w:ascii="Times New Roman" w:hAnsi="Times New Roman"/>
          <w:sz w:val="28"/>
          <w:szCs w:val="28"/>
        </w:rPr>
        <w:t xml:space="preserve">Иллюстрации Приложения 4: микрофотографии предоставлены ФБУН „Ростовский НИИ микробиологии и паразитологии“ Роспотребнадзора и ФБУН „Хабаровский НИИ эпидемиологии и микробиологии“ Роспотребнадзора (письменное разрешение прилагается), за исключением Рис. 11, 13, 17, 19, воспроизводимых из: Руководство и атлас по инфекционным и паразитарным болезням человека (электр. изд., 3-е доп., под ред. Ю.В. Лобзина, С.С. Козлова. СПб: Теса, 2005; www.infectology.ru) и Березанцев Ю.А., Автушенко Е.Г. Гельминтологическая копрологическая диагностика. Л., 1976 — с разрешения правообладателей. Увеличение и окраска указаны в подписях.</w:t>
      </w:r>
    </w:p>
    <w:p>
      <w:pPr>
        <w:widowControl w:val="0"/>
        <w:spacing w:before="0" w:after="60" w:line="240" w:lineRule="auto"/>
        <w:ind w:firstLine="709"/>
        <w:jc w:val="both"/>
      </w:pPr>
      <w:r>
        <w:rPr>
          <w:rFonts w:ascii="Times New Roman" w:hAnsi="Times New Roman"/>
          <w:sz w:val="28"/>
          <w:szCs w:val="28"/>
        </w:rPr>
        <w:t xml:space="preserve">Яйца и личинки гельминтов, цисты (ооцисты) патогенных простейших, встречающиеся в объектах внешней среды, обнаруживаемые при микроскопии</w:t>
      </w:r>
    </w:p>
    <w:p>
      <w:pPr>
        <w:widowControl w:val="0"/>
        <w:spacing w:before="60" w:after="0" w:line="240" w:lineRule="auto"/>
        <w:contextualSpacing/>
        <w:keepNext/>
        <w:jc w:val="center"/>
      </w:pPr>
      <w:r>
        <w:drawing>
          <wp:inline distT="0" distB="0" distL="0" distR="0" wp14:anchorId="527BA480" wp14:editId="288FB49D">
            <wp:extent cx="6311900" cy="1454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l="-122" t="-558" r="-122" b="-558"/>
                    <a:stretch>
                      <a:fillRect/>
                    </a:stretch>
                  </pic:blipFill>
                  <pic:spPr bwMode="auto">
                    <a:xfrm>
                      <a:off x="0" y="0"/>
                      <a:ext cx="6311900" cy="1454785"/>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 – Яйца токсокар (Toxocara spp.; для видовой дифференциации: T. canis 75–90 × 65–78 мкм, T. cati 65–75 × 60–70 мкм). Форма почти круглая, симметричная. Цвет коричневый разных оттенков. Оболочка мелкобугристая, опалесцирующая. Содержимое: в оплодотворённом яйце бластомер, морула или личинка; в неоплодотворённом — зародышевая масса. Увеличение 10×40, окраска нативная. Источник: ФБУН (разрешение № __).</w:t>
      </w:r>
    </w:p>
    <w:p>
      <w:pPr>
        <w:widowControl w:val="0"/>
        <w:spacing w:before="60" w:after="0" w:line="240" w:lineRule="auto"/>
        <w:contextualSpacing/>
        <w:keepNext/>
        <w:jc w:val="center"/>
      </w:pPr>
      <w:r>
        <w:drawing>
          <wp:inline distT="0" distB="0" distL="0" distR="0" wp14:anchorId="6C62B609" wp14:editId="3A3C4EE5">
            <wp:extent cx="5326380" cy="14782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l="-143" t="-511" r="-143" b="-511"/>
                    <a:stretch>
                      <a:fillRect/>
                    </a:stretch>
                  </pic:blipFill>
                  <pic:spPr bwMode="auto">
                    <a:xfrm>
                      <a:off x="0" y="0"/>
                      <a:ext cx="5326380" cy="1478280"/>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2 – Яйца острицы (Enterobius vermicularis). Размер 50–60 × 20–30 мкм. Форма неправильного овала, асимметричная, одна сторона скошена/уплощена (D-форма). Цвет прозрачный. Оболочка гладкая. Содержимое: вдвое сложенная личинка или зародышевая масса. Увеличение 10×40, нативно.</w:t>
      </w:r>
    </w:p>
    <w:p>
      <w:pPr>
        <w:widowControl w:val="0"/>
        <w:spacing w:before="60" w:after="0" w:line="240" w:lineRule="auto"/>
        <w:contextualSpacing/>
        <w:keepNext/>
        <w:jc w:val="center"/>
      </w:pPr>
      <w:r>
        <w:drawing>
          <wp:inline distT="0" distB="0" distL="0" distR="0" wp14:anchorId="21EE7AEC" wp14:editId="29F565C9">
            <wp:extent cx="2273935" cy="147256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l="10529" t="16216" r="7721" b="3517"/>
                    <a:stretch>
                      <a:fillRect/>
                    </a:stretch>
                  </pic:blipFill>
                  <pic:spPr bwMode="auto">
                    <a:xfrm>
                      <a:off x="0" y="0"/>
                      <a:ext cx="2273935" cy="1472565"/>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3 – Яйцо власоглава (Trichuris trichiura; syn. Trichocephalus trichiurus). Размер 50–54 × 22–24 мкм. Форма лимона/бочонка, симметричная, на полюсах светлые пробочки. Цвет желтовато-коричневый. Оболочка гладкая, толстая. Содержимое: личинка или зародышевая масса. Увеличение 10×40, нативно.</w:t>
      </w:r>
    </w:p>
    <w:p>
      <w:pPr>
        <w:widowControl w:val="0"/>
        <w:spacing w:before="60" w:after="0" w:line="240" w:lineRule="auto"/>
        <w:contextualSpacing/>
        <w:keepNext/>
        <w:jc w:val="center"/>
      </w:pPr>
      <w:r>
        <w:drawing>
          <wp:inline distT="0" distB="0" distL="0" distR="0" wp14:anchorId="54EE68C1" wp14:editId="4E3A344E">
            <wp:extent cx="2232660" cy="15735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l="-49" t="-64" r="-49" b="-64"/>
                    <a:stretch>
                      <a:fillRect/>
                    </a:stretch>
                  </pic:blipFill>
                  <pic:spPr bwMode="auto">
                    <a:xfrm>
                      <a:off x="0" y="0"/>
                      <a:ext cx="2232660" cy="1573530"/>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4 – Коконы (капсулы) огуречного цепня (Dipylidium caninum). Размер кокона до 120–200 мкм, зависит от числа яиц; форма овальная, угловатая; цвет серо-коричневый; оболочка грубая. Яйца 31–60 мкм, округлые, оболочка гладкая, цвет светлый с красноватым оттенком; онкосфера 20–30 мкм с 3 парами крючьев. Увеличение 10×40, нативно.</w:t>
      </w:r>
    </w:p>
    <w:p>
      <w:pPr>
        <w:widowControl w:val="0"/>
        <w:spacing w:before="60" w:after="0" w:line="240" w:lineRule="auto"/>
        <w:contextualSpacing/>
        <w:keepNext/>
        <w:jc w:val="center"/>
      </w:pPr>
      <w:r>
        <w:drawing>
          <wp:inline distT="0" distB="0" distL="0" distR="0" wp14:anchorId="593596B8" wp14:editId="36973089">
            <wp:extent cx="4375785" cy="14960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l="-188" t="-513" r="-188" b="-513"/>
                    <a:stretch>
                      <a:fillRect/>
                    </a:stretch>
                  </pic:blipFill>
                  <pic:spPr bwMode="auto">
                    <a:xfrm>
                      <a:off x="0" y="0"/>
                      <a:ext cx="4375785" cy="1496060"/>
                    </a:xfrm>
                    <a:prstGeom prst="rect">
                      <a:avLst/>
                    </a:prstGeom>
                    <a:solidFill>
                      <a:srgbClr val="FFFFFF"/>
                    </a:solidFill>
                    <a:ln>
                      <a:noFill/>
                    </a:ln>
                  </pic:spPr>
                </pic:pic>
              </a:graphicData>
            </a:graphic>
          </wp:inline>
        </w:drawing>
      </w:r>
      <w:r>
        <w:drawing>
          <wp:inline distT="0" distB="0" distL="0" distR="0" wp14:anchorId="77E3EC2E" wp14:editId="4F997C16">
            <wp:extent cx="1247140" cy="1211580"/>
            <wp:effectExtent l="19050" t="1905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47140" cy="1211580"/>
                    </a:xfrm>
                    <a:prstGeom prst="rect">
                      <a:avLst/>
                    </a:prstGeom>
                    <a:solidFill>
                      <a:srgbClr val="FFFFFF"/>
                    </a:solidFill>
                    <a:ln w="6350" cmpd="sng">
                      <a:solidFill>
                        <a:srgbClr val="F6F6F6"/>
                      </a:solidFill>
                      <a:miter lim="800000"/>
                      <a:headEnd/>
                      <a:tailEnd/>
                    </a:ln>
                    <a:effectLst/>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5 – Яйца широкого лентеца (Dibothriocephalus latus, D. nihonkaiensis; syn. Diphyllobothrium spp.). Размер 58–76 × 40–51 мкм. Форма широкоовальная, симметричная. Цвет серовато-жёлтый. Оболочка гладкая, двухконтурная; на одном полюсе плотно прилегающая крышечка, на противоположном — небольшой бугорок, сдвинутый с продольной оси; выступы перед крышечкой невыражены. Содержимое: крупнозернистые желточные клетки. а — нативный препарат; б — окраска акридиновым оранжевым: нежизнеспособные яйца приобретают горяще-зелёное окрашивание (флуоресцентная микроскопия).</w:t>
      </w:r>
    </w:p>
    <w:p>
      <w:pPr>
        <w:widowControl w:val="0"/>
        <w:spacing w:before="60" w:after="0" w:line="240" w:lineRule="auto"/>
        <w:contextualSpacing/>
        <w:keepNext/>
        <w:jc w:val="center"/>
      </w:pPr>
      <w:r>
        <w:drawing>
          <wp:inline distT="0" distB="0" distL="0" distR="0" wp14:anchorId="7DE88AA8" wp14:editId="5623C2A0">
            <wp:extent cx="6311900" cy="34321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l="-122" t="-214" r="-122" b="-214"/>
                    <a:stretch>
                      <a:fillRect/>
                    </a:stretch>
                  </pic:blipFill>
                  <pic:spPr bwMode="auto">
                    <a:xfrm>
                      <a:off x="0" y="0"/>
                      <a:ext cx="6311900" cy="3432175"/>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6 – Яйца аскарид (Ascaris lumbricoides/A. suum). Оплодотворённые: 50–70 × 40–50 мкм, форма овальная симметричная, оболочка толстая многослойная, наружная белковая крупнобугристая жёлто-коричневая; содержимое — шаровидный бластомер, морула или личинка. Неоплодотворённые: 50–106 × 40–50 мкм, форма вытянутая неправильная или угловатая, может быть уплощена на полюсах; оболочка тонкая мелкобугристая; содержимое — крупные полигональные желточные клетки. Увеличение 10×40, нативно.</w:t>
      </w:r>
    </w:p>
    <w:p>
      <w:pPr>
        <w:widowControl w:val="0"/>
        <w:spacing w:before="0" w:after="60" w:line="240" w:lineRule="auto"/>
        <w:ind w:firstLine="709"/>
        <w:jc w:val="both"/>
      </w:pPr>
      <w:r>
        <w:rPr>
          <w:rFonts w:ascii="Times New Roman" w:hAnsi="Times New Roman"/>
          <w:sz w:val="28"/>
          <w:szCs w:val="28"/>
        </w:rPr>
        <w:t xml:space="preserve">у оплодотворенных яиц размер 50-70 х 40-50 мкм, форма овальная симметричная, оболочка толстая многослойная, наружная белковая оболочка крупнобугристая желто-коричневого</w:t>
      </w:r>
    </w:p>
    <w:p>
      <w:pPr>
        <w:widowControl w:val="0"/>
        <w:spacing w:before="0" w:after="60" w:line="240" w:lineRule="auto"/>
        <w:ind w:firstLine="709"/>
        <w:jc w:val="both"/>
      </w:pPr>
      <w:r>
        <w:rPr>
          <w:rFonts w:ascii="Times New Roman" w:hAnsi="Times New Roman"/>
          <w:sz w:val="28"/>
          <w:szCs w:val="28"/>
        </w:rPr>
        <w:t xml:space="preserve">цвета, внутри оплодотворенного яйца содержится шаровидный бластомер, морула или личинка. У неоплодотворенных яиц размер 50-106 х 40-60 мкм, форма вытянутая неправильная или угловатая, может быть уплощена на полюсах, оболочка тонкая мелкобугристая, внутри неоплодотворенное яйцо заполнено крупными полигональными желточными клетками.</w:t>
      </w:r>
    </w:p>
    <w:p>
      <w:pPr>
        <w:widowControl w:val="0"/>
        <w:spacing w:before="60" w:after="0" w:line="240" w:lineRule="auto"/>
        <w:contextualSpacing/>
        <w:keepNext/>
        <w:jc w:val="center"/>
      </w:pPr>
      <w:r>
        <w:drawing>
          <wp:inline distT="0" distB="0" distL="0" distR="0" wp14:anchorId="5D1C493D" wp14:editId="41536982">
            <wp:extent cx="4922520" cy="15316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l="-148" t="-499" r="-148" b="-499"/>
                    <a:stretch>
                      <a:fillRect/>
                    </a:stretch>
                  </pic:blipFill>
                  <pic:spPr bwMode="auto">
                    <a:xfrm>
                      <a:off x="0" y="0"/>
                      <a:ext cx="4922520" cy="1531620"/>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7 – Онкосферы тениид (сем. Taeniidae: Taenia saginata, T. solium). Диаметр 31–43 мкм. Форма почти круглая, симметричная. Цвет желтовато-коричневый разных оттенков. Оболочка толстая, двухконтурная, с радиальной исчерченностью. Содержимое: зародыш с 3 парами крючьев. Увеличение 10×40, нативно.</w:t>
      </w:r>
    </w:p>
    <w:p>
      <w:pPr>
        <w:widowControl w:val="0"/>
        <w:spacing w:before="60" w:after="0" w:line="240" w:lineRule="auto"/>
        <w:contextualSpacing/>
        <w:keepNext/>
        <w:jc w:val="center"/>
      </w:pPr>
      <w:r>
        <w:drawing>
          <wp:inline distT="0" distB="0" distL="0" distR="0" wp14:anchorId="21328CE4" wp14:editId="7CDD40BE">
            <wp:extent cx="4660900" cy="18408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l="-163" t="-412" r="-163" b="-412"/>
                    <a:stretch>
                      <a:fillRect/>
                    </a:stretch>
                  </pic:blipFill>
                  <pic:spPr bwMode="auto">
                    <a:xfrm>
                      <a:off x="0" y="0"/>
                      <a:ext cx="4660900" cy="1840865"/>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8 – Яйца клонорха (Clonorchis sinensis). Размер 27–35 × 12–20 мкм. Форма грушевидная, почти симметричная, разница радиусов полюсов значительная; на узком полюсе крышечка, на широком — бугорок. Цвет коричневатый с красноватым оттенком. Оболочка толстая; выступы перед крышечкой хорошо выражены. Содержимое: зародышевая масса. Увеличение 10×40, нативно.</w:t>
      </w:r>
    </w:p>
    <w:p>
      <w:pPr>
        <w:widowControl w:val="0"/>
        <w:spacing w:before="60" w:after="0" w:line="240" w:lineRule="auto"/>
        <w:contextualSpacing/>
        <w:keepNext/>
        <w:jc w:val="center"/>
      </w:pPr>
      <w:r>
        <w:drawing>
          <wp:inline distT="0" distB="0" distL="0" distR="0" wp14:anchorId="2B53D79A" wp14:editId="2CE55E00">
            <wp:extent cx="3164840" cy="17221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l="13144" t="16748" r="12953" b="6668"/>
                    <a:stretch>
                      <a:fillRect/>
                    </a:stretch>
                  </pic:blipFill>
                  <pic:spPr bwMode="auto">
                    <a:xfrm>
                      <a:off x="0" y="0"/>
                      <a:ext cx="3164840" cy="1722120"/>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9 – Яйца кошачьей двуустки (Opisthorchis felineus). Размер 23–30 × 10–19 мкм. Форма семечковидная, асимметричная; на узком полюсе крышечка, на противоположном — утолщение оболочки и бугорок. Цвет бледно-жёлтый. Оболочка тонкая, гладкая, нежная, двухконтурная. Содержимое: мелкозернистая зародышевая масса. Увеличение 10×40, нативно.</w:t>
      </w:r>
    </w:p>
    <w:p>
      <w:pPr>
        <w:widowControl w:val="0"/>
        <w:spacing w:before="60" w:after="0" w:line="240" w:lineRule="auto"/>
        <w:contextualSpacing/>
        <w:keepNext/>
        <w:jc w:val="center"/>
      </w:pPr>
      <w:r>
        <w:drawing>
          <wp:inline distT="0" distB="0" distL="0" distR="0" wp14:anchorId="4A830171" wp14:editId="53502670">
            <wp:extent cx="2760980" cy="188214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l="-322" t="-522" r="-322" b="-522"/>
                    <a:stretch>
                      <a:fillRect/>
                    </a:stretch>
                  </pic:blipFill>
                  <pic:spPr bwMode="auto">
                    <a:xfrm>
                      <a:off x="0" y="0"/>
                      <a:ext cx="2760980" cy="1882140"/>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10 – Яйца нанофиетуса (Nanophyetus schikhobalowi). Размер 62–72 × 43–48 мкм. Форма овальная, симметричная; на одном полюсе крышечка, на противоположном — бугорок. Цвет светло-коричневый с золотистым отливом. Оболочка гладкая. Содержимое: зародышевая клетка, окружённая желточными клетками. Увеличение 10×40, нативно.</w:t>
      </w:r>
    </w:p>
    <w:p>
      <w:pPr>
        <w:widowControl w:val="0"/>
        <w:spacing w:before="60" w:after="0" w:line="240" w:lineRule="auto"/>
        <w:contextualSpacing/>
        <w:keepNext/>
        <w:jc w:val="center"/>
      </w:pPr>
      <w:r>
        <w:drawing>
          <wp:inline distT="0" distB="0" distL="0" distR="0" wp14:anchorId="1EDB255E" wp14:editId="2898D965">
            <wp:extent cx="2856230" cy="171577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l="15150" t="14590" r="21275" b="27513"/>
                    <a:stretch>
                      <a:fillRect/>
                    </a:stretch>
                  </pic:blipFill>
                  <pic:spPr bwMode="auto">
                    <a:xfrm>
                      <a:off x="0" y="0"/>
                      <a:ext cx="2856230" cy="1715770"/>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11 – Цисты лямблии (Lamblia intestinalis; syn. Giardia duodenalis). Размер 8–12 × 7–10 мкм. Форма овальная. Содержимое зрелой цисты: 2 или 4 ядра и свёрнутый жгутиковый аппарат. Окраска раствором Люголя, увеличение 10×40. Источник: эл. изд. Лобзин/Козлов (разрешение № __).</w:t>
      </w:r>
    </w:p>
    <w:p>
      <w:pPr>
        <w:widowControl w:val="0"/>
        <w:spacing w:before="60" w:after="0" w:line="240" w:lineRule="auto"/>
        <w:contextualSpacing/>
        <w:keepNext/>
        <w:jc w:val="center"/>
      </w:pPr>
      <w:r>
        <w:drawing>
          <wp:inline distT="0" distB="0" distL="0" distR="0" wp14:anchorId="58354E67" wp14:editId="1CEB9E8C">
            <wp:extent cx="3437890" cy="253555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l="39493" t="38106" r="38710" b="44882"/>
                    <a:stretch>
                      <a:fillRect/>
                    </a:stretch>
                  </pic:blipFill>
                  <pic:spPr bwMode="auto">
                    <a:xfrm>
                      <a:off x="0" y="0"/>
                      <a:ext cx="3437890" cy="2535555"/>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12 – Циста лямблии (Lamblia intestinalis; syn. Giardia duodenalis), окрашенная иммунореагентом Giardi-a-Glo™ (Waterborne Inc., комплекты A300FLR/A300FLK) с флуоресцентной меткой. Размер 8–12 × 7–10 мкм. Флуоресцентная микроскопия (увеличение 10×40, фильтр FITC).</w:t>
      </w:r>
    </w:p>
    <w:p>
      <w:pPr>
        <w:widowControl w:val="0"/>
        <w:spacing w:before="60" w:after="0" w:line="240" w:lineRule="auto"/>
        <w:contextualSpacing/>
        <w:keepNext/>
        <w:jc w:val="center"/>
      </w:pPr>
      <w:r>
        <w:drawing>
          <wp:inline distT="0" distB="0" distL="0" distR="0" wp14:anchorId="100DBBA8" wp14:editId="3A4A4DDA">
            <wp:extent cx="2927350" cy="19951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l="5167" t="26878" r="7150" b="2417"/>
                    <a:stretch>
                      <a:fillRect/>
                    </a:stretch>
                  </pic:blipFill>
                  <pic:spPr bwMode="auto">
                    <a:xfrm>
                      <a:off x="0" y="0"/>
                      <a:ext cx="2927350" cy="1995170"/>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13 – Цисты дизентерийной амёбы (Entamoeba histolytica). Размер 10–20 мкм (обычно 12–15). Форма округлая; оболочка плотная, прозрачная. Содержимое зрелой цисты: 4 ядра в виде колечек. Увеличение 10×40, нативно/Люголь. Источник: эл. изд. Лобзин/Козлов.</w:t>
      </w:r>
    </w:p>
    <w:p>
      <w:pPr>
        <w:widowControl w:val="0"/>
        <w:spacing w:before="60" w:after="0" w:line="240" w:lineRule="auto"/>
        <w:contextualSpacing/>
        <w:keepNext/>
        <w:jc w:val="center"/>
      </w:pPr>
      <w:r>
        <w:drawing>
          <wp:inline distT="0" distB="0" distL="0" distR="0" wp14:anchorId="79E4E7A1" wp14:editId="734AB5A6">
            <wp:extent cx="4210050" cy="27254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l="-215" t="-352" r="-215" b="-352"/>
                    <a:stretch>
                      <a:fillRect/>
                    </a:stretch>
                  </pic:blipFill>
                  <pic:spPr bwMode="auto">
                    <a:xfrm>
                      <a:off x="0" y="0"/>
                      <a:ext cx="4210050" cy="2725420"/>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14 – Цисты амёбы кишечной (Entamoeba coli). Размер 10–35 мкм (около 15–25). Форма округлая; оболочка плотная, резко очерченная. Содержимое: до 8 ядер. Увеличение 10×40.</w:t>
      </w:r>
    </w:p>
    <w:p>
      <w:pPr>
        <w:widowControl w:val="0"/>
        <w:spacing w:before="60" w:after="0" w:line="240" w:lineRule="auto"/>
        <w:contextualSpacing/>
        <w:keepNext/>
        <w:jc w:val="center"/>
      </w:pPr>
      <w:r>
        <w:drawing>
          <wp:inline distT="0" distB="0" distL="0" distR="0" wp14:anchorId="5D971641" wp14:editId="4932BB5A">
            <wp:extent cx="4910455" cy="192976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l="-89" t="-197" r="-89" b="-197"/>
                    <a:stretch>
                      <a:fillRect/>
                    </a:stretch>
                  </pic:blipFill>
                  <pic:spPr bwMode="auto">
                    <a:xfrm>
                      <a:off x="0" y="0"/>
                      <a:ext cx="4910455" cy="1929765"/>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15 – Ооцисты цистоизоспоры (Cystoisospora belli; syn. Isospora belli). Размер 20–33 × 10–19 мкм. Форма продолговатая эллипсовидная, сужена на одном или двух полюсах. Оболочка гладкая, тонкая. Цвет бесцветный. Содержимое: шарообразная зигота, превращающаяся во внешней среде в два споробласта, далее — в две спороцисты со спорозойтами в форме запятых. а — ооцисты с незрелым содержимым; б — спорулированная ооциста с двумя спороцистами.</w:t>
      </w:r>
    </w:p>
    <w:p>
      <w:pPr>
        <w:widowControl w:val="0"/>
        <w:spacing w:before="60" w:after="0" w:line="240" w:lineRule="auto"/>
        <w:contextualSpacing/>
        <w:keepNext/>
        <w:jc w:val="center"/>
      </w:pPr>
      <w:r>
        <w:drawing>
          <wp:inline distT="0" distB="0" distL="0" distR="0" wp14:anchorId="083DA4BE" wp14:editId="6D181EA4">
            <wp:extent cx="3134995" cy="2529205"/>
            <wp:effectExtent l="0" t="0" r="0" b="0"/>
            <wp:docPr id="20" name="Рисунок 1" descr="Описание: C:\Users\locadmin\Desktop\Balantidium_coli_wet_mou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C:\Users\locadmin\Desktop\Balantidium_coli_wet_mount.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34995" cy="2529205"/>
                    </a:xfrm>
                    <a:prstGeom prst="rect">
                      <a:avLst/>
                    </a:prstGeom>
                    <a:no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16 – Балантидий (Balantioides coli; syn. Balantidium coli, Neobalantidium coli) — самый крупный из кишечных простейших. Размеры вегетативной формы 50–100 × 40–70 мкм; диаметр цисты 40–60 мкм. Форма яйцевидная; поверхность покрыта пелликулой с продольными рядами коротких ресничек (органоиды движения). Увеличение 10×40, нативно.</w:t>
      </w:r>
    </w:p>
    <w:p>
      <w:pPr>
        <w:widowControl w:val="0"/>
        <w:spacing w:before="60" w:after="0" w:line="240" w:lineRule="auto"/>
        <w:contextualSpacing/>
        <w:keepNext/>
        <w:jc w:val="center"/>
      </w:pPr>
      <w:r>
        <w:drawing>
          <wp:inline distT="0" distB="0" distL="0" distR="0" wp14:anchorId="3FE5BA6E" wp14:editId="0061DDF3">
            <wp:extent cx="2351405" cy="284416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l="3616" t="29913" r="61897" b="25851"/>
                    <a:stretch>
                      <a:fillRect/>
                    </a:stretch>
                  </pic:blipFill>
                  <pic:spPr bwMode="auto">
                    <a:xfrm>
                      <a:off x="0" y="0"/>
                      <a:ext cx="2351405" cy="2844165"/>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17 – Личинки анкилостомид (Ancylostoma duodenale/Necator americanus). а — филяриевидная (инвазионная) личинка, 500–700 мкм, пищевод цилиндрический, имеется чехлик (несброшенная кутикула), хвост заострён; б — рабдитовидная личинка. Увеличение 10×10/10×40. Источник: ФБУН «Ростовский НИИ микробиологии и паразитологии» Роспотребнадзора (разрешение № __).</w:t>
      </w:r>
    </w:p>
    <w:p>
      <w:pPr>
        <w:widowControl w:val="0"/>
        <w:spacing w:before="60" w:after="0" w:line="240" w:lineRule="auto"/>
        <w:contextualSpacing/>
        <w:keepNext/>
        <w:jc w:val="center"/>
      </w:pPr>
      <w:r>
        <w:drawing>
          <wp:inline distT="0" distB="0" distL="0" distR="0" wp14:anchorId="2F73C544" wp14:editId="254F9A42">
            <wp:extent cx="3152140" cy="28187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52140" cy="2818765"/>
                    </a:xfrm>
                    <a:prstGeom prst="rect">
                      <a:avLst/>
                    </a:prstGeom>
                    <a:noFill/>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18 – Филяриевидная личинка угрицы кишечной (Strongyloides stercoralis). Размер 500–600 × 14–20 мкм. Форма нитевидная; пищевод занимает 1/2 тела без расширений; чехлик отсутствует; хвостовой конец расщеплён (указан стрелками). Увеличение 10×40, нативно.</w:t>
      </w:r>
    </w:p>
    <w:p>
      <w:pPr>
        <w:widowControl w:val="0"/>
        <w:spacing w:before="60" w:after="0" w:line="240" w:lineRule="auto"/>
        <w:contextualSpacing/>
        <w:keepNext/>
        <w:jc w:val="center"/>
      </w:pPr>
      <w:r>
        <w:drawing>
          <wp:inline distT="0" distB="0" distL="0" distR="0" wp14:anchorId="5B8FB03B" wp14:editId="431CF6BE">
            <wp:extent cx="8235315" cy="5931535"/>
            <wp:effectExtent l="889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l="-99" t="-146" r="-99" b="-146"/>
                    <a:stretch>
                      <a:fillRect/>
                    </a:stretch>
                  </pic:blipFill>
                  <pic:spPr bwMode="auto">
                    <a:xfrm rot="16200000">
                      <a:off x="0" y="0"/>
                      <a:ext cx="8235315" cy="5931535"/>
                    </a:xfrm>
                    <a:prstGeom prst="rect">
                      <a:avLst/>
                    </a:prstGeom>
                    <a:solidFill>
                      <a:srgbClr val="FFFFFF"/>
                    </a:solidFill>
                    <a:ln>
                      <a:noFill/>
                    </a:ln>
                  </pic:spPr>
                </pic:pic>
              </a:graphicData>
            </a:graphic>
          </wp:inline>
        </w:drawing>
      </w:r>
    </w:p>
    <w:p>
      <w:pPr>
        <w:widowControl w:val="0"/>
        <w:spacing w:before="60" w:after="60" w:line="240" w:lineRule="auto"/>
        <w:contextualSpacing/>
        <w:keepNext/>
        <w:jc w:val="center"/>
      </w:pPr>
      <w:r>
        <w:rPr>
          <w:rFonts w:ascii="Times New Roman" w:hAnsi="Times New Roman"/>
          <w:sz w:val="28"/>
          <w:szCs w:val="28"/>
        </w:rPr>
        <w:t xml:space="preserve">Рисунок 19 – Схема строения личинок паразитических нематод (не микрофотография). Дифференциальная диагностика филяриевидных личинок A. duodenale, N. americanus, S. stercoralis, Trichostrongylus sp. (таблица признаков — см. таблицу в приложении 4). Источник: Березанцев Ю.А., Автушенко Е.Г., 1976; Faust; Kamalov — с разрешения правообладателей.</w:t>
      </w:r>
    </w:p>
    <w:p>
      <w:pPr>
        <w:widowControl w:val="0"/>
        <w:spacing w:before="0" w:after="60" w:line="240" w:lineRule="auto"/>
        <w:ind w:firstLine="709"/>
        <w:jc w:val="both"/>
      </w:pPr>
      <w:r>
        <w:rPr>
          <w:rFonts w:ascii="Times New Roman" w:hAnsi="Times New Roman"/>
          <w:sz w:val="28"/>
          <w:szCs w:val="28"/>
        </w:rPr>
        <w:t xml:space="preserve">Дифференциальная диагностика филяриевидных личинок</w:t>
      </w:r>
    </w:p>
    <w:p>
      <w:pPr>
        <w:widowControl w:val="0"/>
        <w:spacing w:before="0" w:after="60" w:line="240" w:lineRule="auto"/>
        <w:ind w:firstLine="709"/>
        <w:jc w:val="both"/>
      </w:pPr>
      <w:r>
        <w:rPr>
          <w:rFonts w:ascii="Times New Roman" w:hAnsi="Times New Roman"/>
          <w:sz w:val="28"/>
          <w:szCs w:val="28"/>
        </w:rPr>
        <w:t xml:space="preserve">A. duodenale, N. americanus, S. stercoralis, Trichostrongylus sp.</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3008"/>
        <w:gridCol w:w="3008"/>
        <w:gridCol w:w="3008"/>
      </w:tblGrid>
      <w:tr>
        <w:tc>
          <w:tcPr>
            <w:tcW w:w="0" w:type="auto"/>
          </w:tcPr>
          <w:p>
            <w:pPr>
              <w:pStyle w:val="TablCenter"/>
              <w:rPr>
                <w:b/>
              </w:rPr>
            </w:pPr>
            <w:r>
              <w:rPr>
                <w:rFonts w:ascii="Times New Roman" w:hAnsi="Times New Roman"/>
                <w:b/>
                <w:sz w:val="28"/>
                <w:szCs w:val="28"/>
              </w:rPr>
              <w:t xml:space="preserve">Личинки</w:t>
            </w:r>
          </w:p>
        </w:tc>
        <w:tc>
          <w:tcPr>
            <w:tcW w:w="0" w:type="auto"/>
          </w:tcPr>
          <w:p>
            <w:pPr>
              <w:pStyle w:val="TablCenter"/>
              <w:rPr>
                <w:b/>
              </w:rPr>
            </w:pPr>
            <w:r>
              <w:rPr>
                <w:rFonts w:ascii="Times New Roman" w:hAnsi="Times New Roman"/>
                <w:b/>
                <w:sz w:val="28"/>
                <w:szCs w:val="28"/>
              </w:rPr>
              <w:t xml:space="preserve">Размеры</w:t>
            </w:r>
          </w:p>
        </w:tc>
        <w:tc>
          <w:tcPr>
            <w:tcW w:w="0" w:type="auto"/>
          </w:tcPr>
          <w:p>
            <w:pPr>
              <w:pStyle w:val="TablCenter"/>
              <w:rPr>
                <w:b/>
              </w:rPr>
            </w:pPr>
            <w:r>
              <w:rPr>
                <w:rFonts w:ascii="Times New Roman" w:hAnsi="Times New Roman"/>
                <w:b/>
                <w:sz w:val="28"/>
                <w:szCs w:val="28"/>
              </w:rPr>
              <w:t xml:space="preserve">Характерные признаки</w:t>
            </w:r>
          </w:p>
        </w:tc>
      </w:tr>
      <w:tr>
        <w:tc>
          <w:tcPr>
            <w:tcW w:w="0" w:type="auto"/>
          </w:tcPr>
          <w:p>
            <w:pPr>
              <w:pStyle w:val="TablCenter"/>
            </w:pPr>
            <w:r>
              <w:rPr>
                <w:rFonts w:ascii="Times New Roman" w:hAnsi="Times New Roman"/>
                <w:sz w:val="28"/>
                <w:szCs w:val="28"/>
              </w:rPr>
              <w:t xml:space="preserve">A. duodenale</w:t>
            </w:r>
          </w:p>
        </w:tc>
        <w:tc>
          <w:tcPr>
            <w:tcW w:w="0" w:type="auto"/>
          </w:tcPr>
          <w:p>
            <w:pPr>
              <w:pStyle w:val="TablCenter"/>
            </w:pPr>
            <w:r>
              <w:rPr>
                <w:rFonts w:ascii="Times New Roman" w:hAnsi="Times New Roman"/>
                <w:sz w:val="28"/>
                <w:szCs w:val="28"/>
              </w:rPr>
              <w:t xml:space="preserve">Длина тела около 660 мкм, чехлика –720 мкм</w:t>
            </w:r>
          </w:p>
        </w:tc>
        <w:tc>
          <w:tcPr>
            <w:tcW w:w="0" w:type="auto"/>
          </w:tcPr>
          <w:p>
            <w:pPr>
              <w:pStyle w:val="TablCenter"/>
            </w:pPr>
            <w:r>
              <w:rPr>
                <w:rFonts w:ascii="Times New Roman" w:hAnsi="Times New Roman"/>
                <w:sz w:val="28"/>
                <w:szCs w:val="28"/>
              </w:rPr>
              <w:t xml:space="preserve">Исчерченность чехлика менее выражена, ротовой выступ менее заметен, передний конец тела (но не чехлика) тупой, диаметр кишечной трубки меньше, чем бульбус пищевода, хвостовой конец тупой</w:t>
            </w:r>
          </w:p>
        </w:tc>
      </w:tr>
      <w:tr>
        <w:tc>
          <w:tcPr>
            <w:tcW w:w="0" w:type="auto"/>
          </w:tcPr>
          <w:p>
            <w:pPr>
              <w:pStyle w:val="TablCenter"/>
            </w:pPr>
            <w:r>
              <w:rPr>
                <w:rFonts w:ascii="Times New Roman" w:hAnsi="Times New Roman"/>
                <w:sz w:val="28"/>
                <w:szCs w:val="28"/>
              </w:rPr>
              <w:t xml:space="preserve">N. americanus</w:t>
            </w:r>
          </w:p>
        </w:tc>
        <w:tc>
          <w:tcPr>
            <w:tcW w:w="0" w:type="auto"/>
          </w:tcPr>
          <w:p>
            <w:pPr>
              <w:pStyle w:val="TablCenter"/>
            </w:pPr>
            <w:r>
              <w:rPr>
                <w:rFonts w:ascii="Times New Roman" w:hAnsi="Times New Roman"/>
                <w:sz w:val="28"/>
                <w:szCs w:val="28"/>
              </w:rPr>
              <w:t xml:space="preserve">Длина тела около 590 мкм, чехлика –660 мкм</w:t>
            </w:r>
          </w:p>
        </w:tc>
        <w:tc>
          <w:tcPr>
            <w:tcW w:w="0" w:type="auto"/>
          </w:tcPr>
          <w:p>
            <w:pPr>
              <w:pStyle w:val="TablCenter"/>
            </w:pPr>
            <w:r>
              <w:rPr>
                <w:rFonts w:ascii="Times New Roman" w:hAnsi="Times New Roman"/>
                <w:sz w:val="28"/>
                <w:szCs w:val="28"/>
              </w:rPr>
              <w:t xml:space="preserve">Чехлик заметно исчерчен, особенно в хвостовой части тела, ротовой выступ кажется темным, передний конец тела (но не чехлика) закруглен подобно узкому концу куриного яйца, передняя часть кишечной трубки такого диаметра, как бульбус пищевода, хвостовой конец резко заострен</w:t>
            </w:r>
          </w:p>
        </w:tc>
      </w:tr>
      <w:tr>
        <w:tc>
          <w:tcPr>
            <w:tcW w:w="0" w:type="auto"/>
          </w:tcPr>
          <w:p>
            <w:pPr>
              <w:pStyle w:val="TablCenter"/>
            </w:pPr>
            <w:r>
              <w:rPr>
                <w:rFonts w:ascii="Times New Roman" w:hAnsi="Times New Roman"/>
                <w:sz w:val="28"/>
                <w:szCs w:val="28"/>
              </w:rPr>
              <w:t xml:space="preserve">S. stercoralis</w:t>
            </w:r>
          </w:p>
        </w:tc>
        <w:tc>
          <w:tcPr>
            <w:tcW w:w="0" w:type="auto"/>
          </w:tcPr>
          <w:p>
            <w:pPr>
              <w:pStyle w:val="TablCenter"/>
            </w:pPr>
            <w:r>
              <w:rPr>
                <w:rFonts w:ascii="Times New Roman" w:hAnsi="Times New Roman"/>
                <w:sz w:val="28"/>
                <w:szCs w:val="28"/>
              </w:rPr>
              <w:t xml:space="preserve">Длина тела около 500 мкм</w:t>
            </w:r>
          </w:p>
        </w:tc>
        <w:tc>
          <w:tcPr>
            <w:tcW w:w="0" w:type="auto"/>
          </w:tcPr>
          <w:p>
            <w:pPr>
              <w:pStyle w:val="TablCenter"/>
            </w:pPr>
            <w:r>
              <w:rPr>
                <w:rFonts w:ascii="Times New Roman" w:hAnsi="Times New Roman"/>
                <w:sz w:val="28"/>
                <w:szCs w:val="28"/>
              </w:rPr>
              <w:t xml:space="preserve">Личинка без чехлика, пищевод составляет около половины длины тела, хвост тупой или разветвленный</w:t>
            </w:r>
          </w:p>
        </w:tc>
      </w:tr>
      <w:tr>
        <w:tc>
          <w:tcPr>
            <w:tcW w:w="0" w:type="auto"/>
          </w:tcPr>
          <w:p>
            <w:pPr>
              <w:pStyle w:val="TablCenter"/>
            </w:pPr>
            <w:r>
              <w:rPr>
                <w:rFonts w:ascii="Times New Roman" w:hAnsi="Times New Roman"/>
                <w:sz w:val="28"/>
                <w:szCs w:val="28"/>
              </w:rPr>
              <w:t xml:space="preserve">Trichostrongylus sp.</w:t>
            </w:r>
          </w:p>
        </w:tc>
        <w:tc>
          <w:tcPr>
            <w:tcW w:w="0" w:type="auto"/>
          </w:tcPr>
          <w:p>
            <w:pPr>
              <w:pStyle w:val="TablCenter"/>
            </w:pPr>
            <w:r>
              <w:rPr>
                <w:rFonts w:ascii="Times New Roman" w:hAnsi="Times New Roman"/>
                <w:sz w:val="28"/>
                <w:szCs w:val="28"/>
              </w:rPr>
              <w:t xml:space="preserve">Длина тела около 750 мкм</w:t>
            </w:r>
          </w:p>
        </w:tc>
        <w:tc>
          <w:tcPr>
            <w:tcW w:w="0" w:type="auto"/>
          </w:tcPr>
          <w:p>
            <w:pPr>
              <w:pStyle w:val="TablCenter"/>
            </w:pPr>
            <w:r>
              <w:rPr>
                <w:rFonts w:ascii="Times New Roman" w:hAnsi="Times New Roman"/>
                <w:sz w:val="28"/>
                <w:szCs w:val="28"/>
              </w:rPr>
              <w:t xml:space="preserve">Просвет кишечника не прямой, а зигзагообразный, хвостовой конец закруглен и имеет форму кнопки</w:t>
            </w:r>
          </w:p>
        </w:tc>
      </w:tr>
    </w:tbl>
    <w:p>
      <w:pPr>
        <w:spacing w:after="60"/>
      </w:pPr>
    </w:p>
    <w:p>
      <w:pPr>
        <w:widowControl w:val="0"/>
        <w:keepNext/>
        <w:keepLines/>
        <w:spacing w:before="360" w:after="120"/>
        <w:jc w:val="center"/>
        <w:outlineLvl w:val="0"/>
      </w:pPr>
      <w:r>
        <w:rPr>
          <w:rFonts w:ascii="Times New Roman" w:hAnsi="Times New Roman"/>
          <w:sz w:val="28"/>
          <w:szCs w:val="28"/>
        </w:rPr>
        <w:t xml:space="preserve">Приложение 5</w:t>
      </w:r>
    </w:p>
    <w:p>
      <w:pPr>
        <w:widowControl w:val="0"/>
        <w:spacing w:before="0" w:after="60" w:line="240" w:lineRule="auto"/>
        <w:ind w:firstLine="709"/>
        <w:jc w:val="both"/>
      </w:pPr>
      <w:r>
        <w:rPr>
          <w:rFonts w:ascii="Times New Roman" w:hAnsi="Times New Roman"/>
          <w:sz w:val="28"/>
          <w:szCs w:val="28"/>
        </w:rPr>
        <w:t xml:space="preserve">к МУК 4.2.____-26</w:t>
      </w:r>
    </w:p>
    <w:p>
      <w:pPr>
        <w:widowControl w:val="0"/>
        <w:spacing w:before="0" w:after="60" w:line="240" w:lineRule="auto"/>
        <w:ind w:firstLine="709"/>
        <w:jc w:val="both"/>
      </w:pPr>
      <w:r>
        <w:rPr>
          <w:rFonts w:ascii="Times New Roman" w:hAnsi="Times New Roman"/>
          <w:sz w:val="28"/>
          <w:szCs w:val="28"/>
        </w:rPr>
        <w:t xml:space="preserve">(рекомендуемое)</w:t>
      </w:r>
    </w:p>
    <w:p>
      <w:pPr>
        <w:widowControl w:val="0"/>
        <w:spacing w:before="0" w:after="60" w:line="240" w:lineRule="auto"/>
        <w:ind w:firstLine="709"/>
        <w:jc w:val="both"/>
      </w:pPr>
      <w:r>
        <w:rPr>
          <w:rFonts w:ascii="Times New Roman" w:hAnsi="Times New Roman"/>
          <w:sz w:val="28"/>
          <w:szCs w:val="28"/>
        </w:rPr>
        <w:t xml:space="preserve">Способы приготовления растворов реактивов и буферов для ПЦР</w:t>
      </w:r>
    </w:p>
    <w:p>
      <w:pPr>
        <w:widowControl w:val="0"/>
        <w:spacing w:before="0" w:after="60" w:line="240" w:lineRule="auto"/>
        <w:ind w:firstLine="709"/>
        <w:jc w:val="both"/>
      </w:pPr>
      <w:r>
        <w:rPr>
          <w:rFonts w:ascii="Times New Roman" w:hAnsi="Times New Roman"/>
          <w:sz w:val="28"/>
          <w:szCs w:val="28"/>
        </w:rPr>
        <w:t xml:space="preserve">Раствор 1М ТРИС – HCl (рН 7,5). В мерной колбе на 100 мл растворяют 12,11 г трис(гидроксиметил)аминометана (молекулярный вес 121,0) в 80,0 мл дистиллированной воды, доводят рН до 7,5 концентрированной соляной кислотой, затем добавляют дистиллированную воду до конечного объема раствора 100,0 мл и перемешивают. Хранят при температуре плюс 2 – 8 °С не более года.</w:t>
      </w:r>
    </w:p>
    <w:p>
      <w:pPr>
        <w:widowControl w:val="0"/>
        <w:spacing w:before="0" w:after="60" w:line="240" w:lineRule="auto"/>
        <w:ind w:firstLine="709"/>
        <w:jc w:val="both"/>
      </w:pPr>
      <w:r>
        <w:rPr>
          <w:rFonts w:ascii="Times New Roman" w:hAnsi="Times New Roman"/>
          <w:sz w:val="28"/>
          <w:szCs w:val="28"/>
        </w:rPr>
        <w:t xml:space="preserve">Раствор 5 моль/л NaCl. В мерной колбе вместимостью 100 см³ растворяют 29,22 г натрия хлорида (молекулярная масса 58,44) в 80 см³ дистиллированной воды, перемешивают, доводят объём раствора дистиллированной водой до метки 100 см³ и перемешивают. Хранят в колбе с притёртой пробкой при комнатной температуре (плюс 15–20 °С) до 1 года.</w:t>
      </w:r>
    </w:p>
    <w:p>
      <w:pPr>
        <w:widowControl w:val="0"/>
        <w:spacing w:before="0" w:after="60" w:line="240" w:lineRule="auto"/>
        <w:ind w:firstLine="709"/>
        <w:jc w:val="both"/>
      </w:pPr>
      <w:r>
        <w:rPr>
          <w:rFonts w:ascii="Times New Roman" w:hAnsi="Times New Roman"/>
          <w:sz w:val="28"/>
          <w:szCs w:val="28"/>
        </w:rPr>
        <w:t xml:space="preserve">Раствор 30% натрия гидроокиси (NaOH). Растворяют 3,0 г натрия гидроокиси (молекулярный вес 40,0) в 7,0 мл дистиллированной воды. Хранят в стеклянном сосуде с притертой пробкой при комнатной температуре (плюс 15 – 20°С) не более 6 месяцев.</w:t>
      </w:r>
    </w:p>
    <w:p>
      <w:pPr>
        <w:widowControl w:val="0"/>
        <w:spacing w:before="0" w:after="60" w:line="240" w:lineRule="auto"/>
        <w:ind w:firstLine="709"/>
        <w:jc w:val="both"/>
      </w:pPr>
      <w:r>
        <w:rPr>
          <w:rFonts w:ascii="Times New Roman" w:hAnsi="Times New Roman"/>
          <w:sz w:val="28"/>
          <w:szCs w:val="28"/>
        </w:rPr>
        <w:t xml:space="preserve">Раствор 0,5М ЭДТА (рН 8,0). В мерной колбе на 100 мл растворяют 18,62 г динатриевой соли этилендиаминтетрауксусной кислоты двухводной (трилон Б) (молекулярная масса 372,24) в 80,0 мл дистиллированной воды. Доводят pH до 8,0 раствором 30% NaOH, затем добавляют дистиллированную воду до конечного объема раствора 100,0 мл и перемешивают. Хранят в колбе с притертой пробкой при комнатной температуре (плюс 15 – 20°С) до 1 года.</w:t>
      </w:r>
    </w:p>
    <w:p>
      <w:pPr>
        <w:widowControl w:val="0"/>
        <w:spacing w:before="0" w:after="60" w:line="240" w:lineRule="auto"/>
        <w:ind w:firstLine="709"/>
        <w:jc w:val="both"/>
      </w:pPr>
      <w:r>
        <w:rPr>
          <w:rFonts w:ascii="Times New Roman" w:hAnsi="Times New Roman"/>
          <w:sz w:val="28"/>
          <w:szCs w:val="28"/>
        </w:rPr>
        <w:t xml:space="preserve">Раствор 7,5 М ацетата аммония (CH3COONH4). Для приготовления 7,5 моль/л раствора ацетата аммония (CH3COONH4) следует в мерной колбе растворить 57,81г ацетата аммония в дистиллированной воде до конечного объема 100,0 мл. Хранить плотно закрытым в защищенном от света месте при температуре плюс 2 – 8 °С не более года.</w:t>
      </w:r>
    </w:p>
    <w:p>
      <w:pPr>
        <w:widowControl w:val="0"/>
        <w:spacing w:before="0" w:after="60" w:line="240" w:lineRule="auto"/>
        <w:ind w:firstLine="709"/>
        <w:jc w:val="both"/>
      </w:pPr>
      <w:r>
        <w:rPr>
          <w:rFonts w:ascii="Times New Roman" w:hAnsi="Times New Roman"/>
          <w:sz w:val="28"/>
          <w:szCs w:val="28"/>
        </w:rPr>
        <w:t xml:space="preserve">Раствор хлороформа, насыщенного водой. Смешивают 100,0 мл хлороформа с 20,0 мл деионизированной воды и оставляют на 24 ч для насыщения. Срок хранения при температуре плюс 4 – 5 °С не более 6 месяцев.</w:t>
      </w:r>
    </w:p>
    <w:p>
      <w:pPr>
        <w:widowControl w:val="0"/>
        <w:spacing w:before="0" w:after="60" w:line="240" w:lineRule="auto"/>
        <w:ind w:firstLine="709"/>
        <w:jc w:val="both"/>
      </w:pPr>
      <w:r>
        <w:rPr>
          <w:rFonts w:ascii="Times New Roman" w:hAnsi="Times New Roman"/>
          <w:sz w:val="28"/>
          <w:szCs w:val="28"/>
        </w:rPr>
        <w:t xml:space="preserve">Раствор лизирующего буфера (2%-го «ЦТАБ»). Растворяют 0,5 г гексадецилтриметиламмония бромида в 10,0 мл деионизированной воды (при плохом растворении подогреть на водяной бане), добавляют 2,5 мл 1М Трис - HCl, 7,0 мл 5М NaCl, 1,0 мл 0,5М ЭДТА, доводят объем раствора деионизированной водой до 25,0 мл и перемешивают. Срок хранения при температуре плюс 4 – 5 °С не более 6 месяцев, допустимо образование осадка. Перед использованием буфер выдерживают при комнатной температуре или подогревают при 65 °С до полного растворения осадка. Непосредственно перед использованием вносят 2-меркаптоэтанол из расчёта 4 мм³ на 1 см³ буфера (конечная концентрация 0,4%). Примечание. Концентрация NaCl в буфере определяется концентрацией исходного раствора (п. 2 приложения 5): при 5 моль/л NaCl в буфере 1,4 моль/л.</w:t>
      </w:r>
    </w:p>
    <w:p>
      <w:pPr>
        <w:widowControl w:val="0"/>
        <w:spacing w:before="0" w:after="60" w:line="240" w:lineRule="auto"/>
        <w:ind w:firstLine="709"/>
        <w:jc w:val="both"/>
      </w:pPr>
      <w:r>
        <w:rPr>
          <w:rFonts w:ascii="Times New Roman" w:hAnsi="Times New Roman"/>
          <w:sz w:val="28"/>
          <w:szCs w:val="28"/>
        </w:rPr>
        <w:t xml:space="preserve">Раствор ТЕ буфера. К 9,78 мл дистиллированной воды добавить 200 мкл 1М трис-HCl pH 7,5 и 20,0 мкл 0,5М ЭДТА и тщательно перемешать. Хранить при температуре плюс 2 – 8 °С не более года.</w:t>
      </w:r>
    </w:p>
    <w:p>
      <w:pPr>
        <w:widowControl w:val="0"/>
        <w:spacing w:before="0" w:after="60" w:line="240" w:lineRule="auto"/>
        <w:ind w:firstLine="709"/>
        <w:jc w:val="both"/>
      </w:pPr>
      <w:r>
        <w:rPr>
          <w:rFonts w:ascii="Times New Roman" w:hAnsi="Times New Roman"/>
          <w:sz w:val="28"/>
          <w:szCs w:val="28"/>
        </w:rPr>
        <w:t xml:space="preserve">9. Раствор 2%-го раствора агарозного геля. Определяют нужный объем геля исходя из инструкции производителя форезного прибора. Взвешивают агарозу из расчета 2 г агарозы на 100 мл буфера ТБЕ. Нагревают агарозу вместе с буфером до полного расплавления (в микроволновой печи или на водяной бане). Нагревание проводят с осторожностью, опасность перегретых жидкостей. Остужают растворенный гель до плюс 56 оС (учитывать указания производителя электрофорезного прибора). Добавляют в гель раствор бромистого этидия до концентрации 0,2 – 0,5 мкг/мл (2 – 5 мкл на 100 мл раствора геля) и перемешивают. Гель заливают в собранную заливочную кассету с установленными гребенками. После застывания геля (гель становится слегка мутным и плотным) удаляют гребенки. Допускается хранение готового геля в 1х буфере для электрофореза в холодильнике при температуре плюс 4 – 5 °С не более 2-х суток. Маточный раствор этидия бромида: 1,0 г бромистого этидия растворяют в 100 см³ дистиллированной воды (10 мг/см³), хранят в посуде из тёмного стекла при 4–5 °С не более 12 мес. Окрашивание гелей проводят этидия бромидом из маточного раствора до конечной концентрации 0,2–0,5 мкг/см³; предпочтительно применение менее токсичных красителей (SYBR Safe, GelRed). Этидий бромистый — канцероген: работа в перчатках, отходы собирают раздельно и обеззараживают.</w:t>
      </w:r>
    </w:p>
    <w:p>
      <w:pPr>
        <w:widowControl w:val="0"/>
        <w:keepNext/>
        <w:keepLines/>
        <w:spacing w:before="360" w:after="120"/>
        <w:jc w:val="center"/>
        <w:outlineLvl w:val="0"/>
      </w:pPr>
      <w:r>
        <w:rPr>
          <w:rFonts w:ascii="Times New Roman" w:hAnsi="Times New Roman"/>
          <w:sz w:val="28"/>
          <w:szCs w:val="28"/>
        </w:rPr>
        <w:t xml:space="preserve">Приложение 6</w:t>
      </w:r>
    </w:p>
    <w:p>
      <w:pPr>
        <w:widowControl w:val="0"/>
        <w:spacing w:before="0" w:after="60" w:line="240" w:lineRule="auto"/>
        <w:ind w:firstLine="709"/>
        <w:jc w:val="both"/>
      </w:pPr>
      <w:r>
        <w:rPr>
          <w:rFonts w:ascii="Times New Roman" w:hAnsi="Times New Roman"/>
          <w:sz w:val="28"/>
          <w:szCs w:val="28"/>
        </w:rPr>
        <w:t xml:space="preserve">к МУК 4.2.____-26</w:t>
      </w:r>
    </w:p>
    <w:p>
      <w:pPr>
        <w:widowControl w:val="0"/>
        <w:spacing w:before="0" w:after="60" w:line="240" w:lineRule="auto"/>
        <w:ind w:firstLine="709"/>
        <w:jc w:val="both"/>
      </w:pPr>
      <w:r>
        <w:rPr>
          <w:rFonts w:ascii="Times New Roman" w:hAnsi="Times New Roman"/>
          <w:sz w:val="28"/>
          <w:szCs w:val="28"/>
        </w:rPr>
        <w:t xml:space="preserve">(рекомендуемое)</w:t>
      </w:r>
    </w:p>
    <w:p>
      <w:pPr>
        <w:widowControl w:val="0"/>
        <w:spacing w:before="0" w:after="60" w:line="240" w:lineRule="auto"/>
        <w:ind w:firstLine="709"/>
        <w:jc w:val="both"/>
      </w:pPr>
      <w:r>
        <w:rPr>
          <w:rFonts w:ascii="Times New Roman" w:hAnsi="Times New Roman"/>
          <w:sz w:val="28"/>
          <w:szCs w:val="28"/>
        </w:rPr>
        <w:t xml:space="preserve">Поправочные коэффициенты для определения истинной обсемененности почв яйцами аскарид и власоглавов</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3008"/>
        <w:gridCol w:w="3008"/>
        <w:gridCol w:w="3008"/>
      </w:tblGrid>
      <w:tr>
        <w:tc>
          <w:tcPr>
            <w:tcW w:w="0" w:type="auto"/>
          </w:tcPr>
          <w:p>
            <w:pPr>
              <w:pStyle w:val="TablCenter"/>
              <w:rPr>
                <w:b/>
              </w:rPr>
            </w:pPr>
            <w:r>
              <w:rPr>
                <w:rFonts w:ascii="Times New Roman" w:hAnsi="Times New Roman"/>
                <w:b/>
                <w:sz w:val="28"/>
                <w:szCs w:val="28"/>
              </w:rPr>
              <w:t xml:space="preserve">Тип почвы</w:t>
            </w:r>
          </w:p>
        </w:tc>
        <w:tc>
          <w:tcPr>
            <w:tcW w:w="0" w:type="auto"/>
          </w:tcPr>
          <w:p>
            <w:pPr>
              <w:pStyle w:val="TablCenter"/>
              <w:rPr>
                <w:b/>
              </w:rPr>
            </w:pPr>
            <w:r>
              <w:rPr>
                <w:rFonts w:ascii="Times New Roman" w:hAnsi="Times New Roman"/>
                <w:b/>
                <w:sz w:val="28"/>
                <w:szCs w:val="28"/>
              </w:rPr>
              <w:t xml:space="preserve">Яйца геогельминтов</w:t>
            </w:r>
          </w:p>
        </w:tc>
        <w:tc>
          <w:tcPr>
            <w:tcW w:w="0" w:type="auto"/>
          </w:tcPr>
          <w:p>
            <w:pPr>
              <w:pStyle w:val="TablCenter"/>
              <w:rPr>
                <w:b/>
              </w:rPr>
            </w:pPr>
          </w:p>
        </w:tc>
      </w:tr>
      <w:tr>
        <w:tc>
          <w:tcPr>
            <w:tcW w:w="0" w:type="auto"/>
          </w:tcPr>
          <w:p>
            <w:pPr>
              <w:pStyle w:val="TablCenter"/>
            </w:pPr>
            <w:r>
              <w:rPr>
                <w:rFonts w:ascii="Times New Roman" w:hAnsi="Times New Roman"/>
                <w:sz w:val="28"/>
                <w:szCs w:val="28"/>
              </w:rPr>
              <w:t xml:space="preserve">аскарид</w:t>
            </w:r>
          </w:p>
        </w:tc>
        <w:tc>
          <w:tcPr>
            <w:tcW w:w="0" w:type="auto"/>
          </w:tcPr>
          <w:p>
            <w:pPr>
              <w:pStyle w:val="TablCenter"/>
            </w:pPr>
            <w:r>
              <w:rPr>
                <w:rFonts w:ascii="Times New Roman" w:hAnsi="Times New Roman"/>
                <w:sz w:val="28"/>
                <w:szCs w:val="28"/>
              </w:rPr>
              <w:t xml:space="preserve">власоглавов</w:t>
            </w:r>
          </w:p>
        </w:tc>
        <w:tc>
          <w:tcPr>
            <w:tcW w:w="0" w:type="auto"/>
          </w:tcPr>
          <w:p>
            <w:pPr>
              <w:pStyle w:val="TablCenter"/>
            </w:pPr>
          </w:p>
        </w:tc>
      </w:tr>
      <w:tr>
        <w:tc>
          <w:tcPr>
            <w:tcW w:w="0" w:type="auto"/>
          </w:tcPr>
          <w:p>
            <w:pPr>
              <w:pStyle w:val="TablCenter"/>
            </w:pPr>
            <w:r>
              <w:rPr>
                <w:rFonts w:ascii="Times New Roman" w:hAnsi="Times New Roman"/>
                <w:sz w:val="28"/>
                <w:szCs w:val="28"/>
              </w:rPr>
              <w:t xml:space="preserve">Дерново-подзолистая (супесь)</w:t>
            </w:r>
          </w:p>
        </w:tc>
        <w:tc>
          <w:tcPr>
            <w:tcW w:w="0" w:type="auto"/>
          </w:tcPr>
          <w:p>
            <w:pPr>
              <w:pStyle w:val="TablCenter"/>
            </w:pPr>
            <w:r>
              <w:rPr>
                <w:rFonts w:ascii="Times New Roman" w:hAnsi="Times New Roman"/>
                <w:sz w:val="28"/>
                <w:szCs w:val="28"/>
              </w:rPr>
              <w:t xml:space="preserve">1,23</w:t>
            </w:r>
          </w:p>
        </w:tc>
        <w:tc>
          <w:tcPr>
            <w:tcW w:w="0" w:type="auto"/>
          </w:tcPr>
          <w:p>
            <w:pPr>
              <w:pStyle w:val="TablCenter"/>
            </w:pPr>
            <w:r>
              <w:rPr>
                <w:rFonts w:ascii="Times New Roman" w:hAnsi="Times New Roman"/>
                <w:sz w:val="28"/>
                <w:szCs w:val="28"/>
              </w:rPr>
              <w:t xml:space="preserve">1,43</w:t>
            </w:r>
          </w:p>
        </w:tc>
      </w:tr>
      <w:tr>
        <w:tc>
          <w:tcPr>
            <w:tcW w:w="0" w:type="auto"/>
          </w:tcPr>
          <w:p>
            <w:pPr>
              <w:pStyle w:val="TablCenter"/>
            </w:pPr>
            <w:r>
              <w:rPr>
                <w:rFonts w:ascii="Times New Roman" w:hAnsi="Times New Roman"/>
                <w:sz w:val="28"/>
                <w:szCs w:val="28"/>
              </w:rPr>
              <w:t xml:space="preserve">Дерново-подзолистая (суглинок)</w:t>
            </w:r>
          </w:p>
        </w:tc>
        <w:tc>
          <w:tcPr>
            <w:tcW w:w="0" w:type="auto"/>
          </w:tcPr>
          <w:p>
            <w:pPr>
              <w:pStyle w:val="TablCenter"/>
            </w:pPr>
            <w:r>
              <w:rPr>
                <w:rFonts w:ascii="Times New Roman" w:hAnsi="Times New Roman"/>
                <w:sz w:val="28"/>
                <w:szCs w:val="28"/>
              </w:rPr>
              <w:t xml:space="preserve">1,45</w:t>
            </w:r>
          </w:p>
        </w:tc>
        <w:tc>
          <w:tcPr>
            <w:tcW w:w="0" w:type="auto"/>
          </w:tcPr>
          <w:p>
            <w:pPr>
              <w:pStyle w:val="TablCenter"/>
            </w:pPr>
            <w:r>
              <w:rPr>
                <w:rFonts w:ascii="Times New Roman" w:hAnsi="Times New Roman"/>
                <w:sz w:val="28"/>
                <w:szCs w:val="28"/>
              </w:rPr>
              <w:t xml:space="preserve">1,50</w:t>
            </w:r>
          </w:p>
        </w:tc>
      </w:tr>
      <w:tr>
        <w:tc>
          <w:tcPr>
            <w:tcW w:w="0" w:type="auto"/>
          </w:tcPr>
          <w:p>
            <w:pPr>
              <w:pStyle w:val="TablCenter"/>
            </w:pPr>
            <w:r>
              <w:rPr>
                <w:rFonts w:ascii="Times New Roman" w:hAnsi="Times New Roman"/>
                <w:sz w:val="28"/>
                <w:szCs w:val="28"/>
              </w:rPr>
              <w:t xml:space="preserve">Торфяно-глеевые</w:t>
            </w:r>
          </w:p>
        </w:tc>
        <w:tc>
          <w:tcPr>
            <w:tcW w:w="0" w:type="auto"/>
          </w:tcPr>
          <w:p>
            <w:pPr>
              <w:pStyle w:val="TablCenter"/>
            </w:pPr>
            <w:r>
              <w:rPr>
                <w:rFonts w:ascii="Times New Roman" w:hAnsi="Times New Roman"/>
                <w:sz w:val="28"/>
                <w:szCs w:val="28"/>
              </w:rPr>
              <w:t xml:space="preserve">1,84</w:t>
            </w:r>
          </w:p>
        </w:tc>
        <w:tc>
          <w:tcPr>
            <w:tcW w:w="0" w:type="auto"/>
          </w:tcPr>
          <w:p>
            <w:pPr>
              <w:pStyle w:val="TablCenter"/>
            </w:pPr>
            <w:r>
              <w:rPr>
                <w:rFonts w:ascii="Times New Roman" w:hAnsi="Times New Roman"/>
                <w:sz w:val="28"/>
                <w:szCs w:val="28"/>
              </w:rPr>
              <w:t xml:space="preserve">2,40</w:t>
            </w:r>
          </w:p>
        </w:tc>
      </w:tr>
      <w:tr>
        <w:tc>
          <w:tcPr>
            <w:tcW w:w="0" w:type="auto"/>
          </w:tcPr>
          <w:p>
            <w:pPr>
              <w:pStyle w:val="TablCenter"/>
            </w:pPr>
            <w:r>
              <w:rPr>
                <w:rFonts w:ascii="Times New Roman" w:hAnsi="Times New Roman"/>
                <w:sz w:val="28"/>
                <w:szCs w:val="28"/>
              </w:rPr>
              <w:t xml:space="preserve">Чернозем обыкновенный</w:t>
            </w:r>
          </w:p>
        </w:tc>
        <w:tc>
          <w:tcPr>
            <w:tcW w:w="0" w:type="auto"/>
          </w:tcPr>
          <w:p>
            <w:pPr>
              <w:pStyle w:val="TablCenter"/>
            </w:pPr>
            <w:r>
              <w:rPr>
                <w:rFonts w:ascii="Times New Roman" w:hAnsi="Times New Roman"/>
                <w:sz w:val="28"/>
                <w:szCs w:val="28"/>
              </w:rPr>
              <w:t xml:space="preserve">1,60</w:t>
            </w:r>
          </w:p>
        </w:tc>
        <w:tc>
          <w:tcPr>
            <w:tcW w:w="0" w:type="auto"/>
          </w:tcPr>
          <w:p>
            <w:pPr>
              <w:pStyle w:val="TablCenter"/>
            </w:pPr>
            <w:r>
              <w:rPr>
                <w:rFonts w:ascii="Times New Roman" w:hAnsi="Times New Roman"/>
                <w:sz w:val="28"/>
                <w:szCs w:val="28"/>
              </w:rPr>
              <w:t xml:space="preserve">1,85</w:t>
            </w:r>
          </w:p>
        </w:tc>
      </w:tr>
      <w:tr>
        <w:tc>
          <w:tcPr>
            <w:tcW w:w="0" w:type="auto"/>
          </w:tcPr>
          <w:p>
            <w:pPr>
              <w:pStyle w:val="TablCenter"/>
            </w:pPr>
            <w:r>
              <w:rPr>
                <w:rFonts w:ascii="Times New Roman" w:hAnsi="Times New Roman"/>
                <w:sz w:val="28"/>
                <w:szCs w:val="28"/>
              </w:rPr>
              <w:t xml:space="preserve">Чернозем типичный</w:t>
            </w:r>
          </w:p>
        </w:tc>
        <w:tc>
          <w:tcPr>
            <w:tcW w:w="0" w:type="auto"/>
          </w:tcPr>
          <w:p>
            <w:pPr>
              <w:pStyle w:val="TablCenter"/>
            </w:pPr>
            <w:r>
              <w:rPr>
                <w:rFonts w:ascii="Times New Roman" w:hAnsi="Times New Roman"/>
                <w:sz w:val="28"/>
                <w:szCs w:val="28"/>
              </w:rPr>
              <w:t xml:space="preserve">1,70</w:t>
            </w:r>
          </w:p>
        </w:tc>
        <w:tc>
          <w:tcPr>
            <w:tcW w:w="0" w:type="auto"/>
          </w:tcPr>
          <w:p>
            <w:pPr>
              <w:pStyle w:val="TablCenter"/>
            </w:pPr>
            <w:r>
              <w:rPr>
                <w:rFonts w:ascii="Times New Roman" w:hAnsi="Times New Roman"/>
                <w:sz w:val="28"/>
                <w:szCs w:val="28"/>
              </w:rPr>
              <w:t xml:space="preserve">2,30</w:t>
            </w:r>
          </w:p>
        </w:tc>
      </w:tr>
      <w:tr>
        <w:tc>
          <w:tcPr>
            <w:tcW w:w="0" w:type="auto"/>
          </w:tcPr>
          <w:p>
            <w:pPr>
              <w:pStyle w:val="TablCenter"/>
            </w:pPr>
            <w:r>
              <w:rPr>
                <w:rFonts w:ascii="Times New Roman" w:hAnsi="Times New Roman"/>
                <w:sz w:val="28"/>
                <w:szCs w:val="28"/>
              </w:rPr>
              <w:t xml:space="preserve">Чернозем выщелоченный</w:t>
            </w:r>
          </w:p>
        </w:tc>
        <w:tc>
          <w:tcPr>
            <w:tcW w:w="0" w:type="auto"/>
          </w:tcPr>
          <w:p>
            <w:pPr>
              <w:pStyle w:val="TablCenter"/>
            </w:pPr>
            <w:r>
              <w:rPr>
                <w:rFonts w:ascii="Times New Roman" w:hAnsi="Times New Roman"/>
                <w:sz w:val="28"/>
                <w:szCs w:val="28"/>
              </w:rPr>
              <w:t xml:space="preserve">1,43</w:t>
            </w:r>
          </w:p>
        </w:tc>
        <w:tc>
          <w:tcPr>
            <w:tcW w:w="0" w:type="auto"/>
          </w:tcPr>
          <w:p>
            <w:pPr>
              <w:pStyle w:val="TablCenter"/>
            </w:pPr>
            <w:r>
              <w:rPr>
                <w:rFonts w:ascii="Times New Roman" w:hAnsi="Times New Roman"/>
                <w:sz w:val="28"/>
                <w:szCs w:val="28"/>
              </w:rPr>
              <w:t xml:space="preserve">2,10</w:t>
            </w:r>
          </w:p>
        </w:tc>
      </w:tr>
      <w:tr>
        <w:tc>
          <w:tcPr>
            <w:tcW w:w="0" w:type="auto"/>
          </w:tcPr>
          <w:p>
            <w:pPr>
              <w:pStyle w:val="TablCenter"/>
            </w:pPr>
            <w:r>
              <w:rPr>
                <w:rFonts w:ascii="Times New Roman" w:hAnsi="Times New Roman"/>
                <w:sz w:val="28"/>
                <w:szCs w:val="28"/>
              </w:rPr>
              <w:t xml:space="preserve">Чернозем каштановый (супесь)</w:t>
            </w:r>
          </w:p>
        </w:tc>
        <w:tc>
          <w:tcPr>
            <w:tcW w:w="0" w:type="auto"/>
          </w:tcPr>
          <w:p>
            <w:pPr>
              <w:pStyle w:val="TablCenter"/>
            </w:pPr>
            <w:r>
              <w:rPr>
                <w:rFonts w:ascii="Times New Roman" w:hAnsi="Times New Roman"/>
                <w:sz w:val="28"/>
                <w:szCs w:val="28"/>
              </w:rPr>
              <w:t xml:space="preserve">1,28</w:t>
            </w:r>
          </w:p>
        </w:tc>
        <w:tc>
          <w:tcPr>
            <w:tcW w:w="0" w:type="auto"/>
          </w:tcPr>
          <w:p>
            <w:pPr>
              <w:pStyle w:val="TablCenter"/>
            </w:pPr>
            <w:r>
              <w:rPr>
                <w:rFonts w:ascii="Times New Roman" w:hAnsi="Times New Roman"/>
                <w:sz w:val="28"/>
                <w:szCs w:val="28"/>
              </w:rPr>
              <w:t xml:space="preserve">1,95</w:t>
            </w:r>
          </w:p>
        </w:tc>
      </w:tr>
      <w:tr>
        <w:tc>
          <w:tcPr>
            <w:tcW w:w="0" w:type="auto"/>
          </w:tcPr>
          <w:p>
            <w:pPr>
              <w:pStyle w:val="TablCenter"/>
            </w:pPr>
            <w:r>
              <w:rPr>
                <w:rFonts w:ascii="Times New Roman" w:hAnsi="Times New Roman"/>
                <w:sz w:val="28"/>
                <w:szCs w:val="28"/>
              </w:rPr>
              <w:t xml:space="preserve">Чернозем каштановый (суглинок)</w:t>
            </w:r>
          </w:p>
        </w:tc>
        <w:tc>
          <w:tcPr>
            <w:tcW w:w="0" w:type="auto"/>
          </w:tcPr>
          <w:p>
            <w:pPr>
              <w:pStyle w:val="TablCenter"/>
            </w:pPr>
            <w:r>
              <w:rPr>
                <w:rFonts w:ascii="Times New Roman" w:hAnsi="Times New Roman"/>
                <w:sz w:val="28"/>
                <w:szCs w:val="28"/>
              </w:rPr>
              <w:t xml:space="preserve">1,64</w:t>
            </w:r>
          </w:p>
        </w:tc>
        <w:tc>
          <w:tcPr>
            <w:tcW w:w="0" w:type="auto"/>
          </w:tcPr>
          <w:p>
            <w:pPr>
              <w:pStyle w:val="TablCenter"/>
            </w:pPr>
            <w:r>
              <w:rPr>
                <w:rFonts w:ascii="Times New Roman" w:hAnsi="Times New Roman"/>
                <w:sz w:val="28"/>
                <w:szCs w:val="28"/>
              </w:rPr>
              <w:t xml:space="preserve">2,15</w:t>
            </w:r>
          </w:p>
        </w:tc>
      </w:tr>
      <w:tr>
        <w:tc>
          <w:tcPr>
            <w:tcW w:w="0" w:type="auto"/>
          </w:tcPr>
          <w:p>
            <w:pPr>
              <w:pStyle w:val="TablCenter"/>
            </w:pPr>
            <w:r>
              <w:rPr>
                <w:rFonts w:ascii="Times New Roman" w:hAnsi="Times New Roman"/>
                <w:sz w:val="28"/>
                <w:szCs w:val="28"/>
              </w:rPr>
              <w:t xml:space="preserve">Аллювиальные лугово-лесные</w:t>
            </w:r>
          </w:p>
        </w:tc>
        <w:tc>
          <w:tcPr>
            <w:tcW w:w="0" w:type="auto"/>
          </w:tcPr>
          <w:p>
            <w:pPr>
              <w:pStyle w:val="TablCenter"/>
            </w:pPr>
            <w:r>
              <w:rPr>
                <w:rFonts w:ascii="Times New Roman" w:hAnsi="Times New Roman"/>
                <w:sz w:val="28"/>
                <w:szCs w:val="28"/>
              </w:rPr>
              <w:t xml:space="preserve">1,37</w:t>
            </w:r>
          </w:p>
        </w:tc>
        <w:tc>
          <w:tcPr>
            <w:tcW w:w="0" w:type="auto"/>
          </w:tcPr>
          <w:p>
            <w:pPr>
              <w:pStyle w:val="TablCenter"/>
            </w:pPr>
            <w:r>
              <w:rPr>
                <w:rFonts w:ascii="Times New Roman" w:hAnsi="Times New Roman"/>
                <w:sz w:val="28"/>
                <w:szCs w:val="28"/>
              </w:rPr>
              <w:t xml:space="preserve">1,65</w:t>
            </w:r>
          </w:p>
        </w:tc>
      </w:tr>
      <w:tr>
        <w:tc>
          <w:tcPr>
            <w:tcW w:w="0" w:type="auto"/>
          </w:tcPr>
          <w:p>
            <w:pPr>
              <w:pStyle w:val="TablCenter"/>
            </w:pPr>
            <w:r>
              <w:rPr>
                <w:rFonts w:ascii="Times New Roman" w:hAnsi="Times New Roman"/>
                <w:sz w:val="28"/>
                <w:szCs w:val="28"/>
              </w:rPr>
              <w:t xml:space="preserve">Сероземы</w:t>
            </w:r>
          </w:p>
        </w:tc>
        <w:tc>
          <w:tcPr>
            <w:tcW w:w="0" w:type="auto"/>
          </w:tcPr>
          <w:p>
            <w:pPr>
              <w:pStyle w:val="TablCenter"/>
            </w:pPr>
            <w:r>
              <w:rPr>
                <w:rFonts w:ascii="Times New Roman" w:hAnsi="Times New Roman"/>
                <w:sz w:val="28"/>
                <w:szCs w:val="28"/>
              </w:rPr>
              <w:t xml:space="preserve">1,39</w:t>
            </w:r>
          </w:p>
        </w:tc>
        <w:tc>
          <w:tcPr>
            <w:tcW w:w="0" w:type="auto"/>
          </w:tcPr>
          <w:p>
            <w:pPr>
              <w:pStyle w:val="TablCenter"/>
            </w:pPr>
            <w:r>
              <w:rPr>
                <w:rFonts w:ascii="Times New Roman" w:hAnsi="Times New Roman"/>
                <w:sz w:val="28"/>
                <w:szCs w:val="28"/>
              </w:rPr>
              <w:t xml:space="preserve">1,60</w:t>
            </w:r>
          </w:p>
        </w:tc>
      </w:tr>
      <w:tr>
        <w:tc>
          <w:tcPr>
            <w:tcW w:w="0" w:type="auto"/>
          </w:tcPr>
          <w:p>
            <w:pPr>
              <w:pStyle w:val="TablCenter"/>
            </w:pPr>
            <w:r>
              <w:rPr>
                <w:rFonts w:ascii="Times New Roman" w:hAnsi="Times New Roman"/>
                <w:sz w:val="28"/>
                <w:szCs w:val="28"/>
              </w:rPr>
              <w:t xml:space="preserve">Коричневые лесные</w:t>
            </w:r>
          </w:p>
        </w:tc>
        <w:tc>
          <w:tcPr>
            <w:tcW w:w="0" w:type="auto"/>
          </w:tcPr>
          <w:p>
            <w:pPr>
              <w:pStyle w:val="TablCenter"/>
            </w:pPr>
            <w:r>
              <w:rPr>
                <w:rFonts w:ascii="Times New Roman" w:hAnsi="Times New Roman"/>
                <w:sz w:val="28"/>
                <w:szCs w:val="28"/>
              </w:rPr>
              <w:t xml:space="preserve">1,49</w:t>
            </w:r>
          </w:p>
        </w:tc>
        <w:tc>
          <w:tcPr>
            <w:tcW w:w="0" w:type="auto"/>
          </w:tcPr>
          <w:p>
            <w:pPr>
              <w:pStyle w:val="TablCenter"/>
            </w:pPr>
            <w:r>
              <w:rPr>
                <w:rFonts w:ascii="Times New Roman" w:hAnsi="Times New Roman"/>
                <w:sz w:val="28"/>
                <w:szCs w:val="28"/>
              </w:rPr>
              <w:t xml:space="preserve">1,71</w:t>
            </w:r>
          </w:p>
        </w:tc>
      </w:tr>
      <w:tr>
        <w:tc>
          <w:tcPr>
            <w:tcW w:w="0" w:type="auto"/>
          </w:tcPr>
          <w:p>
            <w:pPr>
              <w:pStyle w:val="TablCenter"/>
            </w:pPr>
            <w:r>
              <w:rPr>
                <w:rFonts w:ascii="Times New Roman" w:hAnsi="Times New Roman"/>
                <w:sz w:val="28"/>
                <w:szCs w:val="28"/>
              </w:rPr>
              <w:t xml:space="preserve">Горная лесная бурая</w:t>
            </w:r>
          </w:p>
        </w:tc>
        <w:tc>
          <w:tcPr>
            <w:tcW w:w="0" w:type="auto"/>
          </w:tcPr>
          <w:p>
            <w:pPr>
              <w:pStyle w:val="TablCenter"/>
            </w:pPr>
            <w:r>
              <w:rPr>
                <w:rFonts w:ascii="Times New Roman" w:hAnsi="Times New Roman"/>
                <w:sz w:val="28"/>
                <w:szCs w:val="28"/>
              </w:rPr>
              <w:t xml:space="preserve">1,54</w:t>
            </w:r>
          </w:p>
        </w:tc>
        <w:tc>
          <w:tcPr>
            <w:tcW w:w="0" w:type="auto"/>
          </w:tcPr>
          <w:p>
            <w:pPr>
              <w:pStyle w:val="TablCenter"/>
            </w:pPr>
            <w:r>
              <w:rPr>
                <w:rFonts w:ascii="Times New Roman" w:hAnsi="Times New Roman"/>
                <w:sz w:val="28"/>
                <w:szCs w:val="28"/>
              </w:rPr>
              <w:t xml:space="preserve">1,72</w:t>
            </w:r>
          </w:p>
        </w:tc>
      </w:tr>
      <w:tr>
        <w:tc>
          <w:tcPr>
            <w:tcW w:w="0" w:type="auto"/>
          </w:tcPr>
          <w:p>
            <w:pPr>
              <w:pStyle w:val="TablCenter"/>
            </w:pPr>
            <w:r>
              <w:rPr>
                <w:rFonts w:ascii="Times New Roman" w:hAnsi="Times New Roman"/>
                <w:sz w:val="28"/>
                <w:szCs w:val="28"/>
              </w:rPr>
              <w:t xml:space="preserve">Желтоземы</w:t>
            </w:r>
          </w:p>
        </w:tc>
        <w:tc>
          <w:tcPr>
            <w:tcW w:w="0" w:type="auto"/>
          </w:tcPr>
          <w:p>
            <w:pPr>
              <w:pStyle w:val="TablCenter"/>
            </w:pPr>
            <w:r>
              <w:rPr>
                <w:rFonts w:ascii="Times New Roman" w:hAnsi="Times New Roman"/>
                <w:sz w:val="28"/>
                <w:szCs w:val="28"/>
              </w:rPr>
              <w:t xml:space="preserve">1,79</w:t>
            </w:r>
          </w:p>
        </w:tc>
        <w:tc>
          <w:tcPr>
            <w:tcW w:w="0" w:type="auto"/>
          </w:tcPr>
          <w:p>
            <w:pPr>
              <w:pStyle w:val="TablCenter"/>
            </w:pPr>
            <w:r>
              <w:rPr>
                <w:rFonts w:ascii="Times New Roman" w:hAnsi="Times New Roman"/>
                <w:sz w:val="28"/>
                <w:szCs w:val="28"/>
              </w:rPr>
              <w:t xml:space="preserve">1,94</w:t>
            </w:r>
          </w:p>
        </w:tc>
      </w:tr>
    </w:tbl>
    <w:p>
      <w:pPr>
        <w:spacing w:after="60"/>
      </w:pPr>
    </w:p>
    <w:p>
      <w:pPr>
        <w:widowControl w:val="0"/>
        <w:keepNext/>
        <w:keepLines/>
        <w:spacing w:before="360" w:after="120"/>
        <w:jc w:val="center"/>
        <w:outlineLvl w:val="0"/>
      </w:pPr>
      <w:r>
        <w:rPr>
          <w:rFonts w:ascii="Times New Roman" w:hAnsi="Times New Roman"/>
          <w:sz w:val="28"/>
          <w:szCs w:val="28"/>
        </w:rPr>
        <w:t xml:space="preserve">Приложение 7</w:t>
      </w:r>
    </w:p>
    <w:p>
      <w:pPr>
        <w:widowControl w:val="0"/>
        <w:spacing w:before="0" w:after="60" w:line="240" w:lineRule="auto"/>
        <w:ind w:firstLine="709"/>
        <w:jc w:val="both"/>
      </w:pPr>
      <w:r>
        <w:rPr>
          <w:rFonts w:ascii="Times New Roman" w:hAnsi="Times New Roman"/>
          <w:sz w:val="28"/>
          <w:szCs w:val="28"/>
        </w:rPr>
        <w:t xml:space="preserve">к МУК 4.2.____-26</w:t>
      </w:r>
    </w:p>
    <w:p>
      <w:pPr>
        <w:widowControl w:val="0"/>
        <w:spacing w:before="0" w:after="60" w:line="240" w:lineRule="auto"/>
        <w:ind w:firstLine="709"/>
        <w:jc w:val="both"/>
      </w:pPr>
      <w:r>
        <w:rPr>
          <w:rFonts w:ascii="Times New Roman" w:hAnsi="Times New Roman"/>
          <w:sz w:val="28"/>
          <w:szCs w:val="28"/>
        </w:rPr>
        <w:t xml:space="preserve">(рекомендуемое)</w:t>
      </w:r>
    </w:p>
    <w:p>
      <w:pPr>
        <w:widowControl w:val="0"/>
        <w:spacing w:before="0" w:after="60" w:line="240" w:lineRule="auto"/>
        <w:ind w:firstLine="709"/>
        <w:jc w:val="both"/>
      </w:pPr>
      <w:r>
        <w:rPr>
          <w:rFonts w:ascii="Times New Roman" w:hAnsi="Times New Roman"/>
          <w:sz w:val="28"/>
          <w:szCs w:val="28"/>
        </w:rPr>
        <w:t xml:space="preserve">Критерии оценки, масса (объём) проб и кратность санитарно-паразитологических исследований навоза, помёта, навозных стоков и органических удобрений на их основе</w:t>
      </w:r>
    </w:p>
    <w:tbl>
      <w:tblPr>
        <w:tblW w:w="5000" w:type="pct"/>
        <w:tblBorders>
          <w:top w:val="single" w:sz="4"/>
          <w:left w:val="single" w:sz="4"/>
          <w:bottom w:val="single" w:sz="4"/>
          <w:right w:val="single" w:sz="4"/>
          <w:insideH w:val="single" w:sz="4"/>
          <w:insideV w:val="single" w:sz="4"/>
        </w:tblBorders>
        <w:tblLayout w:type="fixed"/>
        <w:tblCellMar>
          <w:left w:w="57" w:type="dxa"/>
          <w:right w:w="57" w:type="dxa"/>
        </w:tblCellMar>
      </w:tblPr>
      <w:tblGrid>
        <w:gridCol w:w="1289"/>
        <w:gridCol w:w="1289"/>
        <w:gridCol w:w="1289"/>
        <w:gridCol w:w="1289"/>
        <w:gridCol w:w="1289"/>
        <w:gridCol w:w="1289"/>
        <w:gridCol w:w="1289"/>
      </w:tblGrid>
      <w:tr>
        <w:tc>
          <w:tcPr>
            <w:tcW w:w="0" w:type="auto"/>
          </w:tcPr>
          <w:p>
            <w:pPr>
              <w:pStyle w:val="TablCenter"/>
              <w:rPr>
                <w:b/>
              </w:rPr>
            </w:pPr>
            <w:r>
              <w:rPr>
                <w:rFonts w:ascii="Times New Roman" w:hAnsi="Times New Roman"/>
                <w:b/>
                <w:sz w:val="28"/>
                <w:szCs w:val="28"/>
              </w:rPr>
              <w:t xml:space="preserve">Объект / матрица</w:t>
            </w:r>
          </w:p>
        </w:tc>
        <w:tc>
          <w:tcPr>
            <w:tcW w:w="0" w:type="auto"/>
          </w:tcPr>
          <w:p>
            <w:pPr>
              <w:pStyle w:val="TablCenter"/>
              <w:rPr>
                <w:b/>
              </w:rPr>
            </w:pPr>
            <w:r>
              <w:rPr>
                <w:rFonts w:ascii="Times New Roman" w:hAnsi="Times New Roman"/>
                <w:b/>
                <w:sz w:val="28"/>
                <w:szCs w:val="28"/>
              </w:rPr>
              <w:t xml:space="preserve">Определяемые показатели</w:t>
            </w:r>
          </w:p>
        </w:tc>
        <w:tc>
          <w:tcPr>
            <w:tcW w:w="0" w:type="auto"/>
          </w:tcPr>
          <w:p>
            <w:pPr>
              <w:pStyle w:val="TablCenter"/>
              <w:rPr>
                <w:b/>
              </w:rPr>
            </w:pPr>
            <w:r>
              <w:rPr>
                <w:rFonts w:ascii="Times New Roman" w:hAnsi="Times New Roman"/>
                <w:b/>
                <w:sz w:val="28"/>
                <w:szCs w:val="28"/>
              </w:rPr>
              <w:t xml:space="preserve">Критерий (норматив)</w:t>
            </w:r>
          </w:p>
        </w:tc>
        <w:tc>
          <w:tcPr>
            <w:tcW w:w="0" w:type="auto"/>
          </w:tcPr>
          <w:p>
            <w:pPr>
              <w:pStyle w:val="TablCenter"/>
              <w:rPr>
                <w:b/>
              </w:rPr>
            </w:pPr>
            <w:r>
              <w:rPr>
                <w:rFonts w:ascii="Times New Roman" w:hAnsi="Times New Roman"/>
                <w:b/>
                <w:sz w:val="28"/>
                <w:szCs w:val="28"/>
              </w:rPr>
              <w:t xml:space="preserve">Действующий источник</w:t>
            </w:r>
          </w:p>
        </w:tc>
        <w:tc>
          <w:tcPr>
            <w:tcW w:w="0" w:type="auto"/>
          </w:tcPr>
          <w:p>
            <w:pPr>
              <w:pStyle w:val="TablCenter"/>
              <w:rPr>
                <w:b/>
              </w:rPr>
            </w:pPr>
            <w:r>
              <w:rPr>
                <w:rFonts w:ascii="Times New Roman" w:hAnsi="Times New Roman"/>
                <w:b/>
                <w:sz w:val="28"/>
                <w:szCs w:val="28"/>
              </w:rPr>
              <w:t xml:space="preserve">Масса/объём пробы и число проб</w:t>
            </w:r>
          </w:p>
        </w:tc>
        <w:tc>
          <w:tcPr>
            <w:tcW w:w="0" w:type="auto"/>
          </w:tcPr>
          <w:p>
            <w:pPr>
              <w:pStyle w:val="TablCenter"/>
              <w:rPr>
                <w:b/>
              </w:rPr>
            </w:pPr>
            <w:r>
              <w:rPr>
                <w:rFonts w:ascii="Times New Roman" w:hAnsi="Times New Roman"/>
                <w:b/>
                <w:sz w:val="28"/>
                <w:szCs w:val="28"/>
              </w:rPr>
              <w:t xml:space="preserve">Кратность</w:t>
            </w:r>
          </w:p>
        </w:tc>
        <w:tc>
          <w:tcPr>
            <w:tcW w:w="0" w:type="auto"/>
          </w:tcPr>
          <w:p>
            <w:pPr>
              <w:pStyle w:val="TablCenter"/>
              <w:rPr>
                <w:b/>
              </w:rPr>
            </w:pPr>
            <w:r>
              <w:rPr>
                <w:rFonts w:ascii="Times New Roman" w:hAnsi="Times New Roman"/>
                <w:b/>
                <w:sz w:val="28"/>
                <w:szCs w:val="28"/>
              </w:rPr>
              <w:t xml:space="preserve">Статус норматива</w:t>
            </w:r>
          </w:p>
        </w:tc>
      </w:tr>
      <w:tr>
        <w:tc>
          <w:tcPr>
            <w:tcW w:w="0" w:type="auto"/>
          </w:tcPr>
          <w:p>
            <w:pPr>
              <w:pStyle w:val="TablCenter"/>
            </w:pPr>
            <w:r>
              <w:rPr>
                <w:rFonts w:ascii="Times New Roman" w:hAnsi="Times New Roman"/>
                <w:sz w:val="28"/>
                <w:szCs w:val="28"/>
              </w:rPr>
              <w:t xml:space="preserve">Навоз жидкий (бесподстилочный), навозные стоки, жидкая фракция после сепарации</w:t>
            </w:r>
          </w:p>
        </w:tc>
        <w:tc>
          <w:tcPr>
            <w:tcW w:w="0" w:type="auto"/>
          </w:tcPr>
          <w:p>
            <w:pPr>
              <w:pStyle w:val="TablCenter"/>
            </w:pPr>
            <w:r>
              <w:rPr>
                <w:rFonts w:ascii="Times New Roman" w:hAnsi="Times New Roman"/>
                <w:sz w:val="28"/>
                <w:szCs w:val="28"/>
              </w:rPr>
              <w:t xml:space="preserve">1 — жизнеспособные яйца гельминтов; 2 — цисты патогенных кишечных простейших; 3 — ооцисты криптоспоридий</w:t>
            </w:r>
          </w:p>
        </w:tc>
        <w:tc>
          <w:tcPr>
            <w:tcW w:w="0" w:type="auto"/>
          </w:tcPr>
          <w:p>
            <w:pPr>
              <w:pStyle w:val="TablCenter"/>
            </w:pPr>
            <w:r>
              <w:rPr>
                <w:rFonts w:ascii="Times New Roman" w:hAnsi="Times New Roman"/>
                <w:sz w:val="28"/>
                <w:szCs w:val="28"/>
              </w:rPr>
              <w:t xml:space="preserve">Не допускается наличие жизнеспособных яиц гельминтов, цист и ооцист (результат «не обнаружено»)</w:t>
            </w:r>
          </w:p>
        </w:tc>
        <w:tc>
          <w:tcPr>
            <w:tcW w:w="0" w:type="auto"/>
          </w:tcPr>
          <w:p>
            <w:pPr>
              <w:pStyle w:val="TablCenter"/>
            </w:pPr>
            <w:r>
              <w:rPr>
                <w:rFonts w:ascii="Times New Roman" w:hAnsi="Times New Roman"/>
                <w:sz w:val="28"/>
                <w:szCs w:val="28"/>
              </w:rPr>
              <w:t xml:space="preserve">СанПиН 2.1.3684-21, п. 269 (обеззараживание навоза и помёта до отсутствия возбудителей инфекционных и паразитарных болезней; подтверждено по официальному тексту — разд. XI, пп. 267–269); СанПиН 3.3686-21, пп. 3382, 3385; ГОСТ Р 57782-2017, §3.3 (класс «загрязнённые» — любое количество жизнеспособных ооцист и цист)</w:t>
            </w:r>
          </w:p>
        </w:tc>
        <w:tc>
          <w:tcPr>
            <w:tcW w:w="0" w:type="auto"/>
          </w:tcPr>
          <w:p>
            <w:pPr>
              <w:pStyle w:val="TablCenter"/>
            </w:pPr>
            <w:r>
              <w:rPr>
                <w:rFonts w:ascii="Times New Roman" w:hAnsi="Times New Roman"/>
                <w:sz w:val="28"/>
                <w:szCs w:val="28"/>
              </w:rPr>
              <w:t xml:space="preserve">Объём: точечная проба не менее 1 дм³, число точечных проб не менее 8 (после перемешивания 30 мин; пробоотборник Черепанова либо ПВК-1); лабораторная проба 1 дм³ (по схеме фильтратов 1/2/3) либо не менее 1 дм³ в каждой герметичной ёмкости; 2 пробы. Ограниченный режим (при отсутствии пробоотборника и перемешивания): точечные 0,1–0,2 дм³ из 5–10 точек, объединённая 1,0 дм³ — с отметкой в протоколе</w:t>
            </w:r>
          </w:p>
        </w:tc>
        <w:tc>
          <w:tcPr>
            <w:tcW w:w="0" w:type="auto"/>
          </w:tcPr>
          <w:p>
            <w:pPr>
              <w:pStyle w:val="TablCenter"/>
            </w:pPr>
            <w:r>
              <w:rPr>
                <w:rFonts w:ascii="Times New Roman" w:hAnsi="Times New Roman"/>
                <w:sz w:val="28"/>
                <w:szCs w:val="28"/>
              </w:rPr>
              <w:t xml:space="preserve">2 раза в год; при контроле эффективности дезинвазии — 1 раз в месяц</w:t>
            </w:r>
          </w:p>
        </w:tc>
        <w:tc>
          <w:tcPr>
            <w:tcW w:w="0" w:type="auto"/>
          </w:tcPr>
          <w:p>
            <w:pPr>
              <w:pStyle w:val="TablCenter"/>
            </w:pPr>
            <w:r>
              <w:rPr>
                <w:rFonts w:ascii="Times New Roman" w:hAnsi="Times New Roman"/>
                <w:sz w:val="28"/>
                <w:szCs w:val="28"/>
              </w:rPr>
              <w:t xml:space="preserve">Действующий по объёму (ГОСТ Р 57782-2017 §6.3.1–6.3.3; ГОСТ Р 58487-2019 §8.1–8.3); рекомендуемый по кратности: позиция отсутствует в Прил. 36 к СанПиН 3.3686-21, кратность принята по образцу Приложения к СанПиН 3.2.3215-14 (утратило силу 01.09.2021) и МУК 4.2.2661-10 §8.1</w:t>
            </w:r>
          </w:p>
        </w:tc>
      </w:tr>
      <w:tr>
        <w:tc>
          <w:tcPr>
            <w:tcW w:w="0" w:type="auto"/>
          </w:tcPr>
          <w:p>
            <w:pPr>
              <w:pStyle w:val="TablCenter"/>
            </w:pPr>
            <w:r>
              <w:rPr>
                <w:rFonts w:ascii="Times New Roman" w:hAnsi="Times New Roman"/>
                <w:sz w:val="28"/>
                <w:szCs w:val="28"/>
              </w:rPr>
              <w:t xml:space="preserve">Навоз твёрдый (подстилочный), обезвоженный навоз, помёт птичий</w:t>
            </w:r>
          </w:p>
        </w:tc>
        <w:tc>
          <w:tcPr>
            <w:tcW w:w="0" w:type="auto"/>
          </w:tcPr>
          <w:p>
            <w:pPr>
              <w:pStyle w:val="TablCenter"/>
            </w:pPr>
            <w:r>
              <w:rPr>
                <w:rFonts w:ascii="Times New Roman" w:hAnsi="Times New Roman"/>
                <w:sz w:val="28"/>
                <w:szCs w:val="28"/>
              </w:rPr>
              <w:t xml:space="preserve">1, 2, 3 + 4 — личинки синантропных мух</w:t>
            </w:r>
          </w:p>
        </w:tc>
        <w:tc>
          <w:tcPr>
            <w:tcW w:w="0" w:type="auto"/>
          </w:tcPr>
          <w:p>
            <w:pPr>
              <w:pStyle w:val="TablCenter"/>
            </w:pPr>
            <w:r>
              <w:rPr>
                <w:rFonts w:ascii="Times New Roman" w:hAnsi="Times New Roman"/>
                <w:sz w:val="28"/>
                <w:szCs w:val="28"/>
              </w:rPr>
              <w:t xml:space="preserve">Не допускается наличие жизнеспособных яиц гельминтов, цист, ооцист и личинок синантропных мух</w:t>
            </w:r>
          </w:p>
        </w:tc>
        <w:tc>
          <w:tcPr>
            <w:tcW w:w="0" w:type="auto"/>
          </w:tcPr>
          <w:p>
            <w:pPr>
              <w:pStyle w:val="TablCenter"/>
            </w:pPr>
            <w:r>
              <w:rPr>
                <w:rFonts w:ascii="Times New Roman" w:hAnsi="Times New Roman"/>
                <w:sz w:val="28"/>
                <w:szCs w:val="28"/>
              </w:rPr>
              <w:t xml:space="preserve">то же + ГОСТ Р 54001-2010 (критерий «чистые»: отсутствие жизнеспособных яиц и личинок в 100 г твёрдой фракции и осадка лабораторной пробы массой не более 1 кг при трёхкратной повторности)</w:t>
            </w:r>
          </w:p>
        </w:tc>
        <w:tc>
          <w:tcPr>
            <w:tcW w:w="0" w:type="auto"/>
          </w:tcPr>
          <w:p>
            <w:pPr>
              <w:pStyle w:val="TablCenter"/>
            </w:pPr>
            <w:r>
              <w:rPr>
                <w:rFonts w:ascii="Times New Roman" w:hAnsi="Times New Roman"/>
                <w:sz w:val="28"/>
                <w:szCs w:val="28"/>
              </w:rPr>
              <w:t xml:space="preserve">Масса: точечная не менее 100 г из 5 точек каждого из трёх слоёв (глубина отбора из каждого слоя не менее 20 см; при производственном контроле обезвоженного навоза и осадков — не менее 200 г); объединённая ≥1 кг; лабораторная: не менее 2 кг (комплексный анализ) / не более 1 кг (только паразитологический анализ); анализируемая навеска 50–100 г (яйца гельминтов), 3 г (цисты и ооцисты), 1 г (количественный учёт); для обезвоженного навоза и осадков анализируемая масса 0,2 кг; 2 пробы</w:t>
            </w:r>
          </w:p>
        </w:tc>
        <w:tc>
          <w:tcPr>
            <w:tcW w:w="0" w:type="auto"/>
          </w:tcPr>
          <w:p>
            <w:pPr>
              <w:pStyle w:val="TablCenter"/>
            </w:pPr>
            <w:r>
              <w:rPr>
                <w:rFonts w:ascii="Times New Roman" w:hAnsi="Times New Roman"/>
                <w:sz w:val="28"/>
                <w:szCs w:val="28"/>
              </w:rPr>
              <w:t xml:space="preserve">2 раза в год; при контроле дезинвазии — 1 раз в месяц</w:t>
            </w:r>
          </w:p>
        </w:tc>
        <w:tc>
          <w:tcPr>
            <w:tcW w:w="0" w:type="auto"/>
          </w:tcPr>
          <w:p>
            <w:pPr>
              <w:pStyle w:val="TablCenter"/>
            </w:pPr>
            <w:r>
              <w:rPr>
                <w:rFonts w:ascii="Times New Roman" w:hAnsi="Times New Roman"/>
                <w:sz w:val="28"/>
                <w:szCs w:val="28"/>
              </w:rPr>
              <w:t xml:space="preserve">Действующий по массе (ГОСТ Р 58487-2019 §7.1.1–7.1.2, §7.1.6; ГОСТ Р 57782-2017 §6.2.1–6.2.2, §6.2.6); рекомендуемый по кратности (как выше); критерий «чистые/загрязнённые» — действующий (стандарты)</w:t>
            </w:r>
          </w:p>
        </w:tc>
      </w:tr>
      <w:tr>
        <w:tc>
          <w:tcPr>
            <w:tcW w:w="0" w:type="auto"/>
          </w:tcPr>
          <w:p>
            <w:pPr>
              <w:pStyle w:val="TablCenter"/>
            </w:pPr>
            <w:r>
              <w:rPr>
                <w:rFonts w:ascii="Times New Roman" w:hAnsi="Times New Roman"/>
                <w:sz w:val="28"/>
                <w:szCs w:val="28"/>
              </w:rPr>
              <w:t xml:space="preserve">Компосты, биоперегной, биогумус на основе навоза, помёта и осадков сточных вод</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«Удобрения чистые» — не содержат жизнеспособных ооцист и цист простейших в 100 г твёрдой фракции и осадка лабораторной пробы (≤1 кг) или в 1–10 дм³ жидкой при трёхкратной повторности; при обнаружении любого количества жизнеспособных — «загрязнённые»</w:t>
            </w:r>
          </w:p>
        </w:tc>
        <w:tc>
          <w:tcPr>
            <w:tcW w:w="0" w:type="auto"/>
          </w:tcPr>
          <w:p>
            <w:pPr>
              <w:pStyle w:val="TablCenter"/>
            </w:pPr>
            <w:r>
              <w:rPr>
                <w:rFonts w:ascii="Times New Roman" w:hAnsi="Times New Roman"/>
                <w:sz w:val="28"/>
                <w:szCs w:val="28"/>
              </w:rPr>
              <w:t xml:space="preserve">ГОСТ Р 57782-2017, §3.3; ГОСТ Р 54001-2010; СанПиН 3.3686-21, п. 3385</w:t>
            </w:r>
          </w:p>
        </w:tc>
        <w:tc>
          <w:tcPr>
            <w:tcW w:w="0" w:type="auto"/>
          </w:tcPr>
          <w:p>
            <w:pPr>
              <w:pStyle w:val="TablCenter"/>
            </w:pPr>
            <w:r>
              <w:rPr>
                <w:rFonts w:ascii="Times New Roman" w:hAnsi="Times New Roman"/>
                <w:sz w:val="28"/>
                <w:szCs w:val="28"/>
              </w:rPr>
              <w:t xml:space="preserve">Анализируемая навеска 50–100 г (по ГОСТ Р 57782-2017 §8.3.1) или 100–200 г (по МУК 4.2.2661-10 §8.2); 3 г — для цист и ооцист (§8.2.1–8.2.2); 1 г — для количественного учёта (§9.1–9.2); отбор — по позиции «Навоз твёрдый» (лабораторная проба не менее 2 кг либо не более 1 кг для паразитологического анализа)</w:t>
            </w:r>
          </w:p>
        </w:tc>
        <w:tc>
          <w:tcPr>
            <w:tcW w:w="0" w:type="auto"/>
          </w:tcPr>
          <w:p>
            <w:pPr>
              <w:pStyle w:val="TablCenter"/>
            </w:pPr>
            <w:r>
              <w:rPr>
                <w:rFonts w:ascii="Times New Roman" w:hAnsi="Times New Roman"/>
                <w:sz w:val="28"/>
                <w:szCs w:val="28"/>
              </w:rPr>
              <w:t xml:space="preserve">После завершения цикла компостирования и перед применением/реализацией; при производственном контроле — не реже 1 раза в квартал</w:t>
            </w:r>
          </w:p>
        </w:tc>
        <w:tc>
          <w:tcPr>
            <w:tcW w:w="0" w:type="auto"/>
          </w:tcPr>
          <w:p>
            <w:pPr>
              <w:pStyle w:val="TablCenter"/>
            </w:pPr>
            <w:r>
              <w:rPr>
                <w:rFonts w:ascii="Times New Roman" w:hAnsi="Times New Roman"/>
                <w:sz w:val="28"/>
                <w:szCs w:val="28"/>
              </w:rPr>
              <w:t xml:space="preserve">Действующий по критерию (стандарты); рекомендуемый по кратности</w:t>
            </w:r>
          </w:p>
        </w:tc>
      </w:tr>
      <w:tr>
        <w:tc>
          <w:tcPr>
            <w:tcW w:w="0" w:type="auto"/>
          </w:tcPr>
          <w:p>
            <w:pPr>
              <w:pStyle w:val="TablCenter"/>
            </w:pPr>
            <w:r>
              <w:rPr>
                <w:rFonts w:ascii="Times New Roman" w:hAnsi="Times New Roman"/>
                <w:sz w:val="28"/>
                <w:szCs w:val="28"/>
              </w:rPr>
              <w:t xml:space="preserve">Сточные воды животноводческих (птицеводческих) комплексов и ферм до очистки</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Не допускается наличие жизнеспособных яиц гельминтов и цист (ооцист) в сточных водах, используемых для орошения и удобрения</w:t>
            </w:r>
          </w:p>
        </w:tc>
        <w:tc>
          <w:tcPr>
            <w:tcW w:w="0" w:type="auto"/>
          </w:tcPr>
          <w:p>
            <w:pPr>
              <w:pStyle w:val="TablCenter"/>
            </w:pPr>
            <w:r>
              <w:rPr>
                <w:rFonts w:ascii="Times New Roman" w:hAnsi="Times New Roman"/>
                <w:sz w:val="28"/>
                <w:szCs w:val="28"/>
              </w:rPr>
              <w:t xml:space="preserve">СанПиН 3.3686-21, пп. 3384, 3385; п. 3.2.6 проекта (отбор «до очистки» для расчёта эффективности дегельминтизации и дезинвазии)</w:t>
            </w:r>
          </w:p>
        </w:tc>
        <w:tc>
          <w:tcPr>
            <w:tcW w:w="0" w:type="auto"/>
          </w:tcPr>
          <w:p>
            <w:pPr>
              <w:pStyle w:val="TablCenter"/>
            </w:pPr>
            <w:r>
              <w:rPr>
                <w:rFonts w:ascii="Times New Roman" w:hAnsi="Times New Roman"/>
                <w:sz w:val="28"/>
                <w:szCs w:val="28"/>
              </w:rPr>
              <w:t xml:space="preserve">Объём 10 дм³ (по п. 3.2.7 проекта для сточных вод до очистки) либо 1,0 дм³ при прямом микроскопировании осадка</w:t>
            </w:r>
          </w:p>
        </w:tc>
        <w:tc>
          <w:tcPr>
            <w:tcW w:w="0" w:type="auto"/>
          </w:tcPr>
          <w:p>
            <w:pPr>
              <w:pStyle w:val="TablCenter"/>
            </w:pPr>
            <w:r>
              <w:rPr>
                <w:rFonts w:ascii="Times New Roman" w:hAnsi="Times New Roman"/>
                <w:sz w:val="28"/>
                <w:szCs w:val="28"/>
              </w:rPr>
              <w:t xml:space="preserve">1–2 раза в год (МУК 4.2.796-99, табл. 1, поз. 9 — «животноводческие стоки на входе и выходе из очистных сооружений», 1 раз в год, 2–3 пробы)</w:t>
            </w:r>
          </w:p>
        </w:tc>
        <w:tc>
          <w:tcPr>
            <w:tcW w:w="0" w:type="auto"/>
          </w:tcPr>
          <w:p>
            <w:pPr>
              <w:pStyle w:val="TablCenter"/>
            </w:pPr>
            <w:r>
              <w:rPr>
                <w:rFonts w:ascii="Times New Roman" w:hAnsi="Times New Roman"/>
                <w:sz w:val="28"/>
                <w:szCs w:val="28"/>
              </w:rPr>
              <w:t xml:space="preserve">Действующий по обязательности контроля (п. 3384); рекомендуемый по объёму и кратности</w:t>
            </w:r>
          </w:p>
        </w:tc>
      </w:tr>
      <w:tr>
        <w:tc>
          <w:tcPr>
            <w:tcW w:w="0" w:type="auto"/>
          </w:tcPr>
          <w:p>
            <w:pPr>
              <w:pStyle w:val="TablCenter"/>
            </w:pPr>
            <w:r>
              <w:rPr>
                <w:rFonts w:ascii="Times New Roman" w:hAnsi="Times New Roman"/>
                <w:sz w:val="28"/>
                <w:szCs w:val="28"/>
              </w:rPr>
              <w:t xml:space="preserve">Сточные воды животноводческих комплексов после очистки</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то же</w:t>
            </w:r>
          </w:p>
        </w:tc>
        <w:tc>
          <w:tcPr>
            <w:tcW w:w="0" w:type="auto"/>
          </w:tcPr>
          <w:p>
            <w:pPr>
              <w:pStyle w:val="TablCenter"/>
            </w:pPr>
            <w:r>
              <w:rPr>
                <w:rFonts w:ascii="Times New Roman" w:hAnsi="Times New Roman"/>
                <w:sz w:val="28"/>
                <w:szCs w:val="28"/>
              </w:rPr>
              <w:t xml:space="preserve">то же</w:t>
            </w:r>
          </w:p>
        </w:tc>
        <w:tc>
          <w:tcPr>
            <w:tcW w:w="0" w:type="auto"/>
          </w:tcPr>
          <w:p>
            <w:pPr>
              <w:pStyle w:val="TablCenter"/>
            </w:pPr>
            <w:r>
              <w:rPr>
                <w:rFonts w:ascii="Times New Roman" w:hAnsi="Times New Roman"/>
                <w:sz w:val="28"/>
                <w:szCs w:val="28"/>
              </w:rPr>
              <w:t xml:space="preserve">Объём 25 дм³ (по п. 3.2.7 проекта для сточных вод после очистки)</w:t>
            </w:r>
          </w:p>
        </w:tc>
        <w:tc>
          <w:tcPr>
            <w:tcW w:w="0" w:type="auto"/>
          </w:tcPr>
          <w:p>
            <w:pPr>
              <w:pStyle w:val="TablCenter"/>
            </w:pPr>
            <w:r>
              <w:rPr>
                <w:rFonts w:ascii="Times New Roman" w:hAnsi="Times New Roman"/>
                <w:sz w:val="28"/>
                <w:szCs w:val="28"/>
              </w:rPr>
              <w:t xml:space="preserve">1–2 раза в год</w:t>
            </w:r>
          </w:p>
        </w:tc>
        <w:tc>
          <w:tcPr>
            <w:tcW w:w="0" w:type="auto"/>
          </w:tcPr>
          <w:p>
            <w:pPr>
              <w:pStyle w:val="TablCenter"/>
            </w:pPr>
            <w:r>
              <w:rPr>
                <w:rFonts w:ascii="Times New Roman" w:hAnsi="Times New Roman"/>
                <w:sz w:val="28"/>
                <w:szCs w:val="28"/>
              </w:rPr>
              <w:t xml:space="preserve">как выше</w:t>
            </w:r>
          </w:p>
        </w:tc>
      </w:tr>
      <w:tr>
        <w:tc>
          <w:tcPr>
            <w:tcW w:w="0" w:type="auto"/>
          </w:tcPr>
          <w:p>
            <w:pPr>
              <w:pStyle w:val="TablCenter"/>
            </w:pPr>
            <w:r>
              <w:rPr>
                <w:rFonts w:ascii="Times New Roman" w:hAnsi="Times New Roman"/>
                <w:sz w:val="28"/>
                <w:szCs w:val="28"/>
              </w:rPr>
              <w:t xml:space="preserve">Осадки сточных вод животноводческих комплексов, осадки навозохранилищ</w:t>
            </w:r>
          </w:p>
        </w:tc>
        <w:tc>
          <w:tcPr>
            <w:tcW w:w="0" w:type="auto"/>
          </w:tcPr>
          <w:p>
            <w:pPr>
              <w:pStyle w:val="TablCenter"/>
            </w:pPr>
            <w:r>
              <w:rPr>
                <w:rFonts w:ascii="Times New Roman" w:hAnsi="Times New Roman"/>
                <w:sz w:val="28"/>
                <w:szCs w:val="28"/>
              </w:rPr>
              <w:t xml:space="preserve">1, 2, 3, 4</w:t>
            </w:r>
          </w:p>
        </w:tc>
        <w:tc>
          <w:tcPr>
            <w:tcW w:w="0" w:type="auto"/>
          </w:tcPr>
          <w:p>
            <w:pPr>
              <w:pStyle w:val="TablCenter"/>
            </w:pPr>
            <w:r>
              <w:rPr>
                <w:rFonts w:ascii="Times New Roman" w:hAnsi="Times New Roman"/>
                <w:sz w:val="28"/>
                <w:szCs w:val="28"/>
              </w:rPr>
              <w:t xml:space="preserve">Не допускается наличие жизнеспособных форм перед передачей на использование в качестве удобрений</w:t>
            </w:r>
          </w:p>
        </w:tc>
        <w:tc>
          <w:tcPr>
            <w:tcW w:w="0" w:type="auto"/>
          </w:tcPr>
          <w:p>
            <w:pPr>
              <w:pStyle w:val="TablCenter"/>
            </w:pPr>
            <w:r>
              <w:rPr>
                <w:rFonts w:ascii="Times New Roman" w:hAnsi="Times New Roman"/>
                <w:sz w:val="28"/>
                <w:szCs w:val="28"/>
              </w:rPr>
              <w:t xml:space="preserve">СанПиН 3.3686-21, пп. 3384, 3385; Прил. 36 (позиции по осадкам сточных вод — есть)</w:t>
            </w:r>
          </w:p>
        </w:tc>
        <w:tc>
          <w:tcPr>
            <w:tcW w:w="0" w:type="auto"/>
          </w:tcPr>
          <w:p>
            <w:pPr>
              <w:pStyle w:val="TablCenter"/>
            </w:pPr>
            <w:r>
              <w:rPr>
                <w:rFonts w:ascii="Times New Roman" w:hAnsi="Times New Roman"/>
                <w:sz w:val="28"/>
                <w:szCs w:val="28"/>
              </w:rPr>
              <w:t xml:space="preserve">0,2 кг (по п. 3.1.7 проекта для обезвоженных осадков)</w:t>
            </w:r>
          </w:p>
        </w:tc>
        <w:tc>
          <w:tcPr>
            <w:tcW w:w="0" w:type="auto"/>
          </w:tcPr>
          <w:p>
            <w:pPr>
              <w:pStyle w:val="TablCenter"/>
            </w:pPr>
            <w:r>
              <w:rPr>
                <w:rFonts w:ascii="Times New Roman" w:hAnsi="Times New Roman"/>
                <w:sz w:val="28"/>
                <w:szCs w:val="28"/>
              </w:rPr>
              <w:t xml:space="preserve">2 раза в год; после обеззараживания — дополнительно</w:t>
            </w:r>
          </w:p>
        </w:tc>
        <w:tc>
          <w:tcPr>
            <w:tcW w:w="0" w:type="auto"/>
          </w:tcPr>
          <w:p>
            <w:pPr>
              <w:pStyle w:val="TablCenter"/>
            </w:pPr>
            <w:r>
              <w:rPr>
                <w:rFonts w:ascii="Times New Roman" w:hAnsi="Times New Roman"/>
                <w:sz w:val="28"/>
                <w:szCs w:val="28"/>
              </w:rPr>
              <w:t xml:space="preserve">Действующий (Прил. 36) для осадков сточных вод; рекомендуемый для осадков навозохранилищ</w:t>
            </w:r>
          </w:p>
        </w:tc>
      </w:tr>
      <w:tr>
        <w:tc>
          <w:tcPr>
            <w:tcW w:w="0" w:type="auto"/>
          </w:tcPr>
          <w:p>
            <w:pPr>
              <w:pStyle w:val="TablCenter"/>
            </w:pPr>
            <w:r>
              <w:rPr>
                <w:rFonts w:ascii="Times New Roman" w:hAnsi="Times New Roman"/>
                <w:sz w:val="28"/>
                <w:szCs w:val="28"/>
              </w:rPr>
              <w:t xml:space="preserve">Почвы территорий, удобряемых навозом, помётом, осадками и компостами; поля орошения; пастбища; территории ферм; тепличные грунты</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Не допускается наличие жизнеспособных яиц гельминтов и цист патогенных простейших; градация по категориям загрязнения (чистая, слабая, умеренная, высокая)</w:t>
            </w:r>
          </w:p>
        </w:tc>
        <w:tc>
          <w:tcPr>
            <w:tcW w:w="0" w:type="auto"/>
          </w:tcPr>
          <w:p>
            <w:pPr>
              <w:pStyle w:val="TablCenter"/>
            </w:pPr>
            <w:r>
              <w:rPr>
                <w:rFonts w:ascii="Times New Roman" w:hAnsi="Times New Roman"/>
                <w:sz w:val="28"/>
                <w:szCs w:val="28"/>
              </w:rPr>
              <w:t xml:space="preserve">МУ 2.1.7.730-99 (гигиеническая оценка качества почвы населённых мест, степень биологического загрязнения); СанПиН 3.3686-21, п. 3385; Прил. 36 (позиции по почве — есть)</w:t>
            </w:r>
          </w:p>
        </w:tc>
        <w:tc>
          <w:tcPr>
            <w:tcW w:w="0" w:type="auto"/>
          </w:tcPr>
          <w:p>
            <w:pPr>
              <w:pStyle w:val="TablCenter"/>
            </w:pPr>
            <w:r>
              <w:rPr>
                <w:rFonts w:ascii="Times New Roman" w:hAnsi="Times New Roman"/>
                <w:sz w:val="28"/>
                <w:szCs w:val="28"/>
              </w:rPr>
              <w:t xml:space="preserve">≥200 г (п. 3.1.2 проекта — яйца гельминтов); 25 г (п. 4.9.11 — ооцисты и цисты простейших по ГОСТ Р 57782-2017 §12); 2–3 пробы на площадку</w:t>
            </w:r>
          </w:p>
        </w:tc>
        <w:tc>
          <w:tcPr>
            <w:tcW w:w="0" w:type="auto"/>
          </w:tcPr>
          <w:p>
            <w:pPr>
              <w:pStyle w:val="TablCenter"/>
            </w:pPr>
            <w:r>
              <w:rPr>
                <w:rFonts w:ascii="Times New Roman" w:hAnsi="Times New Roman"/>
                <w:sz w:val="28"/>
                <w:szCs w:val="28"/>
              </w:rPr>
              <w:t xml:space="preserve">До и после внесения органических удобрений, далее 1–2 раза в год (МУК 4.2.796-99, табл. 1, поз. 6, 7)</w:t>
            </w:r>
          </w:p>
        </w:tc>
        <w:tc>
          <w:tcPr>
            <w:tcW w:w="0" w:type="auto"/>
          </w:tcPr>
          <w:p>
            <w:pPr>
              <w:pStyle w:val="TablCenter"/>
            </w:pPr>
            <w:r>
              <w:rPr>
                <w:rFonts w:ascii="Times New Roman" w:hAnsi="Times New Roman"/>
                <w:sz w:val="28"/>
                <w:szCs w:val="28"/>
              </w:rPr>
              <w:t xml:space="preserve">Действующий по Прил. 36 для почв; рекомендуемый по привязке к факту удобрения</w:t>
            </w:r>
          </w:p>
        </w:tc>
      </w:tr>
      <w:tr>
        <w:tc>
          <w:tcPr>
            <w:tcW w:w="0" w:type="auto"/>
          </w:tcPr>
          <w:p>
            <w:pPr>
              <w:pStyle w:val="TablCenter"/>
            </w:pPr>
            <w:r>
              <w:rPr>
                <w:rFonts w:ascii="Times New Roman" w:hAnsi="Times New Roman"/>
                <w:sz w:val="28"/>
                <w:szCs w:val="28"/>
              </w:rPr>
              <w:t xml:space="preserve">Смывы с оборудования, инвентаря, транспорта, спецодежды и рук персонала животноводческих объектов</w:t>
            </w:r>
          </w:p>
        </w:tc>
        <w:tc>
          <w:tcPr>
            <w:tcW w:w="0" w:type="auto"/>
          </w:tcPr>
          <w:p>
            <w:pPr>
              <w:pStyle w:val="TablCenter"/>
            </w:pPr>
            <w:r>
              <w:rPr>
                <w:rFonts w:ascii="Times New Roman" w:hAnsi="Times New Roman"/>
                <w:sz w:val="28"/>
                <w:szCs w:val="28"/>
              </w:rPr>
              <w:t xml:space="preserve">1, 2</w:t>
            </w:r>
          </w:p>
        </w:tc>
        <w:tc>
          <w:tcPr>
            <w:tcW w:w="0" w:type="auto"/>
          </w:tcPr>
          <w:p>
            <w:pPr>
              <w:pStyle w:val="TablCenter"/>
            </w:pPr>
            <w:r>
              <w:rPr>
                <w:rFonts w:ascii="Times New Roman" w:hAnsi="Times New Roman"/>
                <w:sz w:val="28"/>
                <w:szCs w:val="28"/>
              </w:rPr>
              <w:t xml:space="preserve">Не допускается наличие</w:t>
            </w:r>
          </w:p>
        </w:tc>
        <w:tc>
          <w:tcPr>
            <w:tcW w:w="0" w:type="auto"/>
          </w:tcPr>
          <w:p>
            <w:pPr>
              <w:pStyle w:val="TablCenter"/>
            </w:pPr>
            <w:r>
              <w:rPr>
                <w:rFonts w:ascii="Times New Roman" w:hAnsi="Times New Roman"/>
                <w:sz w:val="28"/>
                <w:szCs w:val="28"/>
              </w:rPr>
              <w:t xml:space="preserve">МУК 4.2.796-99, табл. 1, поз. 9 (смывы — 1 раз в год, 20–30 проб); Прил. 36 (смывы)</w:t>
            </w:r>
          </w:p>
        </w:tc>
        <w:tc>
          <w:tcPr>
            <w:tcW w:w="0" w:type="auto"/>
          </w:tcPr>
          <w:p>
            <w:pPr>
              <w:pStyle w:val="TablCenter"/>
            </w:pPr>
            <w:r>
              <w:rPr>
                <w:rFonts w:ascii="Times New Roman" w:hAnsi="Times New Roman"/>
                <w:sz w:val="28"/>
                <w:szCs w:val="28"/>
              </w:rPr>
              <w:t xml:space="preserve">20–30 проб на объект</w:t>
            </w:r>
          </w:p>
        </w:tc>
        <w:tc>
          <w:tcPr>
            <w:tcW w:w="0" w:type="auto"/>
          </w:tcPr>
          <w:p>
            <w:pPr>
              <w:pStyle w:val="TablCenter"/>
            </w:pPr>
            <w:r>
              <w:rPr>
                <w:rFonts w:ascii="Times New Roman" w:hAnsi="Times New Roman"/>
                <w:sz w:val="28"/>
                <w:szCs w:val="28"/>
              </w:rPr>
              <w:t xml:space="preserve">1 раз в год</w:t>
            </w:r>
          </w:p>
        </w:tc>
        <w:tc>
          <w:tcPr>
            <w:tcW w:w="0" w:type="auto"/>
          </w:tcPr>
          <w:p>
            <w:pPr>
              <w:pStyle w:val="TablCenter"/>
            </w:pPr>
            <w:r>
              <w:rPr>
                <w:rFonts w:ascii="Times New Roman" w:hAnsi="Times New Roman"/>
                <w:sz w:val="28"/>
                <w:szCs w:val="28"/>
              </w:rPr>
              <w:t xml:space="preserve">Действующий (Прил. 36) / рекомендуемый по числу проб</w:t>
            </w:r>
          </w:p>
        </w:tc>
      </w:tr>
      <w:tr>
        <w:tc>
          <w:tcPr>
            <w:tcW w:w="0" w:type="auto"/>
          </w:tcPr>
          <w:p>
            <w:pPr>
              <w:pStyle w:val="TablCenter"/>
            </w:pPr>
            <w:r>
              <w:rPr>
                <w:rFonts w:ascii="Times New Roman" w:hAnsi="Times New Roman"/>
                <w:sz w:val="28"/>
                <w:szCs w:val="28"/>
              </w:rPr>
              <w:t xml:space="preserve">Контроль эффективности дезинвазии навоза и стоков (производственный)</w:t>
            </w:r>
          </w:p>
        </w:tc>
        <w:tc>
          <w:tcPr>
            <w:tcW w:w="0" w:type="auto"/>
          </w:tcPr>
          <w:p>
            <w:pPr>
              <w:pStyle w:val="TablCenter"/>
            </w:pPr>
            <w:r>
              <w:rPr>
                <w:rFonts w:ascii="Times New Roman" w:hAnsi="Times New Roman"/>
                <w:sz w:val="28"/>
                <w:szCs w:val="28"/>
              </w:rPr>
              <w:t xml:space="preserve">1, 2, 3</w:t>
            </w:r>
          </w:p>
        </w:tc>
        <w:tc>
          <w:tcPr>
            <w:tcW w:w="0" w:type="auto"/>
          </w:tcPr>
          <w:p>
            <w:pPr>
              <w:pStyle w:val="TablCenter"/>
            </w:pPr>
            <w:r>
              <w:rPr>
                <w:rFonts w:ascii="Times New Roman" w:hAnsi="Times New Roman"/>
                <w:sz w:val="28"/>
                <w:szCs w:val="28"/>
              </w:rPr>
              <w:t xml:space="preserve">Отсутствие жизнеспособных форм во всех пробах серии; при обнаружении — режим обеззараживания признают неэффективным</w:t>
            </w:r>
          </w:p>
        </w:tc>
        <w:tc>
          <w:tcPr>
            <w:tcW w:w="0" w:type="auto"/>
          </w:tcPr>
          <w:p>
            <w:pPr>
              <w:pStyle w:val="TablCenter"/>
            </w:pPr>
            <w:r>
              <w:rPr>
                <w:rFonts w:ascii="Times New Roman" w:hAnsi="Times New Roman"/>
                <w:sz w:val="28"/>
                <w:szCs w:val="28"/>
              </w:rPr>
              <w:t xml:space="preserve">СанПиН 3.3686-21, п. 3382 (контроль эффективности дезинвазии по Прил. 36); СанПиН 2.1.3684-21, п. 269</w:t>
            </w:r>
          </w:p>
        </w:tc>
        <w:tc>
          <w:tcPr>
            <w:tcW w:w="0" w:type="auto"/>
          </w:tcPr>
          <w:p>
            <w:pPr>
              <w:pStyle w:val="TablCenter"/>
            </w:pPr>
            <w:r>
              <w:rPr>
                <w:rFonts w:ascii="Times New Roman" w:hAnsi="Times New Roman"/>
                <w:sz w:val="28"/>
                <w:szCs w:val="28"/>
              </w:rPr>
              <w:t xml:space="preserve">Не менее 3 проб (по числу зон накопителя/бурта: верх, середина, основание)</w:t>
            </w:r>
          </w:p>
        </w:tc>
        <w:tc>
          <w:tcPr>
            <w:tcW w:w="0" w:type="auto"/>
          </w:tcPr>
          <w:p>
            <w:pPr>
              <w:pStyle w:val="TablCenter"/>
            </w:pPr>
            <w:r>
              <w:rPr>
                <w:rFonts w:ascii="Times New Roman" w:hAnsi="Times New Roman"/>
                <w:sz w:val="28"/>
                <w:szCs w:val="28"/>
              </w:rPr>
              <w:t xml:space="preserve">1 раз в месяц в период активной дезинвазии; по завершении цикла — заключительный контроль</w:t>
            </w:r>
          </w:p>
        </w:tc>
        <w:tc>
          <w:tcPr>
            <w:tcW w:w="0" w:type="auto"/>
          </w:tcPr>
          <w:p>
            <w:pPr>
              <w:pStyle w:val="TablCenter"/>
            </w:pPr>
            <w:r>
              <w:rPr>
                <w:rFonts w:ascii="Times New Roman" w:hAnsi="Times New Roman"/>
                <w:sz w:val="28"/>
                <w:szCs w:val="28"/>
              </w:rPr>
              <w:t xml:space="preserve">Рекомендуемый (позиции в Прил. 36 нет)</w:t>
            </w:r>
          </w:p>
        </w:tc>
      </w:tr>
    </w:tbl>
    <w:p>
      <w:pPr>
        <w:spacing w:after="60"/>
      </w:pPr>
    </w:p>
    <w:p>
      <w:pPr>
        <w:widowControl w:val="0"/>
        <w:spacing w:before="0" w:after="60" w:line="240" w:lineRule="auto"/>
        <w:ind w:firstLine="709"/>
        <w:jc w:val="both"/>
      </w:pPr>
      <w:r>
        <w:rPr>
          <w:rFonts w:ascii="Times New Roman" w:hAnsi="Times New Roman"/>
          <w:sz w:val="28"/>
          <w:szCs w:val="28"/>
        </w:rPr>
        <w:t xml:space="preserve">Примечание к таблице. В таблице использованы обозначения показателей Приложения 36 к СанПиН 3.3686-21: 1 — жизнеспособные яйца гельминтов; 2 — цисты патогенных кишечных простейших; 3 — ооцисты криптоспоридий; 4 — личинки синантропных мух; 5 — демодекоидные клещи; 6 — не допускается наличие яиц гельминтов и цист (ооцист).</w:t>
      </w:r>
    </w:p>
    <w:p>
      <w:pPr>
        <w:widowControl w:val="0"/>
        <w:spacing w:before="0" w:after="60" w:line="240" w:lineRule="auto"/>
        <w:ind w:firstLine="709"/>
        <w:jc w:val="both"/>
      </w:pPr>
      <w:r>
        <w:rPr>
          <w:rFonts w:ascii="Times New Roman" w:hAnsi="Times New Roman"/>
          <w:sz w:val="28"/>
          <w:szCs w:val="28"/>
        </w:rPr>
        <w:t xml:space="preserve">Примечание к приложению:</w:t>
      </w:r>
    </w:p>
    <w:p>
      <w:pPr>
        <w:widowControl w:val="0"/>
        <w:spacing w:before="0" w:after="60" w:line="240" w:lineRule="auto"/>
        <w:ind w:firstLine="709"/>
        <w:jc w:val="both"/>
      </w:pPr>
      <w:r>
        <w:rPr>
          <w:rFonts w:ascii="Times New Roman" w:hAnsi="Times New Roman"/>
          <w:sz w:val="28"/>
          <w:szCs w:val="28"/>
        </w:rPr>
        <w:t xml:space="preserve">Приложение 36 к СанПиН 3.3686-21 не содержит позиций по навозу, помёту, навозным стокам и объектам животноводческих (птицеводческих) хозяйств. Такие позиции содержались в приложении к СанПиН 3.2.3215-14 «Профилактика паразитарных болезней на территории Российской Федерации», утратившем силу с 01.09.2021 (навоз жидкий — 1,0 л, 2 пробы, 2 раза в год, показатели 1, 2, 3; навоз обезвоженный — 0,2 кг, 2 пробы, 2 раза в год, показатели 1, 2, 3, 4; контроль дезинвазии навоза — 1 раз в месяц, п. 8.4.5).</w:t>
      </w:r>
    </w:p>
    <w:p>
      <w:pPr>
        <w:widowControl w:val="0"/>
        <w:spacing w:before="0" w:after="60" w:line="240" w:lineRule="auto"/>
        <w:ind w:firstLine="709"/>
        <w:jc w:val="both"/>
      </w:pPr>
      <w:r>
        <w:rPr>
          <w:rFonts w:ascii="Times New Roman" w:hAnsi="Times New Roman"/>
          <w:sz w:val="28"/>
          <w:szCs w:val="28"/>
        </w:rPr>
        <w:t xml:space="preserve">При этом пункт 3384 СанПиН 3.3686-21 устанавливает обязательность производственного контроля сточных вод и их осадков на очистных сооружениях, в том числе животноводческих комплексов и ферм, по паразитологическим показателям (в соответствии с приложением 36), пункт 3382 — обязательность санитарно-паразитологических исследований для контроля эффективности дезинвазии, пункт 3385 — запрет внесения в почву необезвреженных навоза и помёта; пункт 269 СанПиН 2.1.3684-21 требует обеззараживания навоза и помёта до отсутствия возбудителей инфекционных и паразитарных болезней.</w:t>
      </w:r>
    </w:p>
    <w:p>
      <w:pPr>
        <w:widowControl w:val="0"/>
        <w:spacing w:before="0" w:after="60" w:line="240" w:lineRule="auto"/>
        <w:ind w:firstLine="709"/>
        <w:jc w:val="both"/>
      </w:pPr>
      <w:r>
        <w:rPr>
          <w:rFonts w:ascii="Times New Roman" w:hAnsi="Times New Roman"/>
          <w:sz w:val="28"/>
          <w:szCs w:val="28"/>
        </w:rPr>
        <w:t xml:space="preserve">Настоящие МУК обеспечивают методическую реализацию указанных требований в условиях отсутствия соответствующих позиций в приложении 36 к СанПиН 3.3686-21. Критерии оценки («не обнаружено», классификация органических удобрений «чистые/загрязнённые»), масса (объём) точечных, объединённых и лабораторных проб, а также режимы отбора основаны на действующих национальных стандартах — ГОСТ Р 57782-2017 (§6, §9–§12) и ГОСТ Р 58487-2019 (§7, §8) — и подлежат применению в указанной части; кратность исследований носит рекомендательный характер и применяется до внесения изменений в приложение 36 к СанПиН 3.3686-21. Разработчику рекомендуется инициировать внесение соответствующих позиций в приложение 36.</w:t>
      </w:r>
    </w:p>
    <w:p>
      <w:pPr>
        <w:widowControl w:val="0"/>
        <w:keepNext/>
        <w:keepLines/>
        <w:spacing w:before="360" w:after="120"/>
        <w:jc w:val="center"/>
        <w:outlineLvl w:val="0"/>
      </w:pPr>
      <w:r>
        <w:rPr>
          <w:rFonts w:ascii="Times New Roman" w:hAnsi="Times New Roman"/>
          <w:sz w:val="28"/>
          <w:szCs w:val="28"/>
        </w:rPr>
        <w:t xml:space="preserve">Приложение 8</w:t>
      </w:r>
    </w:p>
    <w:p>
      <w:pPr>
        <w:widowControl w:val="0"/>
        <w:spacing w:before="0" w:after="60" w:line="240" w:lineRule="auto"/>
        <w:ind w:firstLine="709"/>
        <w:jc w:val="both"/>
      </w:pPr>
      <w:r>
        <w:rPr>
          <w:rFonts w:ascii="Times New Roman" w:hAnsi="Times New Roman"/>
          <w:sz w:val="28"/>
          <w:szCs w:val="28"/>
        </w:rPr>
        <w:t xml:space="preserve">Формуляры внутрилабораторного контроля качества (паразитология) — по образцу Приложения А ГОСТ Р 70152-2022 (флотационные растворы, наборы ИМС, АТМ). Полный текст формуляров дополняется при утверждении.</w:t>
      </w:r>
    </w:p>
    <w:p>
      <w:pPr>
        <w:widowControl w:val="0"/>
        <w:keepNext/>
        <w:keepLines/>
        <w:spacing w:before="360" w:after="120"/>
        <w:jc w:val="center"/>
        <w:outlineLvl w:val="0"/>
      </w:pPr>
      <w:r>
        <w:rPr>
          <w:rFonts w:ascii="Times New Roman" w:hAnsi="Times New Roman"/>
          <w:sz w:val="28"/>
          <w:szCs w:val="28"/>
        </w:rPr>
        <w:t xml:space="preserve">Приложение 9</w:t>
      </w:r>
    </w:p>
    <w:p>
      <w:pPr>
        <w:widowControl w:val="0"/>
        <w:spacing w:before="0" w:after="60" w:line="240" w:lineRule="auto"/>
        <w:ind w:firstLine="709"/>
        <w:jc w:val="both"/>
      </w:pPr>
      <w:r>
        <w:rPr>
          <w:rFonts w:ascii="Times New Roman" w:hAnsi="Times New Roman"/>
          <w:sz w:val="28"/>
          <w:szCs w:val="28"/>
        </w:rPr>
        <w:t xml:space="preserve">Журнал учёта результатов внутрилабораторного контроля и форма отчёта по результатам ВЛК. Форма журнала и отчёта дополняется при утверждении.</w:t>
      </w:r>
    </w:p>
    <w:p>
      <w:pPr>
        <w:widowControl w:val="0"/>
        <w:keepNext/>
        <w:keepLines/>
        <w:spacing w:before="360" w:after="120"/>
        <w:jc w:val="center"/>
        <w:outlineLvl w:val="0"/>
      </w:pPr>
      <w:r>
        <w:rPr>
          <w:rFonts w:ascii="Times New Roman" w:hAnsi="Times New Roman"/>
          <w:sz w:val="28"/>
          <w:szCs w:val="28"/>
        </w:rPr>
        <w:t xml:space="preserve">БИБЛИОГРАФИЧЕСКИЕ ССЫЛКИ</w:t>
      </w:r>
    </w:p>
    <w:p>
      <w:pPr>
        <w:widowControl w:val="0"/>
        <w:spacing w:before="0" w:after="60" w:line="240" w:lineRule="auto"/>
        <w:ind w:firstLine="709"/>
        <w:jc w:val="both"/>
      </w:pPr>
      <w:r>
        <w:rPr>
          <w:rFonts w:ascii="Times New Roman" w:hAnsi="Times New Roman"/>
          <w:sz w:val="28"/>
          <w:szCs w:val="28"/>
        </w:rPr>
        <w:t xml:space="preserve">1. Федеральный закон от 30.03.1999 № 52-ФЗ «О санитарно-эпидемиологическом благополучии населения».</w:t>
      </w:r>
    </w:p>
    <w:p>
      <w:pPr>
        <w:widowControl w:val="0"/>
        <w:spacing w:before="0" w:after="60" w:line="240" w:lineRule="auto"/>
        <w:ind w:firstLine="709"/>
        <w:jc w:val="both"/>
      </w:pPr>
      <w:r>
        <w:rPr>
          <w:rFonts w:ascii="Times New Roman" w:hAnsi="Times New Roman"/>
          <w:sz w:val="28"/>
          <w:szCs w:val="28"/>
        </w:rPr>
        <w:t xml:space="preserve">2. Федеральный закон от 26.06.2008 № 102-ФЗ «Об обеспечении единства измерений».</w:t>
      </w:r>
    </w:p>
    <w:p>
      <w:pPr>
        <w:widowControl w:val="0"/>
        <w:spacing w:before="0" w:after="60" w:line="240" w:lineRule="auto"/>
        <w:ind w:firstLine="709"/>
        <w:jc w:val="both"/>
      </w:pPr>
      <w:r>
        <w:rPr>
          <w:rFonts w:ascii="Times New Roman" w:hAnsi="Times New Roman"/>
          <w:sz w:val="28"/>
          <w:szCs w:val="28"/>
        </w:rPr>
        <w:t xml:space="preserve">3. Федеральный закон от 10.01.2002 № 7-ФЗ «Об охране окружающей среды».</w:t>
      </w:r>
    </w:p>
    <w:p>
      <w:pPr>
        <w:widowControl w:val="0"/>
        <w:spacing w:before="0" w:after="60" w:line="240" w:lineRule="auto"/>
        <w:ind w:firstLine="709"/>
        <w:jc w:val="both"/>
      </w:pPr>
      <w:r>
        <w:rPr>
          <w:rFonts w:ascii="Times New Roman" w:hAnsi="Times New Roman"/>
          <w:sz w:val="28"/>
          <w:szCs w:val="28"/>
        </w:rPr>
        <w:t xml:space="preserve">4. СанПиН 3.3686-21 «Санитарно-эпидемиологические требования по профилактике инфекционных болезней», утв. постановлением Главного государственного санитарного врача Российской Федерации от 28.01.2021 № 4 (зарегистрировано Минюстом России 15.02.2021, регистрационный № 62500), с изменениями (постановления от 11.02.2022 № 5, рег. № 67587; от 25.05.2022 № 16, рег. № 68934; от 25.06.2025 № 12, рег. № 83058, действует с 05.08.2025), в действующей редакции.</w:t>
      </w:r>
    </w:p>
    <w:p>
      <w:pPr>
        <w:widowControl w:val="0"/>
        <w:spacing w:before="0" w:after="60" w:line="240" w:lineRule="auto"/>
        <w:ind w:firstLine="709"/>
        <w:jc w:val="both"/>
      </w:pPr>
      <w:r>
        <w:rPr>
          <w:rFonts w:ascii="Times New Roman" w:hAnsi="Times New Roman"/>
          <w:sz w:val="28"/>
          <w:szCs w:val="28"/>
        </w:rPr>
        <w:t xml:space="preserve">5.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(предупредительных) мероприятий», утв. постановлением Главного государственного санитарного врача Российской Федерации от 28.01.2021 № 3 (рег. № 62297), в действующей редакции.</w:t>
      </w:r>
    </w:p>
    <w:p>
      <w:pPr>
        <w:widowControl w:val="0"/>
        <w:spacing w:before="0" w:after="60" w:line="240" w:lineRule="auto"/>
        <w:ind w:firstLine="709"/>
        <w:jc w:val="both"/>
      </w:pPr>
      <w:r>
        <w:rPr>
          <w:rFonts w:ascii="Times New Roman" w:hAnsi="Times New Roman"/>
          <w:sz w:val="28"/>
          <w:szCs w:val="28"/>
        </w:rPr>
        <w:t xml:space="preserve">6. СанПиН 1.2.3685-21 «Гигиенические нормативы и требования к обеспечению безопасности и (или) безвредности для человека факторов среды обитания», утв. постановлением Главного государственного санитарного врача Российской Федерации от 28.01.2021 № 2 (рег. № 62296), с изменениями (постановление от 30.12.2022 № 24, рег. № 72558), в действующей редакции.</w:t>
      </w:r>
    </w:p>
    <w:p>
      <w:pPr>
        <w:widowControl w:val="0"/>
        <w:spacing w:before="0" w:after="60" w:line="240" w:lineRule="auto"/>
        <w:ind w:firstLine="709"/>
        <w:jc w:val="both"/>
      </w:pPr>
      <w:r>
        <w:rPr>
          <w:rFonts w:ascii="Times New Roman" w:hAnsi="Times New Roman"/>
          <w:sz w:val="28"/>
          <w:szCs w:val="28"/>
        </w:rPr>
        <w:t xml:space="preserve">7. СП 2.1.4284-26 «Санитарно-эпидемиологические требования к эксплуатации плавательных бассейнов и аквапарков» (постановление Главного государственного санитарного врача Российской Федерации от 02.06.2026 № 20; действует с 01.09.2026 по 01.09.2032; отменило СП 2.1.3678-20).</w:t>
      </w:r>
    </w:p>
    <w:p>
      <w:pPr>
        <w:widowControl w:val="0"/>
        <w:spacing w:before="0" w:after="60" w:line="240" w:lineRule="auto"/>
        <w:ind w:firstLine="709"/>
        <w:jc w:val="both"/>
      </w:pPr>
      <w:r>
        <w:rPr>
          <w:rFonts w:ascii="Times New Roman" w:hAnsi="Times New Roman"/>
          <w:sz w:val="28"/>
          <w:szCs w:val="28"/>
        </w:rPr>
        <w:t xml:space="preserve">8. МУ 1.3.2569-09 «Организация работы лабораторий, использующих методы амплификации нуклеиновых кислот при работе с материалом, содержащим микроорганизмы I–IV групп патогенности» (утв. Роспотребнадзором 22.12.2009; введены 05.04.2010).</w:t>
      </w:r>
    </w:p>
    <w:p>
      <w:pPr>
        <w:widowControl w:val="0"/>
        <w:spacing w:before="0" w:after="60" w:line="240" w:lineRule="auto"/>
        <w:ind w:firstLine="709"/>
        <w:jc w:val="both"/>
      </w:pPr>
      <w:r>
        <w:rPr>
          <w:rFonts w:ascii="Times New Roman" w:hAnsi="Times New Roman"/>
          <w:sz w:val="28"/>
          <w:szCs w:val="28"/>
        </w:rPr>
        <w:t xml:space="preserve">9. МУК 4.2.3964-23 «Методы лабораторных исследований объектов окружающей среды и биологического материала человека на наличие ооцист криптоспоридий» (утв. Роспотребнадзором 04.12.2023).</w:t>
      </w:r>
    </w:p>
    <w:p>
      <w:pPr>
        <w:widowControl w:val="0"/>
        <w:spacing w:before="0" w:after="60" w:line="240" w:lineRule="auto"/>
        <w:ind w:firstLine="709"/>
        <w:jc w:val="both"/>
      </w:pPr>
      <w:r>
        <w:rPr>
          <w:rFonts w:ascii="Times New Roman" w:hAnsi="Times New Roman"/>
          <w:sz w:val="28"/>
          <w:szCs w:val="28"/>
        </w:rPr>
        <w:t xml:space="preserve">10. МУК 4.2.3145-13 «Лабораторная диагностика гельминтозов и протозоозов» (утв. Роспотребнадзором 26.11.2013; взамен МУК 4.2.735-99).</w:t>
      </w:r>
    </w:p>
    <w:p>
      <w:pPr>
        <w:widowControl w:val="0"/>
        <w:spacing w:before="0" w:after="60" w:line="240" w:lineRule="auto"/>
        <w:ind w:firstLine="709"/>
        <w:jc w:val="both"/>
      </w:pPr>
      <w:r>
        <w:rPr>
          <w:rFonts w:ascii="Times New Roman" w:hAnsi="Times New Roman"/>
          <w:sz w:val="28"/>
          <w:szCs w:val="28"/>
        </w:rPr>
        <w:t xml:space="preserve">11. МУК 4.2.3016-12 «Санитарно-паразитологические исследования плодоовощной, плодово-ягодной и растительной продукции» (утв. Роспотребнадзором 12.05.2012).</w:t>
      </w:r>
    </w:p>
    <w:p>
      <w:pPr>
        <w:widowControl w:val="0"/>
        <w:spacing w:before="0" w:after="60" w:line="240" w:lineRule="auto"/>
        <w:ind w:firstLine="709"/>
        <w:jc w:val="both"/>
      </w:pPr>
      <w:r>
        <w:rPr>
          <w:rFonts w:ascii="Times New Roman" w:hAnsi="Times New Roman"/>
          <w:sz w:val="28"/>
          <w:szCs w:val="28"/>
        </w:rPr>
        <w:t xml:space="preserve">12. МУК 4.2.2959-11 «Методы санитарно-микробиологического и санитарно-паразитологического анализа прибрежных вод морей в местах водопользования населения» (утв. 29.07.2011) — в части пунктов, сохраняющих действие.</w:t>
      </w:r>
    </w:p>
    <w:p>
      <w:pPr>
        <w:widowControl w:val="0"/>
        <w:spacing w:before="0" w:after="60" w:line="240" w:lineRule="auto"/>
        <w:ind w:firstLine="709"/>
        <w:jc w:val="both"/>
      </w:pPr>
      <w:r>
        <w:rPr>
          <w:rFonts w:ascii="Times New Roman" w:hAnsi="Times New Roman"/>
          <w:sz w:val="28"/>
          <w:szCs w:val="28"/>
        </w:rPr>
        <w:t xml:space="preserve">13. МУК 4.2.2661-10 «Методы санитарно-паразитологических исследований» (утв. 23.07.2010) — в части пунктов, сохраняющих действие.</w:t>
      </w:r>
    </w:p>
    <w:p>
      <w:pPr>
        <w:widowControl w:val="0"/>
        <w:spacing w:before="0" w:after="60" w:line="240" w:lineRule="auto"/>
        <w:ind w:firstLine="709"/>
        <w:jc w:val="both"/>
      </w:pPr>
      <w:r>
        <w:rPr>
          <w:rFonts w:ascii="Times New Roman" w:hAnsi="Times New Roman"/>
          <w:sz w:val="28"/>
          <w:szCs w:val="28"/>
        </w:rPr>
        <w:t xml:space="preserve">14. МУК 4.2.2314-08 «Методы санитарно-паразитологического анализа воды» (утв. 18.01.2008).</w:t>
      </w:r>
    </w:p>
    <w:p>
      <w:pPr>
        <w:widowControl w:val="0"/>
        <w:spacing w:before="0" w:after="60" w:line="240" w:lineRule="auto"/>
        <w:ind w:firstLine="709"/>
        <w:jc w:val="both"/>
      </w:pPr>
      <w:r>
        <w:rPr>
          <w:rFonts w:ascii="Times New Roman" w:hAnsi="Times New Roman"/>
          <w:sz w:val="28"/>
          <w:szCs w:val="28"/>
        </w:rPr>
        <w:t xml:space="preserve">15. МУК 4.2.1884-04 «Санитарно-микробиологический и санитарно-паразитологический анализ воды поверхностных водных объектов» (утв. 03.03.2004) с Изменением № 1 (МУК 4.2.2793-10, 23.12.2010), № 2 (МУК 4.2.3691-21, 01.03.2021), № 3 (МУК 4.2.3721-21, 15.12.2021) — в части пунктов, сохраняющих действие.</w:t>
      </w:r>
    </w:p>
    <w:p>
      <w:pPr>
        <w:widowControl w:val="0"/>
        <w:spacing w:before="0" w:after="60" w:line="240" w:lineRule="auto"/>
        <w:ind w:firstLine="709"/>
        <w:jc w:val="both"/>
      </w:pPr>
      <w:r>
        <w:rPr>
          <w:rFonts w:ascii="Times New Roman" w:hAnsi="Times New Roman"/>
          <w:sz w:val="28"/>
          <w:szCs w:val="28"/>
        </w:rPr>
        <w:t xml:space="preserve">16. ГОСТ Р 58973-2020 «Оценка соответствия. Правила к оформлению протоколов испытаний» (приказ Росстандарта от 27.08.2020 № 563-ст; введён 01.07.2021).</w:t>
      </w:r>
    </w:p>
    <w:p>
      <w:pPr>
        <w:widowControl w:val="0"/>
        <w:spacing w:before="0" w:after="60" w:line="240" w:lineRule="auto"/>
        <w:ind w:firstLine="709"/>
        <w:jc w:val="both"/>
      </w:pPr>
      <w:r>
        <w:rPr>
          <w:rFonts w:ascii="Times New Roman" w:hAnsi="Times New Roman"/>
          <w:sz w:val="28"/>
          <w:szCs w:val="28"/>
        </w:rPr>
        <w:t xml:space="preserve">17. ГОСТ ISO/IEC 17025-2019 «Общие требования к компетентности испытательных и калибровочных лабораторий» (приказ Росстандарта от 15.07.2019 № 385-ст; введён 01.09.2019).</w:t>
      </w:r>
    </w:p>
    <w:p>
      <w:pPr>
        <w:widowControl w:val="0"/>
        <w:spacing w:before="0" w:after="60" w:line="240" w:lineRule="auto"/>
        <w:ind w:firstLine="709"/>
        <w:jc w:val="both"/>
      </w:pPr>
      <w:r>
        <w:rPr>
          <w:rFonts w:ascii="Times New Roman" w:hAnsi="Times New Roman"/>
          <w:sz w:val="28"/>
          <w:szCs w:val="28"/>
        </w:rPr>
        <w:t xml:space="preserve">18. ГОСТ Р ИСО 5725-1…6-2002 «Точность (правильность и прецизионность) методов и результатов измерений» (части 1–6).</w:t>
      </w:r>
    </w:p>
    <w:p>
      <w:pPr>
        <w:widowControl w:val="0"/>
        <w:spacing w:before="0" w:after="60" w:line="240" w:lineRule="auto"/>
        <w:ind w:firstLine="709"/>
        <w:jc w:val="both"/>
      </w:pPr>
      <w:r>
        <w:rPr>
          <w:rFonts w:ascii="Times New Roman" w:hAnsi="Times New Roman"/>
          <w:sz w:val="28"/>
          <w:szCs w:val="28"/>
        </w:rPr>
        <w:t xml:space="preserve">19. РМГ 61-2010 «Государственная система обеспечения единства измерений. Показатели точности, правильности, прецизионности методик количественного химического анализа. Методы оценки» (приказ Росстандарта от 13.12.2011 № 1064-ст; введён 01.09.2012).</w:t>
      </w:r>
    </w:p>
    <w:p>
      <w:pPr>
        <w:widowControl w:val="0"/>
        <w:spacing w:before="0" w:after="60" w:line="240" w:lineRule="auto"/>
        <w:ind w:firstLine="709"/>
        <w:jc w:val="both"/>
      </w:pPr>
      <w:r>
        <w:rPr>
          <w:rFonts w:ascii="Times New Roman" w:hAnsi="Times New Roman"/>
          <w:sz w:val="28"/>
          <w:szCs w:val="28"/>
        </w:rPr>
        <w:t xml:space="preserve">20. ГОСТ ISO 16140-2-2021 «Микробиология пищевой цепи. Валидация методов. Часть 2. Метод валидации для альтернативных методов (проверка правильности)» (для валидации качественных методов).</w:t>
      </w:r>
    </w:p>
    <w:p>
      <w:pPr>
        <w:widowControl w:val="0"/>
        <w:spacing w:before="0" w:after="60" w:line="240" w:lineRule="auto"/>
        <w:ind w:firstLine="709"/>
        <w:jc w:val="both"/>
      </w:pPr>
      <w:r>
        <w:rPr>
          <w:rFonts w:ascii="Times New Roman" w:hAnsi="Times New Roman"/>
          <w:sz w:val="28"/>
          <w:szCs w:val="28"/>
        </w:rPr>
        <w:t xml:space="preserve">21. ГОСТ Р 70152-2022 «Качество воды. Методы внутреннего лабораторного контроля качества проведения микробиологических и паразитологических исследований» (приказ Росстандарта от 17.06.2022 № 483-ст; введён 01.01.2023).</w:t>
      </w:r>
    </w:p>
    <w:p>
      <w:pPr>
        <w:widowControl w:val="0"/>
        <w:spacing w:before="0" w:after="60" w:line="240" w:lineRule="auto"/>
        <w:ind w:firstLine="709"/>
        <w:jc w:val="both"/>
      </w:pPr>
      <w:r>
        <w:rPr>
          <w:rFonts w:ascii="Times New Roman" w:hAnsi="Times New Roman"/>
          <w:sz w:val="28"/>
          <w:szCs w:val="28"/>
        </w:rPr>
        <w:t xml:space="preserve">22. ГОСТ Р 70151-2022 «Качество воды. Отбор проб для проведения паразитологических исследований» (приказ Росстандарта от 17.06.2022 № 482-ст; введён 01.01.2023).</w:t>
      </w:r>
    </w:p>
    <w:p>
      <w:pPr>
        <w:widowControl w:val="0"/>
        <w:spacing w:before="0" w:after="60" w:line="240" w:lineRule="auto"/>
        <w:ind w:firstLine="709"/>
        <w:jc w:val="both"/>
      </w:pPr>
      <w:r>
        <w:rPr>
          <w:rFonts w:ascii="Times New Roman" w:hAnsi="Times New Roman"/>
          <w:sz w:val="28"/>
          <w:szCs w:val="28"/>
        </w:rPr>
        <w:t xml:space="preserve">23. ГОСТ 35239-2025 «Вода питьевая. Методы санитарно-паразитологического анализа воды» (межгосударственный; приказ Росстандарта от 28.05.2025 № 488-ст; введён 01.01.2026 с правом досрочного применения).</w:t>
      </w:r>
    </w:p>
    <w:p>
      <w:pPr>
        <w:widowControl w:val="0"/>
        <w:spacing w:before="0" w:after="60" w:line="240" w:lineRule="auto"/>
        <w:ind w:firstLine="709"/>
        <w:jc w:val="both"/>
      </w:pPr>
      <w:r>
        <w:rPr>
          <w:rFonts w:ascii="Times New Roman" w:hAnsi="Times New Roman"/>
          <w:sz w:val="28"/>
          <w:szCs w:val="28"/>
        </w:rPr>
        <w:t xml:space="preserve">24. ГОСТ Р 71327-2024 «Качество воды. Методы определения санитарно-микробиологических и санитарно-паразитологических показателей при оценке воды поверхностных водных объектов и сточных вод» (приказ Росстандарта от 04.04.2024 № 413-ст; введён 01.05.2024).</w:t>
      </w:r>
    </w:p>
    <w:p>
      <w:pPr>
        <w:widowControl w:val="0"/>
        <w:spacing w:before="0" w:after="60" w:line="240" w:lineRule="auto"/>
        <w:ind w:firstLine="709"/>
        <w:jc w:val="both"/>
      </w:pPr>
      <w:r>
        <w:rPr>
          <w:rFonts w:ascii="Times New Roman" w:hAnsi="Times New Roman"/>
          <w:sz w:val="28"/>
          <w:szCs w:val="28"/>
        </w:rPr>
        <w:t xml:space="preserve">25. ГОСТ Р 57175-2016 «Требования к качеству и безопасности ПЦР-наборов, проведению исследований и испытаний с использованием метода ПЦР при идентификации целевых таксонов микрофлоры, растений и генетически модифицированных организмов» (введён 01.09.2017).</w:t>
      </w:r>
    </w:p>
    <w:p>
      <w:pPr>
        <w:widowControl w:val="0"/>
        <w:spacing w:before="0" w:after="60" w:line="240" w:lineRule="auto"/>
        <w:ind w:firstLine="709"/>
        <w:jc w:val="both"/>
      </w:pPr>
      <w:r>
        <w:rPr>
          <w:rFonts w:ascii="Times New Roman" w:hAnsi="Times New Roman"/>
          <w:sz w:val="28"/>
          <w:szCs w:val="28"/>
        </w:rPr>
        <w:t xml:space="preserve">26. ГОСТ Р 56919-2016 «Организация испытаний ПЦР-наборов, используемых для идентификации целевых таксонов микрофлоры, растений и генетически модифицированных организмов. Требования к качеству, безопасности, транспортированию и хранению» (приказ Росстандарта от 16.05.2016 № 315-ст; введён 01.06.2017).</w:t>
      </w:r>
    </w:p>
    <w:p>
      <w:pPr>
        <w:widowControl w:val="0"/>
        <w:spacing w:before="0" w:after="60" w:line="240" w:lineRule="auto"/>
        <w:ind w:firstLine="709"/>
        <w:jc w:val="both"/>
      </w:pPr>
      <w:r>
        <w:rPr>
          <w:rFonts w:ascii="Times New Roman" w:hAnsi="Times New Roman"/>
          <w:sz w:val="28"/>
          <w:szCs w:val="28"/>
        </w:rPr>
        <w:t xml:space="preserve">27. ГОСТ Р 56226-2014 «Ресурсосбережение. Осадки сточных вод. Методы отбора и подготовки проб» (приказ Росстандарта от 11.11.2014 № 1559-ст; введён 01.01.2016).</w:t>
      </w:r>
    </w:p>
    <w:p>
      <w:pPr>
        <w:widowControl w:val="0"/>
        <w:spacing w:before="0" w:after="60" w:line="240" w:lineRule="auto"/>
        <w:ind w:firstLine="709"/>
        <w:jc w:val="both"/>
      </w:pPr>
      <w:r>
        <w:rPr>
          <w:rFonts w:ascii="Times New Roman" w:hAnsi="Times New Roman"/>
          <w:sz w:val="28"/>
          <w:szCs w:val="28"/>
        </w:rPr>
        <w:t xml:space="preserve">28. ГОСТ 17.4.4.02-2017 «Охрана природы. Почвы. Методы отбора и подготовки проб для химического, бактериологического, гельминтологического анализа».</w:t>
      </w:r>
    </w:p>
    <w:p>
      <w:pPr>
        <w:widowControl w:val="0"/>
        <w:spacing w:before="0" w:after="60" w:line="240" w:lineRule="auto"/>
        <w:ind w:firstLine="709"/>
        <w:jc w:val="both"/>
      </w:pPr>
      <w:r>
        <w:rPr>
          <w:rFonts w:ascii="Times New Roman" w:hAnsi="Times New Roman"/>
          <w:sz w:val="28"/>
          <w:szCs w:val="28"/>
        </w:rPr>
        <w:t xml:space="preserve">29. ГОСТ Р ЕН 12469-2010 «Биотехнология. Технические требования к боксам микробиологической безопасности».</w:t>
      </w:r>
    </w:p>
    <w:p>
      <w:pPr>
        <w:widowControl w:val="0"/>
        <w:spacing w:before="0" w:after="60" w:line="240" w:lineRule="auto"/>
        <w:ind w:firstLine="709"/>
        <w:jc w:val="both"/>
      </w:pPr>
      <w:r>
        <w:rPr>
          <w:rFonts w:ascii="Times New Roman" w:hAnsi="Times New Roman"/>
          <w:sz w:val="28"/>
          <w:szCs w:val="28"/>
        </w:rPr>
        <w:t xml:space="preserve">30. ГОСТ 30813-2002 «Вода и водоподготовка. Термины и определения» (введён 01.01.2004).</w:t>
      </w:r>
    </w:p>
    <w:p>
      <w:pPr>
        <w:widowControl w:val="0"/>
        <w:spacing w:before="0" w:after="60" w:line="240" w:lineRule="auto"/>
        <w:ind w:firstLine="709"/>
        <w:jc w:val="both"/>
      </w:pPr>
      <w:r>
        <w:rPr>
          <w:rFonts w:ascii="Times New Roman" w:hAnsi="Times New Roman"/>
          <w:sz w:val="28"/>
          <w:szCs w:val="28"/>
        </w:rPr>
        <w:t xml:space="preserve">31. ГОСТ Р 54001-2010 «Удобрения органические. Методы гельминтологического анализа».</w:t>
      </w:r>
    </w:p>
    <w:p>
      <w:pPr>
        <w:widowControl w:val="0"/>
        <w:spacing w:before="0" w:after="60" w:line="240" w:lineRule="auto"/>
        <w:ind w:firstLine="709"/>
        <w:jc w:val="both"/>
      </w:pPr>
      <w:r>
        <w:rPr>
          <w:rFonts w:ascii="Times New Roman" w:hAnsi="Times New Roman"/>
          <w:sz w:val="28"/>
          <w:szCs w:val="28"/>
        </w:rPr>
        <w:t xml:space="preserve">32. ГОСТ Р 57782-2017 «Удобрения органические. Методы паразитологического анализа. Методы определения ооцист и цист простейших».</w:t>
      </w:r>
    </w:p>
    <w:p>
      <w:pPr>
        <w:widowControl w:val="0"/>
        <w:spacing w:before="0" w:after="60" w:line="240" w:lineRule="auto"/>
        <w:ind w:firstLine="709"/>
        <w:jc w:val="both"/>
      </w:pPr>
      <w:r>
        <w:rPr>
          <w:rFonts w:ascii="Times New Roman" w:hAnsi="Times New Roman"/>
          <w:sz w:val="28"/>
          <w:szCs w:val="28"/>
        </w:rPr>
        <w:t xml:space="preserve">33. ГОСТ Р 58487-2019 «Удобрения органические. Методы отбора проб».</w:t>
      </w:r>
    </w:p>
    <w:p>
      <w:pPr>
        <w:widowControl w:val="0"/>
        <w:spacing w:before="0" w:after="60" w:line="240" w:lineRule="auto"/>
        <w:ind w:firstLine="709"/>
        <w:jc w:val="both"/>
      </w:pPr>
      <w:r>
        <w:rPr>
          <w:rFonts w:ascii="Times New Roman" w:hAnsi="Times New Roman"/>
          <w:sz w:val="28"/>
          <w:szCs w:val="28"/>
        </w:rPr>
        <w:t xml:space="preserve">34. ГОСТ Р 58138 «Удобрения органические. Методы определения личинок синантропных мух» (реквизиты стандарта уточнить по действующей редакции).</w:t>
      </w:r>
    </w:p>
    <w:p>
      <w:pPr>
        <w:widowControl w:val="0"/>
        <w:spacing w:before="0" w:after="60" w:line="240" w:lineRule="auto"/>
        <w:ind w:firstLine="709"/>
        <w:jc w:val="both"/>
      </w:pPr>
      <w:r>
        <w:rPr>
          <w:rFonts w:ascii="Times New Roman" w:hAnsi="Times New Roman"/>
          <w:sz w:val="28"/>
          <w:szCs w:val="28"/>
        </w:rPr>
        <w:t xml:space="preserve">35. МУК 4.2.796-99 Методы лабораторного контроля за объектами окружающей среды (утв. Руководителем Федеральной службы санитарно-эпидемиологического надзора в Российской Федерации).</w:t>
      </w:r>
    </w:p>
    <w:p>
      <w:pPr>
        <w:widowControl w:val="0"/>
        <w:spacing w:before="0" w:after="60" w:line="240" w:lineRule="auto"/>
        <w:ind w:firstLine="709"/>
        <w:jc w:val="both"/>
      </w:pPr>
      <w:r>
        <w:rPr>
          <w:rFonts w:ascii="Times New Roman" w:hAnsi="Times New Roman"/>
          <w:sz w:val="28"/>
          <w:szCs w:val="28"/>
        </w:rPr>
        <w:t xml:space="preserve">36. Герман С.М., Беэр С.А. Метод определения жизнеспособности яиц описторхисов, основанный на выходе мирацидиев в экспериментальных условиях // Медицинская паразитология и паразитарные болезни. 1984. № 1. С. 57–60.</w:t>
      </w:r>
    </w:p>
    <w:p>
      <w:pPr>
        <w:widowControl w:val="0"/>
        <w:spacing w:before="0" w:after="60" w:line="240" w:lineRule="auto"/>
        <w:ind w:firstLine="709"/>
        <w:jc w:val="both"/>
      </w:pPr>
      <w:r>
        <w:rPr>
          <w:rFonts w:ascii="Times New Roman" w:hAnsi="Times New Roman"/>
          <w:sz w:val="28"/>
          <w:szCs w:val="28"/>
        </w:rPr>
        <w:t xml:space="preserve">37. Асланова М.М., Загайнова А.В., Мания Т.Р., Ракитина Д.В., Абрамов И.А., Курбатова И.В., Савостикова О.Н. Анализ и оценка современного состояния санитарно-паразитологических методов исследования почв // Гигиена и санитария. 2023. Т. 102, № 11. С. 1255–1260. DOI: 10.47470/0016-9900-2023-102-11-1255-1260.</w:t>
      </w:r>
    </w:p>
    <w:p>
      <w:pPr>
        <w:widowControl w:val="0"/>
        <w:keepNext/>
        <w:keepLines/>
        <w:spacing w:before="360" w:after="120"/>
        <w:jc w:val="center"/>
        <w:outlineLvl w:val="0"/>
      </w:pPr>
      <w:r>
        <w:rPr>
          <w:rFonts w:ascii="Times New Roman" w:hAnsi="Times New Roman"/>
          <w:sz w:val="28"/>
          <w:szCs w:val="28"/>
        </w:rPr>
        <w:t xml:space="preserve">СНОСКИ (итоговые)</w:t>
      </w:r>
    </w:p>
    <w:p>
      <w:pPr>
        <w:widowControl w:val="0"/>
        <w:spacing w:before="0" w:after="60" w:line="240" w:lineRule="auto"/>
        <w:ind w:firstLine="709"/>
        <w:jc w:val="both"/>
      </w:pPr>
      <w:r>
        <w:rPr>
          <w:rFonts w:ascii="Times New Roman" w:hAnsi="Times New Roman"/>
          <w:sz w:val="28"/>
          <w:szCs w:val="28"/>
        </w:rPr>
        <w:t xml:space="preserve">[1] Глава XLIII СанПиН 3.3686-21 «Санитарно-эпидемиологические требования по профилактике инфекционных болезней», утверждённых постановлением Главного государственного санитарного врача Российской Федерации от 28.01.2021 № 4, в редакции постановления Главного государственного санитарного врача Российской Федерации от 25.06.2025 № 12 (зарегистрировано Минюстом России 25.07.2025, регистрационный № 83058; действует с 05.08.2025).</w:t>
      </w:r>
    </w:p>
    <w:p>
      <w:pPr>
        <w:widowControl w:val="0"/>
        <w:spacing w:before="0" w:after="60" w:line="240" w:lineRule="auto"/>
        <w:ind w:firstLine="709"/>
        <w:jc w:val="both"/>
      </w:pPr>
      <w:r>
        <w:rPr>
          <w:rFonts w:ascii="Times New Roman" w:hAnsi="Times New Roman"/>
          <w:sz w:val="28"/>
          <w:szCs w:val="28"/>
        </w:rPr>
        <w:t xml:space="preserve">[2] МУК 4.2.3964-23 «Методы лабораторных исследований объектов окружающей среды и биологического материала человека на наличие ооцист криптоспоридий», утверждённые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04.12.2023.</w:t>
      </w:r>
    </w:p>
    <w:p>
      <w:pPr>
        <w:widowControl w:val="0"/>
        <w:spacing w:before="0" w:after="60" w:line="240" w:lineRule="auto"/>
        <w:ind w:firstLine="709"/>
        <w:jc w:val="both"/>
      </w:pPr>
      <w:r>
        <w:rPr>
          <w:rFonts w:ascii="Times New Roman" w:hAnsi="Times New Roman"/>
          <w:sz w:val="28"/>
          <w:szCs w:val="28"/>
        </w:rPr>
        <w:t xml:space="preserve">[3] П. 3262, главы XLIII СанПиН 3.3686-21.</w:t>
      </w:r>
    </w:p>
    <w:p>
      <w:pPr>
        <w:widowControl w:val="0"/>
        <w:spacing w:before="0" w:after="60" w:line="240" w:lineRule="auto"/>
        <w:ind w:firstLine="709"/>
        <w:jc w:val="both"/>
      </w:pPr>
      <w:r>
        <w:rPr>
          <w:rFonts w:ascii="Times New Roman" w:hAnsi="Times New Roman"/>
          <w:sz w:val="28"/>
          <w:szCs w:val="28"/>
        </w:rPr>
        <w:t xml:space="preserve">[4] МУК 4.2.3964-23.</w:t>
      </w:r>
    </w:p>
    <w:p>
      <w:pPr>
        <w:widowControl w:val="0"/>
        <w:spacing w:before="0" w:after="60" w:line="240" w:lineRule="auto"/>
        <w:ind w:firstLine="709"/>
        <w:jc w:val="both"/>
      </w:pPr>
      <w:r>
        <w:rPr>
          <w:rFonts w:ascii="Times New Roman" w:hAnsi="Times New Roman"/>
          <w:sz w:val="28"/>
          <w:szCs w:val="28"/>
        </w:rPr>
        <w:t xml:space="preserve">[5] Примечание. Оборудование, лабораторная посуда, материалы и реактивы приведены в приложении 1 к настоящим МУК; СанПиН 1.2.3685–21 (табл. 4.6 и 6.17).</w:t>
      </w:r>
    </w:p>
    <w:p>
      <w:pPr>
        <w:widowControl w:val="0"/>
        <w:spacing w:before="0" w:after="60" w:line="240" w:lineRule="auto"/>
        <w:ind w:firstLine="709"/>
        <w:jc w:val="both"/>
      </w:pPr>
      <w:r>
        <w:rPr>
          <w:rFonts w:ascii="Times New Roman" w:hAnsi="Times New Roman"/>
          <w:sz w:val="28"/>
          <w:szCs w:val="28"/>
        </w:rPr>
        <w:t xml:space="preserve">[6] Приложение 36 к СанПиН 3.3686–21, таблица 4.6, 6.17 главы IV СанПиН 1.2.3685–21.</w:t>
      </w:r>
    </w:p>
    <w:p>
      <w:pPr>
        <w:widowControl w:val="0"/>
        <w:spacing w:before="0" w:after="60" w:line="240" w:lineRule="auto"/>
        <w:ind w:firstLine="709"/>
        <w:jc w:val="both"/>
      </w:pPr>
      <w:r>
        <w:rPr>
          <w:rFonts w:ascii="Times New Roman" w:hAnsi="Times New Roman"/>
          <w:sz w:val="28"/>
          <w:szCs w:val="28"/>
        </w:rPr>
        <w:t xml:space="preserve">[7] Примечание. Указанные массы проб (20 г и 200 г) являются ориентировочными и не требуют особой точности и использования при отборе проб почвы/песка и др. весов и других измерительных приборов; допускается незначительное превышение указанных масс.</w:t>
      </w:r>
    </w:p>
    <w:p>
      <w:pPr>
        <w:widowControl w:val="0"/>
        <w:spacing w:before="0" w:after="60" w:line="240" w:lineRule="auto"/>
        <w:ind w:firstLine="709"/>
        <w:jc w:val="both"/>
      </w:pPr>
      <w:r>
        <w:rPr>
          <w:rFonts w:ascii="Times New Roman" w:hAnsi="Times New Roman"/>
          <w:sz w:val="28"/>
          <w:szCs w:val="28"/>
        </w:rPr>
        <w:t xml:space="preserve">[8] ГОСТ Р 70151 «Качество воды. Отбор проб для проведения паразитологических исследований», введенный приказом Федерального агентства по техническому регулированию и метрологии от 17 июня 2022 г. № 482-ст (далее – ГОСТ Р 70151).</w:t>
      </w:r>
    </w:p>
    <w:p>
      <w:pPr>
        <w:widowControl w:val="0"/>
        <w:spacing w:before="0" w:after="60" w:line="240" w:lineRule="auto"/>
        <w:ind w:firstLine="709"/>
        <w:jc w:val="both"/>
      </w:pPr>
      <w:r>
        <w:rPr>
          <w:rFonts w:ascii="Times New Roman" w:hAnsi="Times New Roman"/>
          <w:sz w:val="28"/>
          <w:szCs w:val="28"/>
        </w:rPr>
        <w:t xml:space="preserve">[9] Приложение 36 к СанПиН 3.3686–21; таблицы 3.5 – 3.8, 3.10 главы III СанПиН 1.2.3685–21.</w:t>
      </w:r>
    </w:p>
    <w:p>
      <w:pPr>
        <w:widowControl w:val="0"/>
        <w:spacing w:before="0" w:after="60" w:line="240" w:lineRule="auto"/>
        <w:ind w:firstLine="709"/>
        <w:jc w:val="both"/>
      </w:pPr>
      <w:r>
        <w:rPr>
          <w:rFonts w:ascii="Times New Roman" w:hAnsi="Times New Roman"/>
          <w:sz w:val="28"/>
          <w:szCs w:val="28"/>
        </w:rPr>
        <w:t xml:space="preserve">[10] Таблица 3.9. СанПиН 1.2.3685–21</w:t>
      </w:r>
    </w:p>
    <w:p>
      <w:pPr>
        <w:widowControl w:val="0"/>
        <w:spacing w:before="0" w:after="60" w:line="240" w:lineRule="auto"/>
        <w:ind w:firstLine="709"/>
        <w:jc w:val="both"/>
      </w:pPr>
      <w:r>
        <w:rPr>
          <w:rFonts w:ascii="Times New Roman" w:hAnsi="Times New Roman"/>
          <w:sz w:val="28"/>
          <w:szCs w:val="28"/>
        </w:rPr>
        <w:t xml:space="preserve">[11] ГОСТ Р 70151.</w:t>
      </w:r>
    </w:p>
    <w:p>
      <w:pPr>
        <w:widowControl w:val="0"/>
        <w:spacing w:before="0" w:after="60" w:line="240" w:lineRule="auto"/>
        <w:ind w:firstLine="709"/>
        <w:jc w:val="both"/>
      </w:pPr>
      <w:r>
        <w:rPr>
          <w:rFonts w:ascii="Times New Roman" w:hAnsi="Times New Roman"/>
          <w:sz w:val="28"/>
          <w:szCs w:val="28"/>
        </w:rPr>
        <w:t xml:space="preserve">[12] Приложение 36 к СанПиН 3.3686–21.</w:t>
      </w:r>
    </w:p>
    <w:p>
      <w:pPr>
        <w:widowControl w:val="0"/>
        <w:spacing w:before="0" w:after="60" w:line="240" w:lineRule="auto"/>
        <w:ind w:firstLine="709"/>
        <w:jc w:val="both"/>
      </w:pPr>
      <w:r>
        <w:rPr>
          <w:rFonts w:ascii="Times New Roman" w:hAnsi="Times New Roman"/>
          <w:sz w:val="28"/>
          <w:szCs w:val="28"/>
        </w:rPr>
        <w:t xml:space="preserve">[13] Примечание. Зонд-тампон в пробирке предназначен для взятия и хранения образцов биологического материала. Удобен для взятия смывов, в том числе санитарных.</w:t>
      </w:r>
    </w:p>
    <w:p>
      <w:pPr>
        <w:widowControl w:val="0"/>
        <w:spacing w:before="0" w:after="60" w:line="240" w:lineRule="auto"/>
        <w:ind w:firstLine="709"/>
        <w:jc w:val="both"/>
      </w:pPr>
      <w:r>
        <w:rPr>
          <w:rFonts w:ascii="Times New Roman" w:hAnsi="Times New Roman"/>
          <w:sz w:val="28"/>
          <w:szCs w:val="28"/>
        </w:rPr>
        <w:t xml:space="preserve">[14] Примечание. Методы исследований объектов окружающей среды на ооцисты криптоспоридий изложены в МУК 4.2.3964-23.</w:t>
      </w:r>
    </w:p>
    <w:p>
      <w:pPr>
        <w:widowControl w:val="0"/>
        <w:spacing w:before="0" w:after="60" w:line="240" w:lineRule="auto"/>
        <w:ind w:firstLine="709"/>
        <w:jc w:val="both"/>
      </w:pPr>
      <w:r>
        <w:rPr>
          <w:rFonts w:ascii="Times New Roman" w:hAnsi="Times New Roman"/>
          <w:sz w:val="28"/>
          <w:szCs w:val="28"/>
        </w:rPr>
        <w:t xml:space="preserve">[15] Приложение 36 к СанПиН 3.3686–21, таблица 4.6 к СанПиН 1.2.3685-21</w:t>
      </w:r>
    </w:p>
    <w:p>
      <w:pPr>
        <w:widowControl w:val="0"/>
        <w:spacing w:before="0" w:after="60" w:line="240" w:lineRule="auto"/>
        <w:ind w:firstLine="709"/>
        <w:jc w:val="both"/>
      </w:pPr>
      <w:r>
        <w:rPr>
          <w:rFonts w:ascii="Times New Roman" w:hAnsi="Times New Roman"/>
          <w:sz w:val="28"/>
          <w:szCs w:val="28"/>
        </w:rPr>
        <w:t xml:space="preserve">[16] Примечание. Допустимо применение пробирок центрифужных емкостью 80-100 мл, 250 мл, входящих в комплект центрифуги.</w:t>
      </w:r>
    </w:p>
    <w:p>
      <w:pPr>
        <w:widowControl w:val="0"/>
        <w:spacing w:before="0" w:after="60" w:line="240" w:lineRule="auto"/>
        <w:ind w:firstLine="709"/>
        <w:jc w:val="both"/>
      </w:pPr>
      <w:r>
        <w:rPr>
          <w:rFonts w:ascii="Times New Roman" w:hAnsi="Times New Roman"/>
          <w:sz w:val="28"/>
          <w:szCs w:val="28"/>
        </w:rPr>
        <w:t xml:space="preserve">[17] Примечание. Для промывки проб объектов внешней среды возможно использование водопроводной воды централизованного холодного водоснабжения (далее – чистая вода) или дистиллированной воды. Для песчаных и супесчаных почв – достаточно одной промывки, для глинистых, суглинистых, черноземных – от 2 до 5.</w:t>
      </w:r>
    </w:p>
    <w:p>
      <w:pPr>
        <w:widowControl w:val="0"/>
        <w:spacing w:before="0" w:after="60" w:line="240" w:lineRule="auto"/>
        <w:ind w:firstLine="709"/>
        <w:jc w:val="both"/>
      </w:pPr>
      <w:r>
        <w:rPr>
          <w:rFonts w:ascii="Times New Roman" w:hAnsi="Times New Roman"/>
          <w:sz w:val="28"/>
          <w:szCs w:val="28"/>
        </w:rPr>
        <w:t xml:space="preserve">[18] Примечание. Для обнаружения в почве яиц гельминтов, имеющих высокую плотность (яйца описторхов, клонорхов), могут быть использованы насыщенные растворы хлорида цинка, сульфата цинка или сульфата магния (приложение 3).</w:t>
      </w:r>
    </w:p>
    <w:p>
      <w:pPr>
        <w:widowControl w:val="0"/>
        <w:spacing w:before="0" w:after="60" w:line="240" w:lineRule="auto"/>
        <w:ind w:firstLine="709"/>
        <w:jc w:val="both"/>
      </w:pPr>
      <w:r>
        <w:rPr>
          <w:rFonts w:ascii="Times New Roman" w:hAnsi="Times New Roman"/>
          <w:sz w:val="28"/>
          <w:szCs w:val="28"/>
        </w:rPr>
        <w:t xml:space="preserve">[19] Примечание. Для обезжиривания, вымытые и высушенные стекла помещают в герметически закрытые емкости со смесью Никифорова (смесь в соотношении 1:1 этилового спирта 96% и эфира) или с 96 %-м этиловым спиртом. Стекла должны подвергаться обезжириванию не менее суток.</w:t>
      </w:r>
    </w:p>
    <w:p>
      <w:pPr>
        <w:widowControl w:val="0"/>
        <w:spacing w:before="0" w:after="60" w:line="240" w:lineRule="auto"/>
        <w:ind w:firstLine="709"/>
        <w:jc w:val="both"/>
      </w:pPr>
      <w:r>
        <w:rPr>
          <w:rFonts w:ascii="Times New Roman" w:hAnsi="Times New Roman"/>
          <w:sz w:val="28"/>
          <w:szCs w:val="28"/>
        </w:rPr>
        <w:t xml:space="preserve">[20] См. сноску 16.</w:t>
      </w:r>
    </w:p>
    <w:p>
      <w:pPr>
        <w:widowControl w:val="0"/>
        <w:spacing w:before="0" w:after="60" w:line="240" w:lineRule="auto"/>
        <w:ind w:firstLine="709"/>
        <w:jc w:val="both"/>
      </w:pPr>
      <w:r>
        <w:rPr>
          <w:rFonts w:ascii="Times New Roman" w:hAnsi="Times New Roman"/>
          <w:sz w:val="28"/>
          <w:szCs w:val="28"/>
        </w:rPr>
        <w:t xml:space="preserve">[21] См. сноску 17.</w:t>
      </w:r>
    </w:p>
    <w:p>
      <w:pPr>
        <w:widowControl w:val="0"/>
        <w:spacing w:before="0" w:after="60" w:line="240" w:lineRule="auto"/>
        <w:ind w:firstLine="709"/>
        <w:jc w:val="both"/>
      </w:pPr>
      <w:r>
        <w:rPr>
          <w:rFonts w:ascii="Times New Roman" w:hAnsi="Times New Roman"/>
          <w:sz w:val="28"/>
          <w:szCs w:val="28"/>
        </w:rPr>
        <w:t xml:space="preserve">[22] См. сноску 18.</w:t>
      </w:r>
    </w:p>
    <w:p>
      <w:pPr>
        <w:widowControl w:val="0"/>
        <w:spacing w:before="0" w:after="60" w:line="240" w:lineRule="auto"/>
        <w:ind w:firstLine="709"/>
        <w:jc w:val="both"/>
      </w:pPr>
      <w:r>
        <w:rPr>
          <w:rFonts w:ascii="Times New Roman" w:hAnsi="Times New Roman"/>
          <w:sz w:val="28"/>
          <w:szCs w:val="28"/>
        </w:rPr>
        <w:t xml:space="preserve">[23] Примечание. Для микроскопирования препаратов возможно использование Комплексов цифрового анализа микропрепаратов с программным модулем по паразитологии (типа МЕКОС).</w:t>
      </w:r>
    </w:p>
    <w:p>
      <w:pPr>
        <w:widowControl w:val="0"/>
        <w:spacing w:before="0" w:after="60" w:line="240" w:lineRule="auto"/>
        <w:ind w:firstLine="709"/>
        <w:jc w:val="both"/>
      </w:pPr>
      <w:r>
        <w:rPr>
          <w:rFonts w:ascii="Times New Roman" w:hAnsi="Times New Roman"/>
          <w:sz w:val="28"/>
          <w:szCs w:val="28"/>
        </w:rPr>
        <w:t xml:space="preserve">[24] Таблицы 4.6, 6.17 главы IV СанПиН 1.2.3685–21.</w:t>
      </w:r>
    </w:p>
    <w:p>
      <w:pPr>
        <w:widowControl w:val="0"/>
        <w:spacing w:before="0" w:after="60" w:line="240" w:lineRule="auto"/>
        <w:ind w:firstLine="709"/>
        <w:jc w:val="both"/>
      </w:pPr>
      <w:r>
        <w:rPr>
          <w:rFonts w:ascii="Times New Roman" w:hAnsi="Times New Roman"/>
          <w:sz w:val="28"/>
          <w:szCs w:val="28"/>
        </w:rPr>
        <w:t xml:space="preserve">[25] См. сноску 24.</w:t>
      </w:r>
    </w:p>
    <w:p>
      <w:pPr>
        <w:widowControl w:val="0"/>
        <w:spacing w:before="0" w:after="60" w:line="240" w:lineRule="auto"/>
        <w:ind w:firstLine="709"/>
        <w:jc w:val="both"/>
      </w:pPr>
      <w:r>
        <w:rPr>
          <w:rFonts w:ascii="Times New Roman" w:hAnsi="Times New Roman"/>
          <w:sz w:val="28"/>
          <w:szCs w:val="28"/>
        </w:rPr>
        <w:t xml:space="preserve">[26] Примечание. В случае отсутствия яиц и личинок гельминтов, цист (ооцист) патогенных кишечных простейших результат выдают следующим образом: «Не обнаружено».</w:t>
      </w:r>
    </w:p>
    <w:p>
      <w:pPr>
        <w:widowControl w:val="0"/>
        <w:spacing w:before="0" w:after="60" w:line="240" w:lineRule="auto"/>
        <w:ind w:firstLine="709"/>
        <w:jc w:val="both"/>
      </w:pPr>
      <w:r>
        <w:rPr>
          <w:rFonts w:ascii="Times New Roman" w:hAnsi="Times New Roman"/>
          <w:sz w:val="28"/>
          <w:szCs w:val="28"/>
        </w:rPr>
        <w:t xml:space="preserve">[27] См. сноску 14.</w:t>
      </w:r>
    </w:p>
    <w:p>
      <w:pPr>
        <w:widowControl w:val="0"/>
        <w:spacing w:before="0" w:after="60" w:line="240" w:lineRule="auto"/>
        <w:ind w:firstLine="709"/>
        <w:jc w:val="both"/>
      </w:pPr>
      <w:r>
        <w:rPr>
          <w:rFonts w:ascii="Times New Roman" w:hAnsi="Times New Roman"/>
          <w:sz w:val="28"/>
          <w:szCs w:val="28"/>
        </w:rPr>
        <w:t xml:space="preserve">[28] Примечание. Исследования на цисты патогенных простейших методом Падченко (1992) осадков сточных вод и донных отложений представлены, как альтернативные, с возможностью выбора для лабораторий.</w:t>
      </w:r>
    </w:p>
    <w:p>
      <w:pPr>
        <w:widowControl w:val="0"/>
        <w:spacing w:before="0" w:after="60" w:line="240" w:lineRule="auto"/>
        <w:ind w:firstLine="709"/>
        <w:jc w:val="both"/>
      </w:pPr>
      <w:r>
        <w:rPr>
          <w:rFonts w:ascii="Times New Roman" w:hAnsi="Times New Roman"/>
          <w:sz w:val="28"/>
          <w:szCs w:val="28"/>
        </w:rPr>
        <w:t xml:space="preserve">[29] Табл. 3.7 – 3.10 СанПиН 1.2.3685–21, Приложение 36 к СанПиН 3.3686–21.</w:t>
      </w:r>
    </w:p>
    <w:p>
      <w:pPr>
        <w:widowControl w:val="0"/>
        <w:spacing w:before="0" w:after="60" w:line="240" w:lineRule="auto"/>
        <w:ind w:firstLine="709"/>
        <w:jc w:val="both"/>
      </w:pPr>
      <w:r>
        <w:rPr>
          <w:rFonts w:ascii="Times New Roman" w:hAnsi="Times New Roman"/>
          <w:sz w:val="28"/>
          <w:szCs w:val="28"/>
        </w:rPr>
        <w:t xml:space="preserve">[30] См. сноску 12.</w:t>
      </w:r>
    </w:p>
    <w:p>
      <w:pPr>
        <w:widowControl w:val="0"/>
        <w:spacing w:before="0" w:after="60" w:line="240" w:lineRule="auto"/>
        <w:ind w:firstLine="709"/>
        <w:jc w:val="both"/>
      </w:pPr>
      <w:r>
        <w:rPr>
          <w:rFonts w:ascii="Times New Roman" w:hAnsi="Times New Roman"/>
          <w:sz w:val="28"/>
          <w:szCs w:val="28"/>
        </w:rPr>
        <w:t xml:space="preserve">[31] Примечание. Исследование на цисты (ооцисты) патогенных кишечных простейших методом Падченко (1992) сточных вод представлено, как альтернативное, с возможностью выбора для лабораторий.</w:t>
      </w:r>
    </w:p>
    <w:p>
      <w:pPr>
        <w:widowControl w:val="0"/>
        <w:spacing w:before="0" w:after="60" w:line="240" w:lineRule="auto"/>
        <w:ind w:firstLine="709"/>
        <w:jc w:val="both"/>
      </w:pPr>
      <w:r>
        <w:rPr>
          <w:rFonts w:ascii="Times New Roman" w:hAnsi="Times New Roman"/>
          <w:sz w:val="28"/>
          <w:szCs w:val="28"/>
        </w:rPr>
        <w:t xml:space="preserve">[32] Примечание. Фильтрование питьевой воды допускается без применения предфильтра только через АТМ с диаметром пор 2,5 мкм.</w:t>
      </w:r>
    </w:p>
    <w:p>
      <w:pPr>
        <w:widowControl w:val="0"/>
        <w:spacing w:before="0" w:after="60" w:line="240" w:lineRule="auto"/>
        <w:ind w:firstLine="709"/>
        <w:jc w:val="both"/>
      </w:pPr>
      <w:r>
        <w:rPr>
          <w:rFonts w:ascii="Times New Roman" w:hAnsi="Times New Roman"/>
          <w:sz w:val="28"/>
          <w:szCs w:val="28"/>
        </w:rPr>
        <w:t xml:space="preserve">[33] Примечание. При отсутствии прибора вакуумного фильтрования, снабженного двумя фриттами, размещенными одна под другой, вода фильтруется в отдельную емкость.</w:t>
      </w:r>
    </w:p>
    <w:p>
      <w:pPr>
        <w:widowControl w:val="0"/>
        <w:spacing w:before="0" w:after="60" w:line="240" w:lineRule="auto"/>
        <w:ind w:firstLine="709"/>
        <w:jc w:val="both"/>
      </w:pPr>
      <w:r>
        <w:rPr>
          <w:rFonts w:ascii="Times New Roman" w:hAnsi="Times New Roman"/>
          <w:sz w:val="28"/>
          <w:szCs w:val="28"/>
        </w:rPr>
        <w:t xml:space="preserve">[34] Примечание. При использовании прибора вакуумного фильтрования, снабженного двумя фриттами, размещенными одна под другой, также снять АТМ (2,5 мкм).</w:t>
      </w:r>
    </w:p>
    <w:p>
      <w:pPr>
        <w:widowControl w:val="0"/>
        <w:spacing w:before="0" w:after="60" w:line="240" w:lineRule="auto"/>
        <w:ind w:firstLine="709"/>
        <w:jc w:val="both"/>
      </w:pPr>
      <w:r>
        <w:rPr>
          <w:rFonts w:ascii="Times New Roman" w:hAnsi="Times New Roman"/>
          <w:sz w:val="28"/>
          <w:szCs w:val="28"/>
        </w:rPr>
        <w:t xml:space="preserve">[35] Примечание. При отсутствии ПВФ-35 или ПВФ-47 фильтровать воду допустимо с помощью ПВФ-142 с последующим разрезанием АТМ на полоски, соответствующим размеру предметного стекла для микроскопии.</w:t>
      </w:r>
    </w:p>
    <w:p>
      <w:pPr>
        <w:widowControl w:val="0"/>
        <w:spacing w:before="0" w:after="60" w:line="240" w:lineRule="auto"/>
        <w:ind w:firstLine="709"/>
        <w:jc w:val="both"/>
      </w:pPr>
      <w:r>
        <w:rPr>
          <w:rFonts w:ascii="Times New Roman" w:hAnsi="Times New Roman"/>
          <w:sz w:val="28"/>
          <w:szCs w:val="28"/>
        </w:rPr>
        <w:t xml:space="preserve">[36] Примечание. Рекомендуется одновременно проводить исследование не более 4 – 5 пробирок, т.к. при большем количестве исследований увеличивается время экспозиции, что может привести к кристаллизации флотационного раствора и высыханию капли.</w:t>
      </w:r>
    </w:p>
    <w:p>
      <w:pPr>
        <w:widowControl w:val="0"/>
        <w:spacing w:before="0" w:after="60" w:line="240" w:lineRule="auto"/>
        <w:ind w:firstLine="709"/>
        <w:jc w:val="both"/>
      </w:pPr>
      <w:r>
        <w:rPr>
          <w:rFonts w:ascii="Times New Roman" w:hAnsi="Times New Roman"/>
          <w:sz w:val="28"/>
          <w:szCs w:val="28"/>
        </w:rPr>
        <w:t xml:space="preserve">[37] Примечание: допускается использование устройств и материалов с аналогичными или лучшими техническими характеристиками. Все иммунореагенты и буферные растворы диагностического набора перед использованием необходимо довести до комнатной температуры (выдержать не менее 1 часа при комнатной температуре).</w:t>
      </w:r>
    </w:p>
    <w:p>
      <w:pPr>
        <w:widowControl w:val="0"/>
        <w:spacing w:before="0" w:after="60" w:line="240" w:lineRule="auto"/>
        <w:ind w:firstLine="709"/>
        <w:jc w:val="both"/>
      </w:pPr>
      <w:r>
        <w:rPr>
          <w:rFonts w:ascii="Times New Roman" w:hAnsi="Times New Roman"/>
          <w:sz w:val="28"/>
          <w:szCs w:val="28"/>
        </w:rPr>
        <w:t xml:space="preserve">[38] Примечание: для фиксации цист на слайде внести в каждое окно слайда по 45 мкл абсолютного метанола и высушить (примерно 30 мин). После фиксации метанолом интенсивность флуоресценции DAPI возрастает.</w:t>
      </w:r>
    </w:p>
    <w:p>
      <w:pPr>
        <w:widowControl w:val="0"/>
        <w:spacing w:before="0" w:after="60" w:line="240" w:lineRule="auto"/>
        <w:ind w:firstLine="709"/>
        <w:jc w:val="both"/>
      </w:pPr>
      <w:r>
        <w:rPr>
          <w:rFonts w:ascii="Times New Roman" w:hAnsi="Times New Roman"/>
          <w:sz w:val="28"/>
          <w:szCs w:val="28"/>
        </w:rPr>
        <w:t xml:space="preserve">[39] Примечание: Если окрашивание DAPI кажется слабым, время реакции может быть увеличено с 1 минуты до 4 минут.</w:t>
      </w:r>
    </w:p>
    <w:p>
      <w:pPr>
        <w:widowControl w:val="0"/>
        <w:spacing w:before="0" w:after="60" w:line="240" w:lineRule="auto"/>
        <w:ind w:firstLine="709"/>
        <w:jc w:val="both"/>
      </w:pPr>
      <w:r>
        <w:rPr>
          <w:rFonts w:ascii="Times New Roman" w:hAnsi="Times New Roman"/>
          <w:sz w:val="28"/>
          <w:szCs w:val="28"/>
        </w:rPr>
        <w:t xml:space="preserve">[40] Примечание: допускается более длительное время инкубации.</w:t>
      </w:r>
    </w:p>
    <w:p>
      <w:pPr>
        <w:widowControl w:val="0"/>
        <w:spacing w:before="0" w:after="60" w:line="240" w:lineRule="auto"/>
        <w:ind w:firstLine="709"/>
        <w:jc w:val="both"/>
      </w:pPr>
      <w:r>
        <w:rPr>
          <w:rFonts w:ascii="Times New Roman" w:hAnsi="Times New Roman"/>
          <w:sz w:val="28"/>
          <w:szCs w:val="28"/>
        </w:rPr>
        <w:t xml:space="preserve">[41] Примечание: меченые препараты, защищенные средой, хранятся в темноте при температуре плюс 5 (±3) °С в течение 6 месяцев. Замораживание не допускается.</w:t>
      </w:r>
    </w:p>
    <w:p>
      <w:pPr>
        <w:widowControl w:val="0"/>
        <w:spacing w:before="0" w:after="60" w:line="240" w:lineRule="auto"/>
        <w:ind w:firstLine="709"/>
        <w:jc w:val="both"/>
      </w:pPr>
      <w:r>
        <w:rPr>
          <w:rFonts w:ascii="Times New Roman" w:hAnsi="Times New Roman"/>
          <w:sz w:val="28"/>
          <w:szCs w:val="28"/>
        </w:rPr>
        <w:t xml:space="preserve">[42] Примечание: При отсутствии люминесцентного микроскопа возможно использование насадки для перевода оптического микроскопа в режим флуоресцентной микроскопии.</w:t>
      </w:r>
    </w:p>
    <w:p>
      <w:pPr>
        <w:widowControl w:val="0"/>
        <w:spacing w:before="0" w:after="60" w:line="240" w:lineRule="auto"/>
        <w:ind w:firstLine="709"/>
        <w:jc w:val="both"/>
      </w:pPr>
      <w:r>
        <w:rPr>
          <w:rFonts w:ascii="Times New Roman" w:hAnsi="Times New Roman"/>
          <w:sz w:val="28"/>
          <w:szCs w:val="28"/>
        </w:rPr>
        <w:t xml:space="preserve">[43] Примечание: Пример коммерческих наборов для выделения ДНК: РИБО-преп, ДНК-Сорб-С-М.</w:t>
      </w:r>
    </w:p>
    <w:p>
      <w:pPr>
        <w:widowControl w:val="0"/>
        <w:spacing w:before="0" w:after="60" w:line="240" w:lineRule="auto"/>
        <w:ind w:firstLine="709"/>
        <w:jc w:val="both"/>
      </w:pPr>
      <w:r>
        <w:rPr>
          <w:rFonts w:ascii="Times New Roman" w:hAnsi="Times New Roman"/>
          <w:sz w:val="28"/>
          <w:szCs w:val="28"/>
        </w:rPr>
        <w:t xml:space="preserve">[44] МУК 4.2.3145–13.</w:t>
      </w:r>
    </w:p>
    <w:p>
      <w:pPr>
        <w:widowControl w:val="0"/>
        <w:spacing w:before="0" w:after="60" w:line="240" w:lineRule="auto"/>
        <w:ind w:firstLine="709"/>
        <w:jc w:val="both"/>
      </w:pPr>
      <w:r>
        <w:rPr>
          <w:rFonts w:ascii="Times New Roman" w:hAnsi="Times New Roman"/>
          <w:sz w:val="28"/>
          <w:szCs w:val="28"/>
        </w:rPr>
        <w:t xml:space="preserve">[45] Примечание. Допускается использование средств измерений, вспомогательного оборудования и материалов с аналогичными или лучшими характеристиками; допускается использование реагентов, реактивов, расходных материалов, флюорогенных диагностических препаратов и тест-систем с аналогичными характеристиками, зарегистрированных и разрешенных к применению в установленном порядке.</w:t>
      </w:r>
    </w:p>
    <w:p>
      <w:pPr>
        <w:widowControl w:val="0"/>
        <w:spacing w:before="0" w:after="60" w:line="240" w:lineRule="auto"/>
        <w:ind w:firstLine="709"/>
        <w:jc w:val="both"/>
      </w:pPr>
      <w:r>
        <w:rPr>
          <w:rFonts w:ascii="Times New Roman" w:hAnsi="Times New Roman"/>
          <w:sz w:val="28"/>
          <w:szCs w:val="28"/>
        </w:rPr>
        <w:t xml:space="preserve">[46] Примечание. По аналогичному алгоритму осуществляют концентрирование пробы воды сульфатом меди (CuSO4 × 5H2O) или сульфатом алюминия (Al2(SO4)3 × 18H2O).</w:t>
      </w:r>
    </w:p>
    <w:p>
      <w:pPr>
        <w:spacing w:after="0"/>
      </w:pPr>
    </w:p>
    <w:sectPr w:rsidR="003F0FAB" w:rsidRPr="00A121F2">
      <w:headerReference w:type="even" r:id="rId38"/>
      <w:headerReference w:type="default" r:id="rId39"/>
      <w:headerReference w:type="first" r:id="rId40"/>
      <w:pgSz w:w="11906" w:h="16838"/>
      <w:pgMar w:top="1134" w:right="851" w:bottom="851" w:left="1134" w:header="851" w:footer="720" w:gutter="0"/>
      <w:cols w:space="72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7CF7C" w14:textId="77777777" w:rsidR="006A29F7" w:rsidRDefault="006A29F7">
      <w:pPr>
        <w:spacing w:after="0" w:line="240" w:lineRule="auto"/>
      </w:pPr>
      <w:r>
        <w:separator/>
      </w:r>
    </w:p>
  </w:endnote>
  <w:endnote w:type="continuationSeparator" w:id="0">
    <w:p w14:paraId="2687D6D1" w14:textId="77777777" w:rsidR="006A29F7" w:rsidRDefault="006A2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CC"/>
    <w:family w:val="roman"/>
    <w:pitch w:val="variable"/>
    <w:sig w:usb0="00000000"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Bold">
    <w:altName w:val="Times New Roman"/>
    <w:charset w:val="CC"/>
    <w:family w:val="roman"/>
    <w:pitch w:val="variable"/>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Microsoft Sans Serif"/>
    <w:charset w:val="CC"/>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PT Astra Serif">
    <w:altName w:val="Times New Roman"/>
    <w:charset w:val="01"/>
    <w:family w:val="roman"/>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Mono">
    <w:altName w:val="Courier New"/>
    <w:charset w:val="CC"/>
    <w:family w:val="modern"/>
    <w:pitch w:val="default"/>
  </w:font>
  <w:font w:name="TimesNewRomanPSMT">
    <w:altName w:val="MS Gothic"/>
    <w:panose1 w:val="00000000000000000000"/>
    <w:charset w:val="80"/>
    <w:family w:val="auto"/>
    <w:notTrueType/>
    <w:pitch w:val="default"/>
    <w:sig w:usb0="00000000"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4BCA8" w14:textId="77777777" w:rsidR="006A29F7" w:rsidRDefault="006A29F7">
      <w:pPr>
        <w:spacing w:after="0" w:line="240" w:lineRule="auto"/>
      </w:pPr>
      <w:r>
        <w:separator/>
      </w:r>
    </w:p>
  </w:footnote>
  <w:footnote w:type="continuationSeparator" w:id="0">
    <w:p w14:paraId="6BF10589" w14:textId="77777777" w:rsidR="006A29F7" w:rsidRDefault="006A29F7">
      <w:pPr>
        <w:spacing w:after="0" w:line="240" w:lineRule="auto"/>
      </w:pPr>
      <w:r>
        <w:continuationSeparator/>
      </w:r>
    </w:p>
  </w:footnote>
  <w:footnote w:id="1">
    <w:p w14:paraId="73F52B8A" w14:textId="77777777" w:rsidR="005C7FD6" w:rsidRDefault="005C7FD6">
      <w:pPr>
        <w:spacing w:after="0" w:line="240" w:lineRule="auto"/>
        <w:jc w:val="both"/>
      </w:pPr>
      <w:r>
        <w:rPr>
          <w:rStyle w:val="ab"/>
          <w:rFonts w:ascii="Times New Roman" w:hAnsi="Times New Roman"/>
        </w:rPr>
        <w:footnoteRef/>
      </w:r>
      <w:r>
        <w:rPr>
          <w:rFonts w:ascii="Times New Roman" w:hAnsi="Times New Roman" w:cs="Times New Roman"/>
          <w:sz w:val="24"/>
          <w:szCs w:val="24"/>
        </w:rPr>
        <w:t xml:space="preserve"> Глава XLIII СанПиН 3.3686-21 «Санитарно-эпидемиологические требования по профилактике инфекционных болезней», утвержденных постановлением Главного государственного санитарного врача Российской Федерации от 28.01.2021 № 4 (зарегистрировано Минюстом России 15.02.2021, регистрационный № 62500), с изменениями, внесенными постановлениями Главного государственного санитарного врача Российской Федерации от 11.02.2022 № 5 (зарегистрировано Минюстом России 01.03.2022, регистрационный № 67587); от 25.05.2022 № 16 (зарегистрировано Минюстом России 21.06.2022, регистрационный № 68934) (далее – СанПиН 3.3686-21)</w:t>
      </w:r>
      <w:r>
        <w:rPr>
          <w:rFonts w:ascii="Times New Roman" w:hAnsi="Times New Roman" w:cs="Times New Roman"/>
          <w:color w:val="1A1A1A"/>
          <w:sz w:val="24"/>
          <w:szCs w:val="24"/>
        </w:rPr>
        <w:t xml:space="preserve">; </w:t>
      </w:r>
      <w:r>
        <w:rPr>
          <w:rFonts w:ascii="Times New Roman" w:hAnsi="Times New Roman" w:cs="Times New Roman"/>
          <w:sz w:val="24"/>
          <w:szCs w:val="24"/>
        </w:rPr>
        <w:t xml:space="preserve">Глава </w:t>
      </w:r>
      <w:r>
        <w:rPr>
          <w:rFonts w:ascii="Times New Roman" w:hAnsi="Times New Roman" w:cs="Times New Roman"/>
          <w:sz w:val="24"/>
          <w:szCs w:val="24"/>
          <w:lang w:val="en-US"/>
        </w:rPr>
        <w:t>V</w:t>
      </w:r>
      <w:r>
        <w:rPr>
          <w:rFonts w:ascii="Times New Roman" w:hAnsi="Times New Roman" w:cs="Times New Roman"/>
          <w:sz w:val="24"/>
          <w:szCs w:val="24"/>
        </w:rPr>
        <w:t>,</w:t>
      </w:r>
      <w:r>
        <w:rPr>
          <w:rFonts w:ascii="Times New Roman" w:hAnsi="Times New Roman" w:cs="Times New Roman"/>
          <w:sz w:val="24"/>
          <w:szCs w:val="24"/>
          <w:lang w:val="en-US"/>
        </w:rPr>
        <w:t>VI</w:t>
      </w:r>
      <w:r>
        <w:rPr>
          <w:rFonts w:ascii="Times New Roman" w:hAnsi="Times New Roman" w:cs="Times New Roman"/>
          <w:sz w:val="24"/>
          <w:szCs w:val="24"/>
        </w:rPr>
        <w:t>,</w:t>
      </w:r>
      <w:r>
        <w:rPr>
          <w:rFonts w:ascii="Times New Roman" w:hAnsi="Times New Roman" w:cs="Times New Roman"/>
          <w:sz w:val="24"/>
          <w:szCs w:val="24"/>
          <w:lang w:val="en-US"/>
        </w:rPr>
        <w:t>VII</w:t>
      </w:r>
      <w:r>
        <w:rPr>
          <w:rFonts w:ascii="Times New Roman" w:hAnsi="Times New Roman" w:cs="Times New Roman"/>
          <w:sz w:val="24"/>
          <w:szCs w:val="24"/>
        </w:rPr>
        <w:t xml:space="preserve">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утвержденных п</w:t>
      </w:r>
      <w:r>
        <w:rPr>
          <w:rFonts w:ascii="Times New Roman" w:hAnsi="Times New Roman" w:cs="Times New Roman"/>
          <w:color w:val="1A1A1A"/>
          <w:sz w:val="24"/>
          <w:szCs w:val="24"/>
        </w:rPr>
        <w:t xml:space="preserve">остановлением Главного государственного санитарного врача </w:t>
      </w:r>
      <w:r>
        <w:rPr>
          <w:rFonts w:ascii="Times New Roman" w:hAnsi="Times New Roman" w:cs="Times New Roman"/>
          <w:sz w:val="24"/>
          <w:szCs w:val="24"/>
        </w:rPr>
        <w:t>Российской Федерации</w:t>
      </w:r>
      <w:r>
        <w:rPr>
          <w:rFonts w:ascii="Times New Roman" w:hAnsi="Times New Roman" w:cs="Times New Roman"/>
          <w:color w:val="1A1A1A"/>
          <w:sz w:val="24"/>
          <w:szCs w:val="24"/>
        </w:rPr>
        <w:t xml:space="preserve"> от 28.01.2021 г. </w:t>
      </w:r>
      <w:r>
        <w:rPr>
          <w:rFonts w:ascii="Times New Roman" w:hAnsi="Times New Roman" w:cs="Times New Roman"/>
          <w:sz w:val="24"/>
          <w:szCs w:val="24"/>
        </w:rPr>
        <w:t>№</w:t>
      </w:r>
      <w:r>
        <w:rPr>
          <w:rFonts w:ascii="Times New Roman" w:hAnsi="Times New Roman" w:cs="Times New Roman"/>
          <w:color w:val="1A1A1A"/>
          <w:sz w:val="24"/>
          <w:szCs w:val="24"/>
        </w:rPr>
        <w:t xml:space="preserve"> 3 </w:t>
      </w:r>
      <w:r>
        <w:rPr>
          <w:rFonts w:ascii="Times New Roman" w:hAnsi="Times New Roman" w:cs="Times New Roman"/>
          <w:sz w:val="24"/>
          <w:szCs w:val="24"/>
        </w:rPr>
        <w:t xml:space="preserve">(зарегистрировано Минюстом России </w:t>
      </w:r>
      <w:r>
        <w:rPr>
          <w:rFonts w:ascii="Times New Roman" w:hAnsi="Times New Roman" w:cs="Times New Roman"/>
          <w:color w:val="1A1A1A"/>
          <w:sz w:val="24"/>
          <w:szCs w:val="24"/>
        </w:rPr>
        <w:t xml:space="preserve">29.01.2021 г., </w:t>
      </w:r>
      <w:r>
        <w:rPr>
          <w:rFonts w:ascii="Times New Roman" w:hAnsi="Times New Roman" w:cs="Times New Roman"/>
          <w:sz w:val="24"/>
          <w:szCs w:val="24"/>
        </w:rPr>
        <w:t>регистрационный №</w:t>
      </w:r>
      <w:r>
        <w:rPr>
          <w:rFonts w:ascii="Times New Roman" w:hAnsi="Times New Roman" w:cs="Times New Roman"/>
          <w:color w:val="1A1A1A"/>
          <w:sz w:val="24"/>
          <w:szCs w:val="24"/>
        </w:rPr>
        <w:t xml:space="preserve">62297) </w:t>
      </w:r>
      <w:r>
        <w:rPr>
          <w:rFonts w:ascii="Times New Roman" w:hAnsi="Times New Roman" w:cs="Times New Roman"/>
          <w:sz w:val="24"/>
          <w:szCs w:val="24"/>
        </w:rPr>
        <w:t>(далее – СанПиН 2.1.3684-21)</w:t>
      </w:r>
      <w:r>
        <w:rPr>
          <w:rFonts w:ascii="Times New Roman" w:hAnsi="Times New Roman" w:cs="Times New Roman"/>
          <w:color w:val="1A1A1A"/>
          <w:sz w:val="24"/>
          <w:szCs w:val="24"/>
        </w:rPr>
        <w:t xml:space="preserve">; </w:t>
      </w:r>
      <w:r>
        <w:rPr>
          <w:rFonts w:ascii="Times New Roman" w:hAnsi="Times New Roman" w:cs="Times New Roman"/>
          <w:sz w:val="24"/>
          <w:szCs w:val="24"/>
        </w:rPr>
        <w:t>Глава III СанПиН 1.2.3685–21 «Гигиенические нормативы и требования к обеспечению безопасности и (или) безвредности для человека факторов среды обитания», утвержденных п</w:t>
      </w:r>
      <w:r>
        <w:rPr>
          <w:rFonts w:ascii="Times New Roman" w:hAnsi="Times New Roman" w:cs="Times New Roman"/>
          <w:color w:val="1A1A1A"/>
          <w:sz w:val="24"/>
          <w:szCs w:val="24"/>
        </w:rPr>
        <w:t xml:space="preserve">остановлением Главного государственного санитарного врача </w:t>
      </w:r>
      <w:r>
        <w:rPr>
          <w:rFonts w:ascii="Times New Roman" w:hAnsi="Times New Roman" w:cs="Times New Roman"/>
          <w:sz w:val="24"/>
          <w:szCs w:val="24"/>
        </w:rPr>
        <w:t>Российской Федерации</w:t>
      </w:r>
      <w:r>
        <w:rPr>
          <w:rFonts w:ascii="Times New Roman" w:hAnsi="Times New Roman" w:cs="Times New Roman"/>
          <w:color w:val="1A1A1A"/>
          <w:sz w:val="24"/>
          <w:szCs w:val="24"/>
        </w:rPr>
        <w:t xml:space="preserve"> от 28.01.2021 </w:t>
      </w:r>
      <w:r>
        <w:rPr>
          <w:rFonts w:ascii="Times New Roman" w:hAnsi="Times New Roman" w:cs="Times New Roman"/>
          <w:sz w:val="24"/>
          <w:szCs w:val="24"/>
        </w:rPr>
        <w:t>№</w:t>
      </w:r>
      <w:r>
        <w:rPr>
          <w:rFonts w:ascii="Times New Roman" w:hAnsi="Times New Roman" w:cs="Times New Roman"/>
          <w:color w:val="1A1A1A"/>
          <w:sz w:val="24"/>
          <w:szCs w:val="24"/>
        </w:rPr>
        <w:t xml:space="preserve"> 2</w:t>
      </w:r>
      <w:r>
        <w:rPr>
          <w:rFonts w:ascii="Times New Roman" w:hAnsi="Times New Roman" w:cs="Times New Roman"/>
          <w:sz w:val="24"/>
          <w:szCs w:val="24"/>
        </w:rPr>
        <w:t xml:space="preserve"> (зарегистрировано Минюстом России </w:t>
      </w:r>
      <w:r>
        <w:rPr>
          <w:rFonts w:ascii="Times New Roman" w:hAnsi="Times New Roman" w:cs="Times New Roman"/>
          <w:color w:val="1A1A1A"/>
          <w:sz w:val="24"/>
          <w:szCs w:val="24"/>
        </w:rPr>
        <w:t xml:space="preserve">29.01.2021 г., </w:t>
      </w:r>
      <w:r>
        <w:rPr>
          <w:rFonts w:ascii="Times New Roman" w:hAnsi="Times New Roman" w:cs="Times New Roman"/>
          <w:sz w:val="24"/>
          <w:szCs w:val="24"/>
        </w:rPr>
        <w:t>регистрационный №</w:t>
      </w:r>
      <w:r>
        <w:rPr>
          <w:rFonts w:ascii="Times New Roman" w:hAnsi="Times New Roman" w:cs="Times New Roman"/>
          <w:color w:val="1A1A1A"/>
          <w:sz w:val="24"/>
          <w:szCs w:val="24"/>
        </w:rPr>
        <w:t xml:space="preserve"> 62296</w:t>
      </w:r>
      <w:r>
        <w:rPr>
          <w:rFonts w:ascii="Times New Roman" w:hAnsi="Times New Roman" w:cs="Times New Roman"/>
          <w:sz w:val="24"/>
          <w:szCs w:val="24"/>
        </w:rPr>
        <w:t>)</w:t>
      </w:r>
      <w:r>
        <w:rPr>
          <w:rFonts w:ascii="Times New Roman" w:hAnsi="Times New Roman" w:cs="Times New Roman"/>
          <w:color w:val="1A1A1A"/>
          <w:sz w:val="24"/>
          <w:szCs w:val="24"/>
        </w:rPr>
        <w:t xml:space="preserve"> </w:t>
      </w:r>
      <w:r>
        <w:rPr>
          <w:rFonts w:ascii="Times New Roman" w:hAnsi="Times New Roman" w:cs="Times New Roman"/>
          <w:sz w:val="24"/>
          <w:szCs w:val="24"/>
        </w:rPr>
        <w:t>(далее – СанПиН 1.2.3685–21).</w:t>
      </w:r>
    </w:p>
  </w:footnote>
  <w:footnote w:id="2">
    <w:p w14:paraId="1F94477E" w14:textId="77777777" w:rsidR="005C7FD6" w:rsidRDefault="005C7FD6">
      <w:pPr>
        <w:suppressAutoHyphens w:val="0"/>
        <w:spacing w:after="0" w:line="240" w:lineRule="auto"/>
        <w:jc w:val="both"/>
      </w:pPr>
      <w:r>
        <w:rPr>
          <w:rStyle w:val="ab"/>
          <w:rFonts w:ascii="Times New Roman" w:hAnsi="Times New Roman"/>
        </w:rPr>
        <w:footnoteRef/>
      </w:r>
      <w:r>
        <w:rPr>
          <w:rFonts w:ascii="Times New Roman" w:hAnsi="Times New Roman" w:cs="Times New Roman"/>
          <w:sz w:val="24"/>
          <w:szCs w:val="24"/>
        </w:rPr>
        <w:t xml:space="preserve"> МУК 4.2.3964-23 «Методы лабораторных исследований объектов окружающей среды и биологического материала человека на наличие ооцист криптоспоридий», утвержденные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01.12.2023 г. (далее МУК 4.2. 3964-23); МУК 4.2.3016-12 «Санитарно-паразитологические исследования плодоовощной, плодово-ягодной и растительной продукции»,</w:t>
      </w:r>
      <w:r>
        <w:rPr>
          <w:rFonts w:ascii="Times New Roman" w:hAnsi="Times New Roman" w:cs="Times New Roman"/>
          <w:color w:val="000000"/>
          <w:sz w:val="24"/>
          <w:szCs w:val="24"/>
        </w:rPr>
        <w:t xml:space="preserve"> утвержденные Руководителем Федеральной службы по </w:t>
      </w:r>
      <w:r>
        <w:rPr>
          <w:rFonts w:ascii="Times New Roman" w:hAnsi="Times New Roman" w:cs="Times New Roman"/>
          <w:color w:val="1A1A1A"/>
          <w:sz w:val="24"/>
          <w:szCs w:val="24"/>
        </w:rPr>
        <w:t>надзору в сфере защиты прав потребителей и благополучия человека,</w:t>
      </w:r>
      <w:r>
        <w:rPr>
          <w:rFonts w:ascii="Times New Roman" w:hAnsi="Times New Roman" w:cs="Times New Roman"/>
          <w:sz w:val="24"/>
          <w:szCs w:val="24"/>
        </w:rPr>
        <w:t xml:space="preserve"> Главным государственным санитарным врачом Российской Федерации</w:t>
      </w:r>
      <w:r>
        <w:rPr>
          <w:rFonts w:ascii="Times New Roman" w:hAnsi="Times New Roman" w:cs="Times New Roman"/>
          <w:color w:val="1A1A1A"/>
          <w:sz w:val="24"/>
          <w:szCs w:val="24"/>
        </w:rPr>
        <w:t xml:space="preserve"> 12.05.2012 г; </w:t>
      </w:r>
      <w:r>
        <w:rPr>
          <w:rFonts w:ascii="Times New Roman" w:hAnsi="Times New Roman" w:cs="Times New Roman"/>
          <w:sz w:val="24"/>
          <w:szCs w:val="24"/>
        </w:rPr>
        <w:t xml:space="preserve">МУК 4.2.2959-11 «Методы санитарно-микробиологического и санитарно-паразитологического анализа прибрежных вод морей в местах водопользования населения» </w:t>
      </w:r>
      <w:r>
        <w:rPr>
          <w:rFonts w:ascii="Times New Roman" w:hAnsi="Times New Roman" w:cs="Times New Roman"/>
          <w:color w:val="000000"/>
          <w:sz w:val="24"/>
          <w:szCs w:val="24"/>
        </w:rPr>
        <w:t xml:space="preserve">утвержденные </w:t>
      </w:r>
      <w:r>
        <w:rPr>
          <w:rFonts w:ascii="Times New Roman" w:hAnsi="Times New Roman" w:cs="Times New Roman"/>
          <w:sz w:val="24"/>
          <w:szCs w:val="24"/>
        </w:rPr>
        <w:t xml:space="preserve">Руководителем Федеральной службой по надзору в сфере защиты прав потребителей и благополучия человека, Главным государственным санитарным врачом Российской Федерации </w:t>
      </w:r>
      <w:r>
        <w:rPr>
          <w:rFonts w:ascii="Times New Roman" w:hAnsi="Times New Roman" w:cs="Times New Roman"/>
          <w:color w:val="1A1A1A"/>
          <w:sz w:val="24"/>
          <w:szCs w:val="24"/>
        </w:rPr>
        <w:t>29.07.2011 г</w:t>
      </w:r>
      <w:r>
        <w:rPr>
          <w:rFonts w:ascii="Times New Roman" w:hAnsi="Times New Roman" w:cs="Times New Roman"/>
          <w:sz w:val="24"/>
          <w:szCs w:val="24"/>
        </w:rPr>
        <w:t xml:space="preserve">.; МУК 4.2.1884-04 «Санитарно-микробиологический и санитарно-паразитологический анализ воды поверхностных водных объектов», </w:t>
      </w:r>
      <w:r>
        <w:rPr>
          <w:rFonts w:ascii="Times New Roman" w:hAnsi="Times New Roman" w:cs="Times New Roman"/>
          <w:color w:val="000000"/>
          <w:sz w:val="24"/>
          <w:szCs w:val="24"/>
        </w:rPr>
        <w:t xml:space="preserve">утвержденные </w:t>
      </w:r>
      <w:r>
        <w:rPr>
          <w:rFonts w:ascii="Times New Roman" w:hAnsi="Times New Roman" w:cs="Times New Roman"/>
          <w:sz w:val="24"/>
          <w:szCs w:val="24"/>
        </w:rPr>
        <w:t xml:space="preserve">Главным государственным санитарным врачом Российской Федерации, Первым заместителем Министра здравоохранения Российской Федерации 03.03.2004 г.; </w:t>
      </w:r>
      <w:r>
        <w:rPr>
          <w:rFonts w:ascii="Times New Roman" w:eastAsia="Times New Roman" w:hAnsi="Times New Roman" w:cs="Times New Roman"/>
          <w:color w:val="000000"/>
          <w:sz w:val="24"/>
          <w:szCs w:val="24"/>
          <w:lang w:eastAsia="ru-RU"/>
        </w:rPr>
        <w:t>МУК 4.2.3691-21 «Изменения № 2 в МУК 4.2.1884-04 «Санитарно-микробиологический и санитарно-паразитологический анализ воды поверхностных водных объектов», утвержденные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01.03.2021 г.; МУК 4.2.3721-21 «Изменения № 3 в МУК 4.2.1884-04 «Санитарно-микробиологический и санитарно-паразитологический анализ воды поверхностных водных объектов», утвержденные руководителем Федеральной службы по надзору в сфере защиты</w:t>
      </w:r>
      <w:r>
        <w:rPr>
          <w:rFonts w:ascii="TimesNewRomanPSMT" w:eastAsia="Times New Roman" w:hAnsi="TimesNewRomanPSMT" w:cs="TimesNewRomanPSMT"/>
          <w:color w:val="000000"/>
          <w:sz w:val="24"/>
          <w:szCs w:val="24"/>
          <w:lang w:eastAsia="ru-RU"/>
        </w:rPr>
        <w:t xml:space="preserve"> </w:t>
      </w:r>
      <w:r>
        <w:rPr>
          <w:rFonts w:ascii="Times New Roman" w:eastAsia="Times New Roman" w:hAnsi="Times New Roman" w:cs="Times New Roman"/>
          <w:color w:val="000000"/>
          <w:sz w:val="24"/>
          <w:szCs w:val="24"/>
          <w:lang w:eastAsia="ru-RU"/>
        </w:rPr>
        <w:t xml:space="preserve">прав потребителей и благополучия человека, Главным государственным санитарным врачом Российской Федерации 15.12.2021 г. (далее – МУК 4.2.1884-04), </w:t>
      </w:r>
      <w:r>
        <w:rPr>
          <w:rFonts w:ascii="Times New Roman" w:hAnsi="Times New Roman" w:cs="Times New Roman"/>
          <w:color w:val="000000"/>
          <w:sz w:val="24"/>
          <w:szCs w:val="24"/>
          <w:lang w:eastAsia="ru-RU"/>
        </w:rPr>
        <w:t>МУК 4.2.2314-08 «Методы санитарно-паразитологического анализа воды»,</w:t>
      </w:r>
      <w:r>
        <w:rPr>
          <w:rFonts w:ascii="Times New Roman" w:eastAsia="Times New Roman" w:hAnsi="Times New Roman" w:cs="Times New Roman"/>
          <w:color w:val="000000"/>
          <w:sz w:val="24"/>
          <w:szCs w:val="24"/>
          <w:lang w:eastAsia="ru-RU"/>
        </w:rPr>
        <w:t xml:space="preserve"> </w:t>
      </w:r>
      <w:r>
        <w:rPr>
          <w:rFonts w:ascii="Times New Roman" w:hAnsi="Times New Roman" w:cs="Times New Roman"/>
          <w:color w:val="000000"/>
          <w:sz w:val="24"/>
          <w:szCs w:val="24"/>
          <w:lang w:eastAsia="ru-RU"/>
        </w:rPr>
        <w:t>утвержденные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w:t>
      </w:r>
      <w:r>
        <w:rPr>
          <w:rFonts w:ascii="Times New Roman" w:hAnsi="Times New Roman" w:cs="Times New Roman"/>
          <w:b/>
          <w:bCs/>
          <w:color w:val="000000"/>
          <w:sz w:val="24"/>
          <w:szCs w:val="24"/>
          <w:lang w:eastAsia="ru-RU"/>
        </w:rPr>
        <w:t xml:space="preserve"> </w:t>
      </w:r>
      <w:r>
        <w:rPr>
          <w:rFonts w:ascii="Times New Roman" w:hAnsi="Times New Roman" w:cs="Times New Roman"/>
          <w:bCs/>
          <w:color w:val="000000"/>
          <w:sz w:val="24"/>
          <w:szCs w:val="24"/>
          <w:lang w:eastAsia="ru-RU"/>
        </w:rPr>
        <w:t>18.01.2008 г.,</w:t>
      </w:r>
      <w:r>
        <w:rPr>
          <w:rFonts w:ascii="Times New Roman" w:hAnsi="Times New Roman" w:cs="Times New Roman"/>
          <w:sz w:val="24"/>
          <w:szCs w:val="24"/>
        </w:rPr>
        <w:t xml:space="preserve"> </w:t>
      </w:r>
      <w:r>
        <w:rPr>
          <w:rFonts w:ascii="Times New Roman" w:hAnsi="Times New Roman" w:cs="Times New Roman"/>
          <w:bCs/>
          <w:color w:val="000000"/>
          <w:sz w:val="24"/>
          <w:szCs w:val="24"/>
          <w:lang w:eastAsia="ru-RU"/>
        </w:rPr>
        <w:t>МУ 1.3.2569-09 «Организация работы лабораторий, использующих методы амплификации нуклеиновых кислот при работе с материалом, содержащим микроорганизмы I-IV групп патогенности»,</w:t>
      </w:r>
      <w:r>
        <w:rPr>
          <w:rFonts w:ascii="Times New Roman" w:hAnsi="Times New Roman" w:cs="Times New Roman"/>
          <w:color w:val="000000"/>
          <w:sz w:val="24"/>
          <w:szCs w:val="24"/>
          <w:lang w:eastAsia="ru-RU"/>
        </w:rPr>
        <w:t xml:space="preserve"> </w:t>
      </w:r>
      <w:r>
        <w:rPr>
          <w:rFonts w:ascii="Times New Roman" w:hAnsi="Times New Roman" w:cs="Times New Roman"/>
          <w:bCs/>
          <w:color w:val="000000"/>
          <w:sz w:val="24"/>
          <w:szCs w:val="24"/>
          <w:lang w:eastAsia="ru-RU"/>
        </w:rPr>
        <w:t>утвержденные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w:t>
      </w:r>
      <w:r>
        <w:rPr>
          <w:rFonts w:ascii="Times New Roman" w:hAnsi="Times New Roman" w:cs="Times New Roman"/>
          <w:b/>
          <w:bCs/>
          <w:color w:val="000000"/>
          <w:sz w:val="24"/>
          <w:szCs w:val="24"/>
          <w:lang w:eastAsia="ru-RU"/>
        </w:rPr>
        <w:t xml:space="preserve"> </w:t>
      </w:r>
      <w:r>
        <w:rPr>
          <w:rFonts w:ascii="Times New Roman" w:hAnsi="Times New Roman" w:cs="Times New Roman"/>
          <w:bCs/>
          <w:color w:val="000000"/>
          <w:sz w:val="24"/>
          <w:szCs w:val="24"/>
          <w:lang w:eastAsia="ru-RU"/>
        </w:rPr>
        <w:t>22.12 2009 г.</w:t>
      </w:r>
    </w:p>
  </w:footnote>
  <w:footnote w:id="3">
    <w:p w14:paraId="16877814" w14:textId="77777777" w:rsidR="005C7FD6" w:rsidRDefault="005C7FD6">
      <w:pPr>
        <w:pStyle w:val="aff0"/>
      </w:pPr>
      <w:r>
        <w:rPr>
          <w:rStyle w:val="ab"/>
          <w:rFonts w:ascii="Times New Roman" w:hAnsi="Times New Roman"/>
        </w:rPr>
        <w:footnoteRef/>
      </w:r>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lang w:eastAsia="ru-RU"/>
        </w:rPr>
        <w:t>П. 3262, главы XLIII СанПиН 3.3686-21.</w:t>
      </w:r>
    </w:p>
  </w:footnote>
  <w:footnote w:id="4">
    <w:p w14:paraId="66165FCB"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МУК 4.2. 3964-23.</w:t>
      </w:r>
    </w:p>
  </w:footnote>
  <w:footnote w:id="5">
    <w:p w14:paraId="0365E85C" w14:textId="77777777" w:rsidR="005C7FD6" w:rsidRDefault="005C7FD6">
      <w:pPr>
        <w:pStyle w:val="aff0"/>
      </w:pPr>
      <w:r>
        <w:rPr>
          <w:rStyle w:val="ab"/>
          <w:rFonts w:ascii="Liberation Serif" w:hAnsi="Liberation Serif"/>
        </w:rPr>
        <w:footnoteRef/>
      </w:r>
      <w:r>
        <w:rPr>
          <w:rFonts w:ascii="Times New Roman" w:hAnsi="Times New Roman" w:cs="Times New Roman"/>
          <w:sz w:val="24"/>
          <w:szCs w:val="24"/>
        </w:rPr>
        <w:t xml:space="preserve"> </w:t>
      </w:r>
      <w:r>
        <w:rPr>
          <w:rFonts w:ascii="Times New Roman" w:hAnsi="Times New Roman" w:cs="Times New Roman"/>
          <w:b/>
          <w:bCs/>
          <w:sz w:val="24"/>
          <w:szCs w:val="24"/>
          <w:lang w:eastAsia="en-US"/>
        </w:rPr>
        <w:t>Примечание. Оборудование, лабораторная посуда, материалы и реактивы приведены в приложении 1 к настоящим МУК,</w:t>
      </w:r>
      <w:r>
        <w:rPr>
          <w:rFonts w:ascii="Times New Roman" w:hAnsi="Times New Roman" w:cs="Times New Roman"/>
          <w:sz w:val="24"/>
          <w:szCs w:val="24"/>
        </w:rPr>
        <w:t xml:space="preserve"> </w:t>
      </w:r>
      <w:r>
        <w:rPr>
          <w:rFonts w:ascii="Times New Roman" w:hAnsi="Times New Roman" w:cs="Times New Roman"/>
          <w:b/>
          <w:sz w:val="24"/>
          <w:szCs w:val="24"/>
        </w:rPr>
        <w:t>СанПиН 1.2.3685–21</w:t>
      </w:r>
    </w:p>
  </w:footnote>
  <w:footnote w:id="6">
    <w:p w14:paraId="778FBD54"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Приложение 36 к СанПиН 3.3686–21, таблица 4.6, 6.17 главы </w:t>
      </w:r>
      <w:r>
        <w:rPr>
          <w:rFonts w:ascii="Times New Roman" w:hAnsi="Times New Roman" w:cs="Times New Roman"/>
          <w:sz w:val="24"/>
          <w:szCs w:val="24"/>
          <w:lang w:val="en-US"/>
        </w:rPr>
        <w:t>IV</w:t>
      </w:r>
      <w:r>
        <w:rPr>
          <w:rFonts w:ascii="Times New Roman" w:hAnsi="Times New Roman" w:cs="Times New Roman"/>
          <w:sz w:val="24"/>
          <w:szCs w:val="24"/>
        </w:rPr>
        <w:t xml:space="preserve"> СанПиН 1.2.3685–21.</w:t>
      </w:r>
    </w:p>
  </w:footnote>
  <w:footnote w:id="7">
    <w:p w14:paraId="605F2A49" w14:textId="77777777" w:rsidR="005C7FD6" w:rsidRDefault="005C7FD6">
      <w:pPr>
        <w:pStyle w:val="aff0"/>
      </w:pPr>
      <w:r>
        <w:rPr>
          <w:rStyle w:val="ab"/>
          <w:rFonts w:ascii="Times New Roman" w:hAnsi="Times New Roman"/>
        </w:rPr>
        <w:footnoteRef/>
      </w:r>
      <w:r>
        <w:rPr>
          <w:rFonts w:ascii="Times New Roman" w:hAnsi="Times New Roman" w:cs="Times New Roman"/>
          <w:b/>
          <w:bCs/>
          <w:color w:val="000000"/>
          <w:sz w:val="24"/>
          <w:szCs w:val="24"/>
        </w:rPr>
        <w:t xml:space="preserve"> Примечание. Указанные вес и масса (20 г и 200 г) проб является ориентировочными и не требует</w:t>
      </w:r>
      <w:r>
        <w:rPr>
          <w:rFonts w:ascii="Times New Roman" w:eastAsia="Times New Roman" w:hAnsi="Times New Roman" w:cs="Times New Roman"/>
          <w:color w:val="000000"/>
          <w:sz w:val="24"/>
          <w:szCs w:val="24"/>
          <w:lang w:eastAsia="ru-RU"/>
        </w:rPr>
        <w:t xml:space="preserve"> </w:t>
      </w:r>
      <w:r>
        <w:rPr>
          <w:rFonts w:ascii="Times New Roman" w:hAnsi="Times New Roman" w:cs="Times New Roman"/>
          <w:b/>
          <w:bCs/>
          <w:color w:val="000000"/>
          <w:sz w:val="24"/>
          <w:szCs w:val="24"/>
        </w:rPr>
        <w:t xml:space="preserve">особой точности и использования при отборе проб почвы/песка и др. весов и других измерительных приборов,  допускается незначительное превышение указанных объемов. </w:t>
      </w:r>
    </w:p>
    <w:p w14:paraId="3DE62C94" w14:textId="77777777" w:rsidR="005C7FD6" w:rsidRDefault="005C7FD6">
      <w:pPr>
        <w:pStyle w:val="aff0"/>
        <w:rPr>
          <w:rFonts w:ascii="Times New Roman" w:hAnsi="Times New Roman" w:cs="Times New Roman"/>
          <w:b/>
          <w:bCs/>
          <w:color w:val="FF0000"/>
          <w:sz w:val="24"/>
          <w:szCs w:val="24"/>
        </w:rPr>
      </w:pPr>
    </w:p>
  </w:footnote>
  <w:footnote w:id="8">
    <w:p w14:paraId="4248FF7C" w14:textId="77777777" w:rsidR="005C7FD6" w:rsidRDefault="005C7FD6">
      <w:pPr>
        <w:pStyle w:val="aff0"/>
        <w:contextualSpacing/>
        <w:jc w:val="both"/>
      </w:pPr>
      <w:r>
        <w:rPr>
          <w:rStyle w:val="ab"/>
          <w:rFonts w:ascii="Times New Roman" w:hAnsi="Times New Roman"/>
        </w:rPr>
        <w:footnoteRef/>
      </w:r>
      <w:r>
        <w:rPr>
          <w:rFonts w:ascii="Times New Roman" w:hAnsi="Times New Roman" w:cs="Times New Roman"/>
          <w:sz w:val="24"/>
          <w:szCs w:val="24"/>
          <w:lang w:eastAsia="en-US"/>
        </w:rPr>
        <w:t>ГОСТ Р 70151 «Качество воды. Отбор проб для проведения паразитологических исследований», введенный приказом Федерального агентства по техническому регулированию и метрологии от 17 июня 2022 г. № 482-ст (далее – ГОСТ Р 70151).</w:t>
      </w:r>
    </w:p>
  </w:footnote>
  <w:footnote w:id="9">
    <w:p w14:paraId="057E0A19" w14:textId="77777777" w:rsidR="005C7FD6" w:rsidRDefault="005C7FD6">
      <w:pPr>
        <w:pStyle w:val="aff0"/>
        <w:contextualSpacing/>
        <w:jc w:val="both"/>
      </w:pPr>
      <w:r>
        <w:rPr>
          <w:rStyle w:val="ab"/>
          <w:rFonts w:ascii="Liberation Serif" w:hAnsi="Liberation Serif"/>
        </w:rPr>
        <w:footnoteRef/>
      </w:r>
      <w:r>
        <w:rPr>
          <w:rFonts w:ascii="Times New Roman" w:hAnsi="Times New Roman" w:cs="Times New Roman"/>
          <w:sz w:val="24"/>
          <w:szCs w:val="24"/>
        </w:rPr>
        <w:t xml:space="preserve"> Приложение 36 к СанПиН 3.3686–21; таблицы 3.5 – 3.8, 3.10 главы I</w:t>
      </w:r>
      <w:r>
        <w:rPr>
          <w:rFonts w:ascii="Times New Roman" w:hAnsi="Times New Roman" w:cs="Times New Roman"/>
          <w:sz w:val="24"/>
          <w:szCs w:val="24"/>
          <w:lang w:val="en-US"/>
        </w:rPr>
        <w:t>II</w:t>
      </w:r>
      <w:r>
        <w:rPr>
          <w:rFonts w:ascii="Times New Roman" w:hAnsi="Times New Roman" w:cs="Times New Roman"/>
          <w:sz w:val="24"/>
          <w:szCs w:val="24"/>
        </w:rPr>
        <w:t xml:space="preserve"> СанПиН 1.2.3685–21.</w:t>
      </w:r>
    </w:p>
  </w:footnote>
  <w:footnote w:id="10">
    <w:p w14:paraId="4F561096"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Таблица 3.9. СанПиН 1.2.3685–21</w:t>
      </w:r>
    </w:p>
  </w:footnote>
  <w:footnote w:id="11">
    <w:p w14:paraId="33C72A7A"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ГОСТ Р 70151.</w:t>
      </w:r>
    </w:p>
  </w:footnote>
  <w:footnote w:id="12">
    <w:p w14:paraId="7AB557F1"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Приложение 36 к СанПиН 3.3686–21.</w:t>
      </w:r>
    </w:p>
  </w:footnote>
  <w:footnote w:id="13">
    <w:p w14:paraId="19FBBFA6" w14:textId="77777777" w:rsidR="005C7FD6" w:rsidRDefault="005C7FD6">
      <w:pPr>
        <w:pStyle w:val="aff0"/>
        <w:jc w:val="both"/>
      </w:pPr>
      <w:r>
        <w:rPr>
          <w:rStyle w:val="ab"/>
          <w:rFonts w:ascii="Times New Roman" w:hAnsi="Times New Roman"/>
        </w:rPr>
        <w:footnoteRef/>
      </w:r>
      <w:r>
        <w:rPr>
          <w:rFonts w:ascii="Times New Roman" w:hAnsi="Times New Roman" w:cs="Times New Roman"/>
          <w:b/>
          <w:bCs/>
          <w:sz w:val="24"/>
          <w:szCs w:val="24"/>
        </w:rPr>
        <w:t xml:space="preserve"> Примечание. Зонд-тампон в пробирке предназначен для взятия и хранения образцов биологического материала. Удобен для взятия смывов, в том числе санитарных. </w:t>
      </w:r>
    </w:p>
  </w:footnote>
  <w:footnote w:id="14">
    <w:p w14:paraId="69F409F6" w14:textId="77777777" w:rsidR="005C7FD6" w:rsidRDefault="005C7FD6">
      <w:pPr>
        <w:pStyle w:val="aff0"/>
        <w:contextualSpacing/>
        <w:jc w:val="both"/>
      </w:pPr>
      <w:r>
        <w:rPr>
          <w:rStyle w:val="ab"/>
          <w:rFonts w:ascii="Liberation Serif" w:hAnsi="Liberation Serif"/>
        </w:rPr>
        <w:footnoteRef/>
      </w:r>
      <w:r>
        <w:rPr>
          <w:rStyle w:val="ab"/>
          <w:rFonts w:ascii="Times New Roman" w:hAnsi="Times New Roman" w:cs="Times New Roman"/>
          <w:b/>
          <w:bCs/>
          <w:sz w:val="24"/>
          <w:szCs w:val="24"/>
        </w:rPr>
        <w:t xml:space="preserve"> </w:t>
      </w:r>
      <w:r>
        <w:rPr>
          <w:rFonts w:ascii="Times New Roman" w:hAnsi="Times New Roman" w:cs="Times New Roman"/>
          <w:b/>
          <w:bCs/>
          <w:sz w:val="24"/>
          <w:szCs w:val="24"/>
        </w:rPr>
        <w:t>Примечание. Методы исследований объектов окружающей среды на ооцисты криптоспоридий изложены в МУК 4.2.3964-23.</w:t>
      </w:r>
    </w:p>
  </w:footnote>
  <w:footnote w:id="15">
    <w:p w14:paraId="522F0738" w14:textId="77777777" w:rsidR="005C7FD6" w:rsidRDefault="005C7FD6">
      <w:pPr>
        <w:pStyle w:val="aff0"/>
        <w:contextualSpacing/>
        <w:jc w:val="both"/>
      </w:pPr>
      <w:r>
        <w:rPr>
          <w:rStyle w:val="ab"/>
          <w:rFonts w:ascii="Liberation Serif" w:hAnsi="Liberation Serif"/>
        </w:rPr>
        <w:footnoteRef/>
      </w:r>
      <w:r>
        <w:rPr>
          <w:rFonts w:ascii="Times New Roman" w:hAnsi="Times New Roman" w:cs="Times New Roman"/>
          <w:sz w:val="24"/>
          <w:szCs w:val="24"/>
        </w:rPr>
        <w:t xml:space="preserve"> Приложение 36 к СанПиН 3.3686–21, таблица 4.6 к СанПиН 1.2.3685-21</w:t>
      </w:r>
    </w:p>
  </w:footnote>
  <w:footnote w:id="16">
    <w:p w14:paraId="7134DBEA" w14:textId="77777777" w:rsidR="005C7FD6" w:rsidRDefault="005C7FD6">
      <w:pPr>
        <w:pStyle w:val="aff0"/>
        <w:contextualSpacing/>
        <w:jc w:val="both"/>
      </w:pPr>
      <w:r>
        <w:rPr>
          <w:rStyle w:val="ab"/>
          <w:rFonts w:ascii="Times New Roman" w:hAnsi="Times New Roman"/>
        </w:rPr>
        <w:footnoteRef/>
      </w:r>
      <w:r>
        <w:rPr>
          <w:rFonts w:ascii="Times New Roman" w:hAnsi="Times New Roman" w:cs="Times New Roman"/>
          <w:b/>
          <w:bCs/>
          <w:sz w:val="24"/>
          <w:szCs w:val="24"/>
        </w:rPr>
        <w:t xml:space="preserve"> Примечание. Допустимо применение пробирок центрифужных емкостью 80-100 мл, 250 мл, входящих в комплект центрифуги.</w:t>
      </w:r>
      <w:r>
        <w:rPr>
          <w:rFonts w:ascii="Times New Roman" w:hAnsi="Times New Roman" w:cs="Times New Roman"/>
          <w:sz w:val="24"/>
          <w:szCs w:val="24"/>
        </w:rPr>
        <w:t xml:space="preserve">              </w:t>
      </w:r>
      <w:r>
        <w:rPr>
          <w:rFonts w:ascii="Times New Roman" w:hAnsi="Times New Roman" w:cs="Times New Roman"/>
          <w:sz w:val="24"/>
          <w:szCs w:val="24"/>
        </w:rPr>
        <w:tab/>
      </w:r>
    </w:p>
  </w:footnote>
  <w:footnote w:id="17">
    <w:p w14:paraId="13E5816B" w14:textId="77777777" w:rsidR="005C7FD6" w:rsidRDefault="005C7FD6">
      <w:pPr>
        <w:widowControl w:val="0"/>
        <w:spacing w:after="0" w:line="240" w:lineRule="auto"/>
        <w:contextualSpacing/>
        <w:jc w:val="both"/>
      </w:pPr>
      <w:r>
        <w:rPr>
          <w:rStyle w:val="ab"/>
          <w:rFonts w:ascii="Times New Roman" w:hAnsi="Times New Roman"/>
        </w:rPr>
        <w:footnoteRef/>
      </w:r>
      <w:r>
        <w:rPr>
          <w:rFonts w:ascii="Times New Roman" w:hAnsi="Times New Roman" w:cs="Times New Roman"/>
          <w:b/>
          <w:bCs/>
          <w:sz w:val="24"/>
          <w:szCs w:val="24"/>
        </w:rPr>
        <w:t xml:space="preserve"> Примечание. </w:t>
      </w:r>
      <w:r>
        <w:rPr>
          <w:rFonts w:ascii="Times New Roman" w:hAnsi="Times New Roman" w:cs="Times New Roman"/>
          <w:b/>
          <w:bCs/>
          <w:color w:val="000000"/>
          <w:sz w:val="24"/>
          <w:szCs w:val="24"/>
        </w:rPr>
        <w:t>Для промывки проб объектов внешней среды возможно использование водопроводной воды централизованного холодного водоснабжения (далее – чистая вода) или дистиллированной воды.</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 xml:space="preserve">Для песчаных и супесчаных почв – достаточно одной </w:t>
      </w:r>
      <w:r>
        <w:rPr>
          <w:rFonts w:ascii="Times New Roman" w:hAnsi="Times New Roman" w:cs="Times New Roman"/>
          <w:b/>
          <w:bCs/>
          <w:sz w:val="24"/>
          <w:szCs w:val="24"/>
        </w:rPr>
        <w:t>промывки, для глинистых, суглинистых, черноземных – от 2 до 5.</w:t>
      </w:r>
    </w:p>
  </w:footnote>
  <w:footnote w:id="18">
    <w:p w14:paraId="66A29E71" w14:textId="77777777" w:rsidR="005C7FD6" w:rsidRDefault="005C7FD6">
      <w:pPr>
        <w:pStyle w:val="aff0"/>
        <w:contextualSpacing/>
        <w:jc w:val="both"/>
      </w:pPr>
      <w:r>
        <w:rPr>
          <w:rStyle w:val="ab"/>
          <w:rFonts w:ascii="Times New Roman" w:hAnsi="Times New Roman"/>
        </w:rPr>
        <w:footnoteRef/>
      </w:r>
      <w:r>
        <w:rPr>
          <w:rFonts w:ascii="Times New Roman" w:hAnsi="Times New Roman" w:cs="Times New Roman"/>
          <w:b/>
          <w:bCs/>
          <w:sz w:val="24"/>
          <w:szCs w:val="24"/>
        </w:rPr>
        <w:t xml:space="preserve"> Примечание. Для обнаружения в почве яиц гельминтов, имеющих высокую плотность (яйца описторхов, клонорхов), могут быть использованы насыщенные растворы хлорида цинка, сульфата цинка или сульфата магния (приложение 3).</w:t>
      </w:r>
    </w:p>
  </w:footnote>
  <w:footnote w:id="19">
    <w:p w14:paraId="07A53437" w14:textId="77777777" w:rsidR="005C7FD6" w:rsidRDefault="005C7FD6">
      <w:pPr>
        <w:pStyle w:val="aff0"/>
        <w:jc w:val="both"/>
      </w:pPr>
      <w:r>
        <w:rPr>
          <w:rStyle w:val="ab"/>
          <w:rFonts w:ascii="Times New Roman" w:hAnsi="Times New Roman"/>
        </w:rPr>
        <w:footnoteRef/>
      </w:r>
      <w:r>
        <w:rPr>
          <w:rFonts w:ascii="Times New Roman" w:hAnsi="Times New Roman" w:cs="Times New Roman"/>
          <w:b/>
          <w:bCs/>
          <w:sz w:val="24"/>
          <w:szCs w:val="24"/>
        </w:rPr>
        <w:t xml:space="preserve"> Примечание. Для обезжиривания, вымытые и высушенные стекла помещают в герметически закрытые емкости со смесью Никифорова (смесь в соотношении 1:1 этилового спирта 96% и</w:t>
      </w:r>
      <w:r>
        <w:rPr>
          <w:rFonts w:ascii="Times New Roman" w:hAnsi="Times New Roman" w:cs="Times New Roman"/>
          <w:sz w:val="24"/>
          <w:szCs w:val="24"/>
        </w:rPr>
        <w:t xml:space="preserve"> </w:t>
      </w:r>
      <w:r>
        <w:rPr>
          <w:rFonts w:ascii="Times New Roman" w:hAnsi="Times New Roman" w:cs="Times New Roman"/>
          <w:b/>
          <w:bCs/>
          <w:sz w:val="24"/>
          <w:szCs w:val="24"/>
        </w:rPr>
        <w:t>эфира) или с 96° этиловым спиртом. Стекла должны подвергаться обезжириванию не менее суток.</w:t>
      </w:r>
    </w:p>
  </w:footnote>
  <w:footnote w:id="20">
    <w:p w14:paraId="67D0C951" w14:textId="77777777" w:rsidR="005C7FD6" w:rsidRDefault="005C7FD6">
      <w:pPr>
        <w:pStyle w:val="aff0"/>
        <w:jc w:val="both"/>
      </w:pPr>
      <w:r>
        <w:rPr>
          <w:rStyle w:val="ab"/>
          <w:rFonts w:ascii="Times New Roman" w:hAnsi="Times New Roman"/>
        </w:rPr>
        <w:footnoteRef/>
      </w:r>
      <w:r>
        <w:rPr>
          <w:rFonts w:ascii="Times New Roman" w:hAnsi="Times New Roman" w:cs="Times New Roman"/>
          <w:b/>
          <w:bCs/>
          <w:sz w:val="24"/>
          <w:szCs w:val="24"/>
        </w:rPr>
        <w:t xml:space="preserve"> Примечание. Допустимо применение пробирок центрифужных емкостью 80-100 мл, 250 мл, входящих в комплект центрифуги. </w:t>
      </w:r>
      <w:r>
        <w:rPr>
          <w:rFonts w:ascii="Times New Roman" w:hAnsi="Times New Roman" w:cs="Times New Roman"/>
          <w:sz w:val="24"/>
          <w:szCs w:val="24"/>
        </w:rPr>
        <w:t xml:space="preserve">             </w:t>
      </w:r>
      <w:r>
        <w:rPr>
          <w:rFonts w:ascii="Times New Roman" w:hAnsi="Times New Roman" w:cs="Times New Roman"/>
          <w:sz w:val="24"/>
          <w:szCs w:val="24"/>
        </w:rPr>
        <w:tab/>
      </w:r>
    </w:p>
  </w:footnote>
  <w:footnote w:id="21">
    <w:p w14:paraId="4FC81020" w14:textId="77777777" w:rsidR="005C7FD6" w:rsidRDefault="005C7FD6">
      <w:pPr>
        <w:widowControl w:val="0"/>
        <w:spacing w:after="0" w:line="240" w:lineRule="auto"/>
        <w:contextualSpacing/>
        <w:jc w:val="both"/>
      </w:pPr>
      <w:r>
        <w:rPr>
          <w:rStyle w:val="ab"/>
          <w:rFonts w:ascii="Times New Roman" w:hAnsi="Times New Roman"/>
        </w:rPr>
        <w:footnoteRef/>
      </w:r>
      <w:r>
        <w:rPr>
          <w:rStyle w:val="ab"/>
          <w:rFonts w:ascii="Times New Roman" w:hAnsi="Times New Roman" w:cs="Times New Roman"/>
          <w:b/>
          <w:bCs/>
          <w:sz w:val="24"/>
          <w:szCs w:val="24"/>
        </w:rPr>
        <w:t xml:space="preserve"> </w:t>
      </w:r>
      <w:r>
        <w:rPr>
          <w:rFonts w:ascii="Times New Roman" w:hAnsi="Times New Roman" w:cs="Times New Roman"/>
          <w:b/>
          <w:bCs/>
          <w:sz w:val="24"/>
          <w:szCs w:val="24"/>
        </w:rPr>
        <w:t xml:space="preserve">Примечание. </w:t>
      </w:r>
      <w:r>
        <w:rPr>
          <w:rFonts w:ascii="Times New Roman" w:hAnsi="Times New Roman" w:cs="Times New Roman"/>
          <w:b/>
          <w:bCs/>
          <w:color w:val="000000"/>
          <w:sz w:val="24"/>
          <w:szCs w:val="24"/>
        </w:rPr>
        <w:t>Для промывки проб объектов внешней среды возможно использование водопроводной воды централизованного холодного водоснабжения (далее – чистая вода) или дистиллированной воды.</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 xml:space="preserve">Для песчаных и супесчаных почв – достаточно одной </w:t>
      </w:r>
      <w:r>
        <w:rPr>
          <w:rFonts w:ascii="Times New Roman" w:hAnsi="Times New Roman" w:cs="Times New Roman"/>
          <w:b/>
          <w:bCs/>
          <w:sz w:val="24"/>
          <w:szCs w:val="24"/>
        </w:rPr>
        <w:t>промывки, для глинистых, суглинистых, черноземных – от 2 до 5.</w:t>
      </w:r>
    </w:p>
  </w:footnote>
  <w:footnote w:id="22">
    <w:p w14:paraId="491F8473" w14:textId="77777777" w:rsidR="005C7FD6" w:rsidRDefault="005C7FD6">
      <w:pPr>
        <w:pStyle w:val="aff0"/>
        <w:contextualSpacing/>
        <w:jc w:val="both"/>
      </w:pPr>
      <w:r>
        <w:rPr>
          <w:rStyle w:val="ab"/>
          <w:rFonts w:ascii="Times New Roman" w:hAnsi="Times New Roman"/>
        </w:rPr>
        <w:footnoteRef/>
      </w:r>
      <w:r>
        <w:rPr>
          <w:rFonts w:ascii="Times New Roman" w:hAnsi="Times New Roman" w:cs="Times New Roman"/>
          <w:b/>
          <w:bCs/>
          <w:sz w:val="24"/>
          <w:szCs w:val="24"/>
        </w:rPr>
        <w:t xml:space="preserve"> Примечание. Для обнаружения в почве яиц гельминтов, имеющих высокую плотность (яйца описторхов, клонорхов), могут быть использованы насыщенные растворы хлорида цинка,</w:t>
      </w:r>
      <w:r>
        <w:rPr>
          <w:rFonts w:ascii="Times New Roman" w:hAnsi="Times New Roman" w:cs="Times New Roman"/>
          <w:sz w:val="24"/>
          <w:szCs w:val="24"/>
        </w:rPr>
        <w:t xml:space="preserve"> </w:t>
      </w:r>
      <w:r>
        <w:rPr>
          <w:rFonts w:ascii="Times New Roman" w:hAnsi="Times New Roman" w:cs="Times New Roman"/>
          <w:b/>
          <w:bCs/>
          <w:sz w:val="24"/>
          <w:szCs w:val="24"/>
        </w:rPr>
        <w:t>сульфата цинка или сульфата магния (приложение 3).</w:t>
      </w:r>
    </w:p>
  </w:footnote>
  <w:footnote w:id="23">
    <w:p w14:paraId="59290E09" w14:textId="77777777" w:rsidR="005C7FD6" w:rsidRPr="005C6C2C" w:rsidRDefault="005C7FD6">
      <w:pPr>
        <w:pStyle w:val="aff0"/>
        <w:contextualSpacing/>
        <w:jc w:val="both"/>
        <w:rPr>
          <w:b/>
        </w:rPr>
      </w:pPr>
      <w:r w:rsidRPr="005C6C2C">
        <w:rPr>
          <w:rStyle w:val="ab"/>
          <w:rFonts w:ascii="Liberation Serif" w:hAnsi="Liberation Serif"/>
          <w:b/>
        </w:rPr>
        <w:footnoteRef/>
      </w:r>
      <w:r w:rsidRPr="005C6C2C">
        <w:rPr>
          <w:rFonts w:ascii="Times New Roman" w:hAnsi="Times New Roman" w:cs="Times New Roman"/>
          <w:b/>
          <w:sz w:val="24"/>
          <w:szCs w:val="24"/>
        </w:rPr>
        <w:t xml:space="preserve"> Примечание. Для микроскопирования препаратов возможно использование Комплексов цифрового анализа микропрепаратов с программным модулем по паразитологии (типа МЕКОС).</w:t>
      </w:r>
    </w:p>
  </w:footnote>
  <w:footnote w:id="24">
    <w:p w14:paraId="170C5C71" w14:textId="77777777" w:rsidR="005C7FD6" w:rsidRDefault="005C7FD6">
      <w:pPr>
        <w:pStyle w:val="aff0"/>
        <w:contextualSpacing/>
        <w:jc w:val="both"/>
      </w:pPr>
      <w:r>
        <w:rPr>
          <w:rStyle w:val="ab"/>
          <w:rFonts w:ascii="Liberation Serif" w:hAnsi="Liberation Serif"/>
        </w:rPr>
        <w:footnoteRef/>
      </w:r>
      <w:r>
        <w:rPr>
          <w:rFonts w:ascii="Times New Roman" w:hAnsi="Times New Roman" w:cs="Times New Roman"/>
          <w:sz w:val="24"/>
          <w:szCs w:val="24"/>
        </w:rPr>
        <w:t xml:space="preserve"> Таблицы 4.6, 6.17 главы </w:t>
      </w:r>
      <w:r>
        <w:rPr>
          <w:rFonts w:ascii="Times New Roman" w:hAnsi="Times New Roman" w:cs="Times New Roman"/>
          <w:sz w:val="24"/>
          <w:szCs w:val="24"/>
          <w:lang w:val="en-US"/>
        </w:rPr>
        <w:t>IV</w:t>
      </w:r>
      <w:r>
        <w:rPr>
          <w:rFonts w:ascii="Times New Roman" w:hAnsi="Times New Roman" w:cs="Times New Roman"/>
          <w:sz w:val="24"/>
          <w:szCs w:val="24"/>
        </w:rPr>
        <w:t xml:space="preserve"> СанПиН 1.2.3685–21.</w:t>
      </w:r>
    </w:p>
  </w:footnote>
  <w:footnote w:id="25">
    <w:p w14:paraId="5043277A"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Таблицы 4.6, 6.17 главы </w:t>
      </w:r>
      <w:r>
        <w:rPr>
          <w:rFonts w:ascii="Times New Roman" w:hAnsi="Times New Roman" w:cs="Times New Roman"/>
          <w:sz w:val="24"/>
          <w:szCs w:val="24"/>
          <w:lang w:val="en-US"/>
        </w:rPr>
        <w:t>IV</w:t>
      </w:r>
      <w:r>
        <w:rPr>
          <w:rFonts w:ascii="Times New Roman" w:hAnsi="Times New Roman" w:cs="Times New Roman"/>
          <w:sz w:val="24"/>
          <w:szCs w:val="24"/>
        </w:rPr>
        <w:t xml:space="preserve"> СанПиН 1.2.3685–21.</w:t>
      </w:r>
    </w:p>
  </w:footnote>
  <w:footnote w:id="26">
    <w:p w14:paraId="3B4E57A6" w14:textId="77777777" w:rsidR="005C7FD6" w:rsidRPr="00596E30" w:rsidRDefault="005C7FD6" w:rsidP="008000FD">
      <w:pPr>
        <w:pStyle w:val="aff0"/>
        <w:jc w:val="both"/>
        <w:rPr>
          <w:rFonts w:ascii="Times New Roman" w:hAnsi="Times New Roman" w:cs="Times New Roman"/>
          <w:b/>
          <w:sz w:val="24"/>
          <w:szCs w:val="24"/>
        </w:rPr>
      </w:pPr>
      <w:r w:rsidRPr="00596E30">
        <w:rPr>
          <w:rStyle w:val="af5"/>
          <w:rFonts w:ascii="Times New Roman" w:hAnsi="Times New Roman" w:cs="Times New Roman"/>
          <w:b/>
          <w:sz w:val="24"/>
          <w:szCs w:val="24"/>
        </w:rPr>
        <w:footnoteRef/>
      </w:r>
      <w:r w:rsidRPr="00596E30">
        <w:rPr>
          <w:rFonts w:ascii="Times New Roman" w:hAnsi="Times New Roman" w:cs="Times New Roman"/>
          <w:b/>
          <w:sz w:val="24"/>
          <w:szCs w:val="24"/>
        </w:rPr>
        <w:t xml:space="preserve"> Примечание. В случае отсутствия яиц и личинок гельминтов, цист (ооцист) патогенных кишечных простейших результат выдают следующим образом: «Не обнаружено».</w:t>
      </w:r>
    </w:p>
  </w:footnote>
  <w:footnote w:id="27">
    <w:p w14:paraId="47855D76" w14:textId="77777777" w:rsidR="00596E30" w:rsidRPr="000E41F4" w:rsidRDefault="00596E30">
      <w:pPr>
        <w:pStyle w:val="aff0"/>
        <w:rPr>
          <w:rFonts w:ascii="Times New Roman" w:hAnsi="Times New Roman" w:cs="Times New Roman"/>
          <w:b/>
          <w:sz w:val="24"/>
          <w:szCs w:val="24"/>
        </w:rPr>
      </w:pPr>
      <w:r w:rsidRPr="000E41F4">
        <w:rPr>
          <w:rStyle w:val="af5"/>
          <w:rFonts w:ascii="Times New Roman" w:hAnsi="Times New Roman" w:cs="Times New Roman"/>
          <w:b/>
          <w:sz w:val="24"/>
          <w:szCs w:val="24"/>
        </w:rPr>
        <w:footnoteRef/>
      </w:r>
      <w:r w:rsidRPr="000E41F4">
        <w:rPr>
          <w:rFonts w:ascii="Times New Roman" w:hAnsi="Times New Roman" w:cs="Times New Roman"/>
          <w:b/>
          <w:sz w:val="24"/>
          <w:szCs w:val="24"/>
        </w:rPr>
        <w:t xml:space="preserve"> </w:t>
      </w:r>
      <w:r w:rsidR="000E41F4" w:rsidRPr="000E41F4">
        <w:rPr>
          <w:rFonts w:ascii="Times New Roman" w:hAnsi="Times New Roman" w:cs="Times New Roman"/>
          <w:b/>
          <w:sz w:val="24"/>
          <w:szCs w:val="24"/>
        </w:rPr>
        <w:t>Примечание. Методы исследований объектов окружающей среды на ооцисты криптоспоридий изложены в МУК 4.2.3964-23.</w:t>
      </w:r>
    </w:p>
  </w:footnote>
  <w:footnote w:id="28">
    <w:p w14:paraId="625F4FC2"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Исследования на цисты патогенных простейших методом Падченко (1992) осадков сточных вод и донных отложений представлены, как альтернативные, с возможностью выбора для лабораторий.</w:t>
      </w:r>
    </w:p>
  </w:footnote>
  <w:footnote w:id="29">
    <w:p w14:paraId="7D83A1C9"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Табл. 3.7 – 3.10 СанПиН 1.2.3685–21, Приложение 36 к СанПиН 3.3686–21.</w:t>
      </w:r>
    </w:p>
  </w:footnote>
  <w:footnote w:id="30">
    <w:p w14:paraId="3DE293D5"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Приложение 36 к СанПиН 3.3686–21.</w:t>
      </w:r>
    </w:p>
  </w:footnote>
  <w:footnote w:id="31">
    <w:p w14:paraId="384E16F0"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Исследование на цисты (ооцисты) патогенных кишечных простейших методом Падченко (1992) сточных вод представлено, как альтернативное, с возможностью выбора для лабораторий.</w:t>
      </w:r>
    </w:p>
  </w:footnote>
  <w:footnote w:id="32">
    <w:p w14:paraId="26D2D6BF"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Фильтрование питьевой воды допускается без применения предфильтра только через АТМ с диаметром пор 2,5 мкм.</w:t>
      </w:r>
    </w:p>
  </w:footnote>
  <w:footnote w:id="33">
    <w:p w14:paraId="018523E6"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При отсутствии прибора вакуумного фильтрования, снабженного двумя фриттами, размещенными одна под другой, вода фильтруется в отдельную емкость.</w:t>
      </w:r>
    </w:p>
  </w:footnote>
  <w:footnote w:id="34">
    <w:p w14:paraId="6BBEDF1B"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При использовании прибора вакуумного фильтрования, снабженного двумя фриттами, размещенными одна под другой, также снять АТМ (2,5 мкм).</w:t>
      </w:r>
    </w:p>
  </w:footnote>
  <w:footnote w:id="35">
    <w:p w14:paraId="148203A0"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При отсутствии ПВФ-35 или ПВФ-47 фильтровать воду допустимо с помощью ПВФ-142 с последующим разрезанием АТМ на полоски, соответствующим размеру предметного стекла для микроскопии.</w:t>
      </w:r>
    </w:p>
  </w:footnote>
  <w:footnote w:id="36">
    <w:p w14:paraId="5AD1D708" w14:textId="77777777" w:rsidR="005C7FD6" w:rsidRDefault="005C7FD6">
      <w:pPr>
        <w:pStyle w:val="aff0"/>
        <w:jc w:val="both"/>
      </w:pPr>
      <w:r>
        <w:rPr>
          <w:rStyle w:val="ab"/>
          <w:rFonts w:ascii="Times New Roman" w:hAnsi="Times New Roman"/>
        </w:rPr>
        <w:footnoteRef/>
      </w:r>
      <w:r>
        <w:rPr>
          <w:rStyle w:val="ab"/>
          <w:rFonts w:ascii="Times New Roman" w:hAnsi="Times New Roman" w:cs="Times New Roman"/>
          <w:b/>
          <w:sz w:val="24"/>
          <w:szCs w:val="24"/>
        </w:rPr>
        <w:t xml:space="preserve"> </w:t>
      </w:r>
      <w:r>
        <w:rPr>
          <w:rFonts w:ascii="Times New Roman" w:hAnsi="Times New Roman" w:cs="Times New Roman"/>
          <w:b/>
          <w:sz w:val="24"/>
          <w:szCs w:val="24"/>
        </w:rPr>
        <w:t>Примечание. Рекомендуется одновременно проводить исследование не более 4 – 5 пробирок, т.к. при большем количестве исследований увеличивается время экспозиции, что может привести к кристаллизации флотационного раствора и высыханию капли.</w:t>
      </w:r>
    </w:p>
  </w:footnote>
  <w:footnote w:id="37">
    <w:p w14:paraId="3F3339CE" w14:textId="77777777" w:rsidR="005C7FD6" w:rsidRDefault="005C7FD6">
      <w:pPr>
        <w:pStyle w:val="aff0"/>
        <w:jc w:val="both"/>
      </w:pPr>
      <w:r>
        <w:rPr>
          <w:rStyle w:val="ab"/>
          <w:rFonts w:ascii="Liberation Serif" w:hAnsi="Liberation Serif"/>
        </w:rPr>
        <w:footnoteRef/>
      </w:r>
      <w:r>
        <w:rPr>
          <w:rFonts w:ascii="Times New Roman" w:hAnsi="Times New Roman" w:cs="Times New Roman"/>
          <w:b/>
          <w:sz w:val="24"/>
          <w:szCs w:val="24"/>
        </w:rPr>
        <w:t xml:space="preserve"> Примечание: допускается использование устройств и материалов с аналогичными или лучшими техническими характеристиками все иммунореагенты и буферные растворы диагностического набора перед использованием необходимо довести до комнатной температуры (выдержать не менее 1 часа при комнатной температуре).</w:t>
      </w:r>
    </w:p>
  </w:footnote>
  <w:footnote w:id="38">
    <w:p w14:paraId="2B3D5CE5"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для фиксации цист на слайде внести в каждое окно слайда по 45 мкл абсолютного метанола и высушить (примерно 30 мин). После фиксации метанолом интенсивность флуоресценции DAPI возрастает.</w:t>
      </w:r>
    </w:p>
  </w:footnote>
  <w:footnote w:id="39">
    <w:p w14:paraId="6C21747C"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Если окрашивание DAPI кажется слабым, время реакции может быть увеличено с 1 минуты до 4 минут.</w:t>
      </w:r>
    </w:p>
  </w:footnote>
  <w:footnote w:id="40">
    <w:p w14:paraId="5A7EBB32"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w:t>
      </w:r>
      <w:r>
        <w:rPr>
          <w:rFonts w:ascii="Times New Roman" w:eastAsia="Times New Roman" w:hAnsi="Times New Roman" w:cs="Times New Roman"/>
          <w:b/>
          <w:sz w:val="24"/>
          <w:szCs w:val="24"/>
          <w:lang w:eastAsia="ru-RU"/>
        </w:rPr>
        <w:t xml:space="preserve">допускается </w:t>
      </w:r>
      <w:r>
        <w:rPr>
          <w:rFonts w:ascii="Times New Roman" w:hAnsi="Times New Roman" w:cs="Times New Roman"/>
          <w:b/>
          <w:sz w:val="24"/>
          <w:szCs w:val="24"/>
          <w:lang w:eastAsia="ru-RU"/>
        </w:rPr>
        <w:t>более длительное время инкубации.</w:t>
      </w:r>
    </w:p>
  </w:footnote>
  <w:footnote w:id="41">
    <w:p w14:paraId="4AE05AA2" w14:textId="77777777" w:rsidR="005C7FD6" w:rsidRDefault="005C7FD6">
      <w:pPr>
        <w:pStyle w:val="aff0"/>
        <w:jc w:val="both"/>
      </w:pPr>
      <w:r>
        <w:rPr>
          <w:rStyle w:val="ab"/>
          <w:rFonts w:ascii="Times New Roman" w:hAnsi="Times New Roman"/>
        </w:rPr>
        <w:footnoteRef/>
      </w:r>
      <w:r>
        <w:rPr>
          <w:rStyle w:val="ab"/>
          <w:rFonts w:ascii="Times New Roman" w:hAnsi="Times New Roman" w:cs="Times New Roman"/>
          <w:b/>
          <w:sz w:val="24"/>
          <w:szCs w:val="24"/>
        </w:rPr>
        <w:t xml:space="preserve"> </w:t>
      </w:r>
      <w:r>
        <w:rPr>
          <w:rFonts w:ascii="Times New Roman" w:hAnsi="Times New Roman" w:cs="Times New Roman"/>
          <w:b/>
          <w:sz w:val="24"/>
          <w:szCs w:val="24"/>
        </w:rPr>
        <w:t xml:space="preserve">Примечание: </w:t>
      </w:r>
      <w:r>
        <w:rPr>
          <w:rFonts w:ascii="Times New Roman" w:hAnsi="Times New Roman" w:cs="Times New Roman"/>
          <w:b/>
          <w:sz w:val="24"/>
          <w:szCs w:val="24"/>
          <w:lang w:eastAsia="ru-RU"/>
        </w:rPr>
        <w:t>меченые препараты, защищенные средой, хранятся в темноте при температуре плюс 5 (±3) °С в течение 6 месяцев. Замораживание не допускается.</w:t>
      </w:r>
    </w:p>
  </w:footnote>
  <w:footnote w:id="42">
    <w:p w14:paraId="1C01E127" w14:textId="77777777" w:rsidR="005C7FD6" w:rsidRDefault="005C7FD6">
      <w:pPr>
        <w:pStyle w:val="aff0"/>
        <w:jc w:val="both"/>
      </w:pPr>
      <w:r>
        <w:rPr>
          <w:rStyle w:val="ab"/>
          <w:rFonts w:ascii="Liberation Serif" w:hAnsi="Liberation Serif"/>
        </w:rPr>
        <w:footnoteRef/>
      </w:r>
      <w:r>
        <w:rPr>
          <w:rStyle w:val="ab"/>
          <w:rFonts w:ascii="PT Astra Serif" w:hAnsi="PT Astra Serif" w:cs="PT Astra Serif"/>
          <w:b/>
          <w:sz w:val="24"/>
          <w:szCs w:val="24"/>
        </w:rPr>
        <w:t xml:space="preserve"> </w:t>
      </w:r>
      <w:r>
        <w:rPr>
          <w:rFonts w:ascii="Times New Roman" w:hAnsi="Times New Roman" w:cs="Times New Roman"/>
          <w:b/>
          <w:sz w:val="24"/>
          <w:szCs w:val="24"/>
        </w:rPr>
        <w:t xml:space="preserve">Примечание: При отсутствии люминесцентного микроскопа возможно использование насадки для перевода оптического микроскопа в режим флуоресцентной микроскопии. </w:t>
      </w:r>
    </w:p>
  </w:footnote>
  <w:footnote w:id="43">
    <w:p w14:paraId="0F276904"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Пример коммерческих наборов для выделения ДНК: РИБО-преп, ДНК-Сорб-С-М.</w:t>
      </w:r>
    </w:p>
  </w:footnote>
  <w:footnote w:id="44">
    <w:p w14:paraId="75F47BBE"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МУК 4.2.3145–13.</w:t>
      </w:r>
    </w:p>
  </w:footnote>
  <w:footnote w:id="45">
    <w:p w14:paraId="3F3C1831"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Допускается использование средств измерений, вспомогательного оборудования и материалов с аналогичными или лучшими характеристиками; допускается использование реагентов, реактивов, расходных материалов, флюорогенных диагностических препаратов и тест-систем с аналогичными характеристиками, зарегистрированных и разрешенных к применению в установленном порядке.</w:t>
      </w:r>
    </w:p>
  </w:footnote>
  <w:footnote w:id="46">
    <w:p w14:paraId="7F78E67D"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По аналогичному алгоритму осуществляют концентрирование пробы воды сульфатом меди (CuSO4 × 5H2O) или сульфатом алюминия (Al</w:t>
      </w:r>
      <w:r>
        <w:rPr>
          <w:rFonts w:ascii="Times New Roman" w:hAnsi="Times New Roman" w:cs="Times New Roman"/>
          <w:b/>
          <w:sz w:val="24"/>
          <w:szCs w:val="24"/>
          <w:vertAlign w:val="subscript"/>
        </w:rPr>
        <w:t>2</w:t>
      </w:r>
      <w:r>
        <w:rPr>
          <w:rFonts w:ascii="Times New Roman" w:hAnsi="Times New Roman" w:cs="Times New Roman"/>
          <w:b/>
          <w:sz w:val="24"/>
          <w:szCs w:val="24"/>
        </w:rPr>
        <w:t>(SO</w:t>
      </w:r>
      <w:r>
        <w:rPr>
          <w:rFonts w:ascii="Times New Roman" w:hAnsi="Times New Roman" w:cs="Times New Roman"/>
          <w:b/>
          <w:sz w:val="24"/>
          <w:szCs w:val="24"/>
          <w:vertAlign w:val="subscript"/>
        </w:rPr>
        <w:t>4</w:t>
      </w:r>
      <w:r>
        <w:rPr>
          <w:rFonts w:ascii="Times New Roman" w:hAnsi="Times New Roman" w:cs="Times New Roman"/>
          <w:b/>
          <w:sz w:val="24"/>
          <w:szCs w:val="24"/>
        </w:rPr>
        <w:t>)</w:t>
      </w:r>
      <w:r>
        <w:rPr>
          <w:rFonts w:ascii="Times New Roman" w:hAnsi="Times New Roman" w:cs="Times New Roman"/>
          <w:b/>
          <w:sz w:val="24"/>
          <w:szCs w:val="24"/>
          <w:vertAlign w:val="subscript"/>
        </w:rPr>
        <w:t>3</w:t>
      </w:r>
      <w:r>
        <w:rPr>
          <w:rFonts w:ascii="Times New Roman" w:hAnsi="Times New Roman" w:cs="Times New Roman"/>
          <w:b/>
          <w:sz w:val="24"/>
          <w:szCs w:val="24"/>
        </w:rPr>
        <w:t xml:space="preserve"> × 18H</w:t>
      </w:r>
      <w:r>
        <w:rPr>
          <w:rFonts w:ascii="Times New Roman" w:hAnsi="Times New Roman" w:cs="Times New Roman"/>
          <w:b/>
          <w:sz w:val="24"/>
          <w:szCs w:val="24"/>
          <w:vertAlign w:val="subscript"/>
        </w:rPr>
        <w:t>2</w:t>
      </w:r>
      <w:r>
        <w:rPr>
          <w:rFonts w:ascii="Times New Roman" w:hAnsi="Times New Roman" w:cs="Times New Roman"/>
          <w:b/>
          <w:sz w:val="24"/>
          <w:szCs w:val="24"/>
        </w:rPr>
        <w:t>O).</w:t>
      </w:r>
    </w:p>
  </w:footnote>
  <w:footnote w:id="47">
    <w:p w14:paraId="5C2F4FAE"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Руководство и атлас по паразитарным болезням человека, фотографии ФБУН «Ростовский НИИ микробиологии и паразитологии» Роспотребнадзора, ФБУН ««Хабаровский НИИ эпидемиологии и микробиологии» Роспотребнадзора. Увеличение 10 × 40, окраска нативная, раствором Люголя или раствором акридинового оранжевого.</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AD335" w14:textId="77777777" w:rsidR="005C7FD6" w:rsidRDefault="005C7FD6">
    <w:pPr>
      <w:pStyle w:val="afd"/>
      <w:jc w:val="cente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sidR="005335F0">
      <w:rPr>
        <w:rFonts w:ascii="Times New Roman" w:hAnsi="Times New Roman" w:cs="Times New Roman"/>
        <w:noProof/>
        <w:sz w:val="24"/>
      </w:rPr>
      <w:t>21</w:t>
    </w:r>
    <w:r>
      <w:rPr>
        <w:rFonts w:ascii="Times New Roman" w:hAnsi="Times New Roman" w:cs="Times New Roman"/>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6E0B1" w14:textId="77777777" w:rsidR="005C7FD6" w:rsidRDefault="005C7FD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5E84" w14:textId="77777777" w:rsidR="005C7FD6" w:rsidRDefault="005C7FD6">
    <w:pPr>
      <w:pStyle w:val="afd"/>
      <w:jc w:val="cente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Pr>
        <w:rFonts w:ascii="Times New Roman" w:hAnsi="Times New Roman" w:cs="Times New Roman"/>
        <w:sz w:val="24"/>
      </w:rPr>
      <w:t>0</w:t>
    </w:r>
    <w:r>
      <w:rPr>
        <w:rFonts w:ascii="Times New Roman" w:hAnsi="Times New Roman" w:cs="Times New Roman"/>
        <w:sz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86C51" w14:textId="77777777" w:rsidR="005C7FD6" w:rsidRDefault="005C7FD6">
    <w:pPr>
      <w:pStyle w:val="af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1FFC" w14:textId="77777777" w:rsidR="005C7FD6" w:rsidRDefault="005C7FD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D1A43" w14:textId="77777777" w:rsidR="005C7FD6" w:rsidRDefault="005C7FD6">
    <w:pPr>
      <w:pStyle w:val="afd"/>
      <w:jc w:val="cente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sidR="005335F0">
      <w:rPr>
        <w:rFonts w:ascii="Times New Roman" w:hAnsi="Times New Roman" w:cs="Times New Roman"/>
        <w:noProof/>
        <w:sz w:val="24"/>
      </w:rPr>
      <w:t>61</w:t>
    </w:r>
    <w:r>
      <w:rPr>
        <w:rFonts w:ascii="Times New Roman" w:hAnsi="Times New Roman" w:cs="Times New Roman"/>
        <w:sz w:val="24"/>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8D855" w14:textId="77777777" w:rsidR="005C7FD6" w:rsidRDefault="005C7FD6">
    <w:pPr>
      <w:pStyle w:val="a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3"/>
    <w:multiLevelType w:val="multilevel"/>
    <w:tmpl w:val="00000003"/>
    <w:name w:val="WW8Num3"/>
    <w:lvl w:ilvl="0">
      <w:start w:val="1"/>
      <w:numFmt w:val="decimal"/>
      <w:suff w:val="space"/>
      <w:lvlText w:val="%1."/>
      <w:lvlJc w:val="left"/>
      <w:pPr>
        <w:tabs>
          <w:tab w:val="num" w:pos="0"/>
        </w:tabs>
        <w:ind w:left="720" w:hanging="360"/>
      </w:pPr>
      <w:rPr>
        <w:rFonts w:ascii="Times New Roman" w:hAnsi="Times New Roman" w:cs="Times New Roman"/>
        <w:color w:val="000000"/>
        <w:sz w:val="28"/>
        <w:szCs w:val="28"/>
      </w:rPr>
    </w:lvl>
    <w:lvl w:ilvl="1">
      <w:start w:val="1"/>
      <w:numFmt w:val="decimal"/>
      <w:lvlText w:val="%2."/>
      <w:lvlJc w:val="left"/>
      <w:pPr>
        <w:tabs>
          <w:tab w:val="num" w:pos="0"/>
        </w:tabs>
        <w:ind w:left="1440" w:hanging="360"/>
      </w:pPr>
      <w:rPr>
        <w:rFonts w:ascii="Times New Roman" w:hAnsi="Times New Roman" w:cs="Times New Roman"/>
        <w:color w:val="000000"/>
        <w:sz w:val="28"/>
        <w:szCs w:val="28"/>
      </w:rPr>
    </w:lvl>
    <w:lvl w:ilvl="2">
      <w:start w:val="1"/>
      <w:numFmt w:val="decimal"/>
      <w:lvlText w:val="%3."/>
      <w:lvlJc w:val="right"/>
      <w:pPr>
        <w:tabs>
          <w:tab w:val="num" w:pos="0"/>
        </w:tabs>
        <w:ind w:left="2160" w:hanging="180"/>
      </w:pPr>
      <w:rPr>
        <w:rFonts w:ascii="Times New Roman" w:hAnsi="Times New Roman" w:cs="Times New Roman"/>
        <w:color w:val="000000"/>
        <w:sz w:val="28"/>
        <w:szCs w:val="28"/>
      </w:rPr>
    </w:lvl>
    <w:lvl w:ilvl="3">
      <w:start w:val="1"/>
      <w:numFmt w:val="decimal"/>
      <w:lvlText w:val="%4."/>
      <w:lvlJc w:val="left"/>
      <w:pPr>
        <w:tabs>
          <w:tab w:val="num" w:pos="0"/>
        </w:tabs>
        <w:ind w:left="2880" w:hanging="360"/>
      </w:pPr>
      <w:rPr>
        <w:rFonts w:ascii="Times New Roman" w:hAnsi="Times New Roman" w:cs="Times New Roman"/>
        <w:color w:val="000000"/>
        <w:sz w:val="28"/>
        <w:szCs w:val="28"/>
      </w:rPr>
    </w:lvl>
    <w:lvl w:ilvl="4">
      <w:start w:val="1"/>
      <w:numFmt w:val="decimal"/>
      <w:lvlText w:val="%5."/>
      <w:lvlJc w:val="left"/>
      <w:pPr>
        <w:tabs>
          <w:tab w:val="num" w:pos="0"/>
        </w:tabs>
        <w:ind w:left="3600" w:hanging="360"/>
      </w:pPr>
      <w:rPr>
        <w:rFonts w:ascii="Times New Roman" w:hAnsi="Times New Roman" w:cs="Times New Roman"/>
        <w:color w:val="000000"/>
        <w:sz w:val="28"/>
        <w:szCs w:val="28"/>
      </w:rPr>
    </w:lvl>
    <w:lvl w:ilvl="5">
      <w:start w:val="1"/>
      <w:numFmt w:val="decimal"/>
      <w:lvlText w:val="%6."/>
      <w:lvlJc w:val="right"/>
      <w:pPr>
        <w:tabs>
          <w:tab w:val="num" w:pos="0"/>
        </w:tabs>
        <w:ind w:left="4320" w:hanging="180"/>
      </w:pPr>
      <w:rPr>
        <w:rFonts w:ascii="Times New Roman" w:hAnsi="Times New Roman" w:cs="Times New Roman"/>
        <w:color w:val="000000"/>
        <w:sz w:val="28"/>
        <w:szCs w:val="28"/>
      </w:rPr>
    </w:lvl>
    <w:lvl w:ilvl="6">
      <w:start w:val="1"/>
      <w:numFmt w:val="decimal"/>
      <w:lvlText w:val="%7."/>
      <w:lvlJc w:val="left"/>
      <w:pPr>
        <w:tabs>
          <w:tab w:val="num" w:pos="0"/>
        </w:tabs>
        <w:ind w:left="5040" w:hanging="360"/>
      </w:pPr>
      <w:rPr>
        <w:rFonts w:ascii="Times New Roman" w:hAnsi="Times New Roman" w:cs="Times New Roman"/>
        <w:color w:val="000000"/>
        <w:sz w:val="28"/>
        <w:szCs w:val="28"/>
      </w:rPr>
    </w:lvl>
    <w:lvl w:ilvl="7">
      <w:start w:val="1"/>
      <w:numFmt w:val="decimal"/>
      <w:lvlText w:val="%8."/>
      <w:lvlJc w:val="left"/>
      <w:pPr>
        <w:tabs>
          <w:tab w:val="num" w:pos="0"/>
        </w:tabs>
        <w:ind w:left="5760" w:hanging="360"/>
      </w:pPr>
      <w:rPr>
        <w:rFonts w:ascii="Times New Roman" w:hAnsi="Times New Roman" w:cs="Times New Roman"/>
        <w:color w:val="000000"/>
        <w:sz w:val="28"/>
        <w:szCs w:val="28"/>
      </w:rPr>
    </w:lvl>
    <w:lvl w:ilvl="8">
      <w:start w:val="1"/>
      <w:numFmt w:val="decimal"/>
      <w:lvlText w:val="%9."/>
      <w:lvlJc w:val="right"/>
      <w:pPr>
        <w:tabs>
          <w:tab w:val="num" w:pos="0"/>
        </w:tabs>
        <w:ind w:left="6480" w:hanging="180"/>
      </w:pPr>
      <w:rPr>
        <w:rFonts w:ascii="Times New Roman" w:hAnsi="Times New Roman" w:cs="Times New Roman"/>
        <w:color w:val="000000"/>
        <w:sz w:val="28"/>
        <w:szCs w:val="28"/>
      </w:rPr>
    </w:lvl>
  </w:abstractNum>
  <w:abstractNum w:abstractNumId="3" w15:restartNumberingAfterBreak="0">
    <w:nsid w:val="00000004"/>
    <w:multiLevelType w:val="singleLevel"/>
    <w:tmpl w:val="00000004"/>
    <w:name w:val="WW8Num4"/>
    <w:lvl w:ilvl="0">
      <w:start w:val="1"/>
      <w:numFmt w:val="bullet"/>
      <w:suff w:val="space"/>
      <w:lvlText w:val=""/>
      <w:lvlJc w:val="left"/>
      <w:pPr>
        <w:tabs>
          <w:tab w:val="num" w:pos="0"/>
        </w:tabs>
        <w:ind w:left="720" w:hanging="360"/>
      </w:pPr>
      <w:rPr>
        <w:rFonts w:ascii="Symbol" w:hAnsi="Symbol" w:cs="Liberation Serif" w:hint="default"/>
        <w:color w:val="000000"/>
        <w:sz w:val="28"/>
        <w:szCs w:val="28"/>
      </w:rPr>
    </w:lvl>
  </w:abstractNum>
  <w:abstractNum w:abstractNumId="4" w15:restartNumberingAfterBreak="0">
    <w:nsid w:val="00000005"/>
    <w:multiLevelType w:val="singleLevel"/>
    <w:tmpl w:val="00000005"/>
    <w:name w:val="WW8Num5"/>
    <w:lvl w:ilvl="0">
      <w:start w:val="1"/>
      <w:numFmt w:val="bullet"/>
      <w:suff w:val="space"/>
      <w:lvlText w:val=""/>
      <w:lvlJc w:val="left"/>
      <w:pPr>
        <w:tabs>
          <w:tab w:val="num" w:pos="0"/>
        </w:tabs>
        <w:ind w:left="720" w:hanging="360"/>
      </w:pPr>
      <w:rPr>
        <w:rFonts w:ascii="Symbol" w:hAnsi="Symbol" w:cs="Liberation Serif" w:hint="default"/>
        <w:color w:val="000000"/>
        <w:sz w:val="28"/>
        <w:szCs w:val="28"/>
      </w:rPr>
    </w:lvl>
  </w:abstractNum>
  <w:abstractNum w:abstractNumId="5" w15:restartNumberingAfterBreak="0">
    <w:nsid w:val="00000006"/>
    <w:multiLevelType w:val="singleLevel"/>
    <w:tmpl w:val="E75C471C"/>
    <w:lvl w:ilvl="0">
      <w:start w:val="1"/>
      <w:numFmt w:val="bullet"/>
      <w:lvlText w:val=""/>
      <w:lvlJc w:val="left"/>
      <w:pPr>
        <w:ind w:left="1070" w:hanging="360"/>
      </w:pPr>
      <w:rPr>
        <w:rFonts w:ascii="Times New Roman" w:hAnsi="Times New Roman" w:cs="Symbol" w:hint="default"/>
        <w:strike w:val="0"/>
        <w:dstrike w:val="0"/>
        <w:color w:val="000000"/>
        <w:sz w:val="28"/>
        <w:szCs w:val="28"/>
        <w:vertAlign w:val="superscript"/>
        <w:lang w:eastAsia="ru-RU"/>
      </w:rPr>
    </w:lvl>
  </w:abstractNum>
  <w:abstractNum w:abstractNumId="6" w15:restartNumberingAfterBreak="0">
    <w:nsid w:val="00000007"/>
    <w:multiLevelType w:val="singleLevel"/>
    <w:tmpl w:val="00000007"/>
    <w:name w:val="WW8Num7"/>
    <w:lvl w:ilvl="0">
      <w:start w:val="1"/>
      <w:numFmt w:val="bullet"/>
      <w:suff w:val="space"/>
      <w:lvlText w:val=""/>
      <w:lvlJc w:val="left"/>
      <w:pPr>
        <w:tabs>
          <w:tab w:val="num" w:pos="0"/>
        </w:tabs>
        <w:ind w:left="1429" w:hanging="360"/>
      </w:pPr>
      <w:rPr>
        <w:rFonts w:ascii="Symbol" w:hAnsi="Symbol" w:cs="Symbol" w:hint="default"/>
        <w:sz w:val="28"/>
        <w:szCs w:val="28"/>
      </w:rPr>
    </w:lvl>
  </w:abstractNum>
  <w:abstractNum w:abstractNumId="7" w15:restartNumberingAfterBreak="0">
    <w:nsid w:val="00000008"/>
    <w:multiLevelType w:val="singleLevel"/>
    <w:tmpl w:val="00000008"/>
    <w:name w:val="WW8Num8"/>
    <w:lvl w:ilvl="0">
      <w:start w:val="1"/>
      <w:numFmt w:val="bullet"/>
      <w:suff w:val="space"/>
      <w:lvlText w:val=""/>
      <w:lvlJc w:val="left"/>
      <w:pPr>
        <w:tabs>
          <w:tab w:val="num" w:pos="0"/>
        </w:tabs>
        <w:ind w:left="720" w:hanging="360"/>
      </w:pPr>
      <w:rPr>
        <w:rFonts w:ascii="Symbol" w:hAnsi="Symbol" w:cs="Symbol" w:hint="default"/>
        <w:sz w:val="24"/>
        <w:szCs w:val="24"/>
      </w:rPr>
    </w:lvl>
  </w:abstractNum>
  <w:abstractNum w:abstractNumId="8" w15:restartNumberingAfterBreak="0">
    <w:nsid w:val="00000009"/>
    <w:multiLevelType w:val="singleLevel"/>
    <w:tmpl w:val="00000009"/>
    <w:name w:val="WW8Num9"/>
    <w:lvl w:ilvl="0">
      <w:start w:val="1"/>
      <w:numFmt w:val="bullet"/>
      <w:suff w:val="space"/>
      <w:lvlText w:val=""/>
      <w:lvlJc w:val="left"/>
      <w:pPr>
        <w:tabs>
          <w:tab w:val="num" w:pos="0"/>
        </w:tabs>
        <w:ind w:left="720" w:hanging="360"/>
      </w:pPr>
      <w:rPr>
        <w:rFonts w:ascii="Symbol" w:hAnsi="Symbol" w:cs="Liberation Serif" w:hint="default"/>
        <w:color w:val="000000"/>
        <w:sz w:val="28"/>
        <w:szCs w:val="28"/>
        <w:lang w:eastAsia="ru-RU"/>
      </w:rPr>
    </w:lvl>
  </w:abstractNum>
  <w:abstractNum w:abstractNumId="9" w15:restartNumberingAfterBreak="0">
    <w:nsid w:val="0000000A"/>
    <w:multiLevelType w:val="singleLevel"/>
    <w:tmpl w:val="0000000A"/>
    <w:name w:val="WW8Num10"/>
    <w:lvl w:ilvl="0">
      <w:start w:val="1"/>
      <w:numFmt w:val="bullet"/>
      <w:suff w:val="space"/>
      <w:lvlText w:val=""/>
      <w:lvlJc w:val="left"/>
      <w:pPr>
        <w:tabs>
          <w:tab w:val="num" w:pos="0"/>
        </w:tabs>
        <w:ind w:left="1429" w:hanging="360"/>
      </w:pPr>
      <w:rPr>
        <w:rFonts w:ascii="Symbol" w:hAnsi="Symbol" w:cs="Symbol" w:hint="default"/>
      </w:rPr>
    </w:lvl>
  </w:abstractNum>
  <w:abstractNum w:abstractNumId="10" w15:restartNumberingAfterBreak="0">
    <w:nsid w:val="0000000B"/>
    <w:multiLevelType w:val="singleLevel"/>
    <w:tmpl w:val="0000000B"/>
    <w:name w:val="WW8Num11"/>
    <w:lvl w:ilvl="0">
      <w:start w:val="1"/>
      <w:numFmt w:val="decimal"/>
      <w:suff w:val="space"/>
      <w:lvlText w:val="%1."/>
      <w:lvlJc w:val="left"/>
      <w:pPr>
        <w:tabs>
          <w:tab w:val="num" w:pos="0"/>
        </w:tabs>
        <w:ind w:left="1429" w:hanging="360"/>
      </w:pPr>
      <w:rPr>
        <w:rFonts w:ascii="Times New Roman" w:hAnsi="Times New Roman" w:cs="Times New Roman" w:hint="default"/>
        <w:b w:val="0"/>
        <w:sz w:val="24"/>
        <w:szCs w:val="28"/>
      </w:rPr>
    </w:lvl>
  </w:abstractNum>
  <w:abstractNum w:abstractNumId="11" w15:restartNumberingAfterBreak="0">
    <w:nsid w:val="0000000C"/>
    <w:multiLevelType w:val="singleLevel"/>
    <w:tmpl w:val="0000000C"/>
    <w:name w:val="WW8Num12"/>
    <w:lvl w:ilvl="0">
      <w:start w:val="1"/>
      <w:numFmt w:val="bullet"/>
      <w:suff w:val="space"/>
      <w:lvlText w:val=""/>
      <w:lvlJc w:val="left"/>
      <w:pPr>
        <w:tabs>
          <w:tab w:val="num" w:pos="0"/>
        </w:tabs>
        <w:ind w:left="2137" w:hanging="360"/>
      </w:pPr>
      <w:rPr>
        <w:rFonts w:ascii="Symbol" w:hAnsi="Symbol" w:cs="Liberation Serif" w:hint="default"/>
        <w:color w:val="000000"/>
      </w:rPr>
    </w:lvl>
  </w:abstractNum>
  <w:abstractNum w:abstractNumId="12" w15:restartNumberingAfterBreak="0">
    <w:nsid w:val="0000000D"/>
    <w:multiLevelType w:val="singleLevel"/>
    <w:tmpl w:val="0000000D"/>
    <w:name w:val="WW8Num13"/>
    <w:lvl w:ilvl="0">
      <w:start w:val="1"/>
      <w:numFmt w:val="bullet"/>
      <w:suff w:val="space"/>
      <w:lvlText w:val=""/>
      <w:lvlJc w:val="left"/>
      <w:pPr>
        <w:tabs>
          <w:tab w:val="num" w:pos="0"/>
        </w:tabs>
        <w:ind w:left="1429" w:hanging="360"/>
      </w:pPr>
      <w:rPr>
        <w:rFonts w:ascii="Symbol" w:hAnsi="Symbol" w:cs="Liberation Serif" w:hint="default"/>
        <w:color w:val="000000"/>
      </w:rPr>
    </w:lvl>
  </w:abstractNum>
  <w:abstractNum w:abstractNumId="13" w15:restartNumberingAfterBreak="0">
    <w:nsid w:val="0000000E"/>
    <w:multiLevelType w:val="singleLevel"/>
    <w:tmpl w:val="0000000E"/>
    <w:name w:val="WW8Num14"/>
    <w:lvl w:ilvl="0">
      <w:start w:val="1"/>
      <w:numFmt w:val="decimal"/>
      <w:suff w:val="space"/>
      <w:lvlText w:val="%1."/>
      <w:lvlJc w:val="left"/>
      <w:pPr>
        <w:tabs>
          <w:tab w:val="num" w:pos="0"/>
        </w:tabs>
        <w:ind w:left="720" w:hanging="360"/>
      </w:pPr>
      <w:rPr>
        <w:rFonts w:ascii="Times New Roman" w:hAnsi="Times New Roman" w:cs="Times New Roman" w:hint="default"/>
        <w:color w:val="000000"/>
        <w:sz w:val="28"/>
        <w:szCs w:val="28"/>
      </w:rPr>
    </w:lvl>
  </w:abstractNum>
  <w:abstractNum w:abstractNumId="14" w15:restartNumberingAfterBreak="0">
    <w:nsid w:val="0000000F"/>
    <w:multiLevelType w:val="singleLevel"/>
    <w:tmpl w:val="0000000F"/>
    <w:name w:val="WW8Num15"/>
    <w:lvl w:ilvl="0">
      <w:start w:val="1"/>
      <w:numFmt w:val="bullet"/>
      <w:suff w:val="space"/>
      <w:lvlText w:val=""/>
      <w:lvlJc w:val="left"/>
      <w:pPr>
        <w:tabs>
          <w:tab w:val="num" w:pos="0"/>
        </w:tabs>
        <w:ind w:left="1070" w:hanging="360"/>
      </w:pPr>
      <w:rPr>
        <w:rFonts w:ascii="Symbol" w:hAnsi="Symbol" w:cs="Liberation Serif" w:hint="default"/>
        <w:color w:val="000000"/>
        <w:sz w:val="28"/>
        <w:szCs w:val="28"/>
      </w:rPr>
    </w:lvl>
  </w:abstractNum>
  <w:abstractNum w:abstractNumId="15" w15:restartNumberingAfterBreak="0">
    <w:nsid w:val="00000010"/>
    <w:multiLevelType w:val="singleLevel"/>
    <w:tmpl w:val="00000010"/>
    <w:name w:val="WW8Num16"/>
    <w:lvl w:ilvl="0">
      <w:start w:val="1"/>
      <w:numFmt w:val="bullet"/>
      <w:suff w:val="space"/>
      <w:lvlText w:val=""/>
      <w:lvlJc w:val="left"/>
      <w:pPr>
        <w:tabs>
          <w:tab w:val="num" w:pos="0"/>
        </w:tabs>
        <w:ind w:left="720" w:hanging="360"/>
      </w:pPr>
      <w:rPr>
        <w:rFonts w:ascii="Symbol" w:hAnsi="Symbol" w:cs="Symbol" w:hint="default"/>
        <w:color w:val="000000"/>
        <w:sz w:val="28"/>
        <w:szCs w:val="28"/>
      </w:rPr>
    </w:lvl>
  </w:abstractNum>
  <w:abstractNum w:abstractNumId="16" w15:restartNumberingAfterBreak="0">
    <w:nsid w:val="00000011"/>
    <w:multiLevelType w:val="singleLevel"/>
    <w:tmpl w:val="00000011"/>
    <w:name w:val="WW8Num17"/>
    <w:lvl w:ilvl="0">
      <w:start w:val="1"/>
      <w:numFmt w:val="bullet"/>
      <w:suff w:val="nothing"/>
      <w:lvlText w:val=""/>
      <w:lvlJc w:val="left"/>
      <w:pPr>
        <w:tabs>
          <w:tab w:val="num" w:pos="0"/>
        </w:tabs>
        <w:ind w:left="2220" w:hanging="360"/>
      </w:pPr>
      <w:rPr>
        <w:rFonts w:ascii="Symbol" w:hAnsi="Symbol" w:cs="Symbol" w:hint="default"/>
        <w:color w:val="000000"/>
        <w:sz w:val="28"/>
        <w:szCs w:val="28"/>
      </w:rPr>
    </w:lvl>
  </w:abstractNum>
  <w:abstractNum w:abstractNumId="17" w15:restartNumberingAfterBreak="0">
    <w:nsid w:val="00000012"/>
    <w:multiLevelType w:val="multilevel"/>
    <w:tmpl w:val="00000012"/>
    <w:name w:val="WW8Num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0DB87424"/>
    <w:multiLevelType w:val="hybridMultilevel"/>
    <w:tmpl w:val="D3A02ACA"/>
    <w:lvl w:ilvl="0" w:tplc="AAFE55A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0E7666C0"/>
    <w:multiLevelType w:val="hybridMultilevel"/>
    <w:tmpl w:val="D9342D88"/>
    <w:lvl w:ilvl="0" w:tplc="7F3A586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BFB14B3"/>
    <w:multiLevelType w:val="hybridMultilevel"/>
    <w:tmpl w:val="4148D5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214764D0"/>
    <w:multiLevelType w:val="hybridMultilevel"/>
    <w:tmpl w:val="88A2100A"/>
    <w:lvl w:ilvl="0" w:tplc="AAFE55AA">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4E20C72"/>
    <w:multiLevelType w:val="hybridMultilevel"/>
    <w:tmpl w:val="99664B6E"/>
    <w:lvl w:ilvl="0" w:tplc="18D2B51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E200C32"/>
    <w:multiLevelType w:val="hybridMultilevel"/>
    <w:tmpl w:val="D27EDE06"/>
    <w:lvl w:ilvl="0" w:tplc="3E90683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3CB043A"/>
    <w:multiLevelType w:val="hybridMultilevel"/>
    <w:tmpl w:val="C200FB40"/>
    <w:lvl w:ilvl="0" w:tplc="748CBE7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CC8311D"/>
    <w:multiLevelType w:val="hybridMultilevel"/>
    <w:tmpl w:val="8A82044A"/>
    <w:lvl w:ilvl="0" w:tplc="8A3CB49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D584FE0"/>
    <w:multiLevelType w:val="hybridMultilevel"/>
    <w:tmpl w:val="7A4C3358"/>
    <w:lvl w:ilvl="0" w:tplc="5136EDF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D70630A"/>
    <w:multiLevelType w:val="hybridMultilevel"/>
    <w:tmpl w:val="D7268F6E"/>
    <w:lvl w:ilvl="0" w:tplc="52D4E72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39400AF"/>
    <w:multiLevelType w:val="hybridMultilevel"/>
    <w:tmpl w:val="1612277C"/>
    <w:lvl w:ilvl="0" w:tplc="D88C1E0C">
      <w:start w:val="1"/>
      <w:numFmt w:val="bullet"/>
      <w:suff w:val="space"/>
      <w:lvlText w:val=""/>
      <w:lvlJc w:val="left"/>
      <w:pPr>
        <w:ind w:left="720"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613438B"/>
    <w:multiLevelType w:val="hybridMultilevel"/>
    <w:tmpl w:val="90EC3740"/>
    <w:lvl w:ilvl="0" w:tplc="6DB88F00">
      <w:start w:val="1"/>
      <w:numFmt w:val="bullet"/>
      <w:suff w:val="space"/>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B8358E2"/>
    <w:multiLevelType w:val="hybridMultilevel"/>
    <w:tmpl w:val="356010DC"/>
    <w:lvl w:ilvl="0" w:tplc="CC2C513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BFA221F"/>
    <w:multiLevelType w:val="hybridMultilevel"/>
    <w:tmpl w:val="E5ACA13A"/>
    <w:lvl w:ilvl="0" w:tplc="A7B442E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0E13A84"/>
    <w:multiLevelType w:val="hybridMultilevel"/>
    <w:tmpl w:val="966673C8"/>
    <w:lvl w:ilvl="0" w:tplc="649080B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53712985">
    <w:abstractNumId w:val="0"/>
  </w:num>
  <w:num w:numId="2" w16cid:durableId="2059162070">
    <w:abstractNumId w:val="1"/>
  </w:num>
  <w:num w:numId="3" w16cid:durableId="1151368120">
    <w:abstractNumId w:val="2"/>
  </w:num>
  <w:num w:numId="4" w16cid:durableId="408620901">
    <w:abstractNumId w:val="3"/>
  </w:num>
  <w:num w:numId="5" w16cid:durableId="1380738270">
    <w:abstractNumId w:val="4"/>
  </w:num>
  <w:num w:numId="6" w16cid:durableId="1941403543">
    <w:abstractNumId w:val="5"/>
  </w:num>
  <w:num w:numId="7" w16cid:durableId="831600468">
    <w:abstractNumId w:val="6"/>
  </w:num>
  <w:num w:numId="8" w16cid:durableId="1658024276">
    <w:abstractNumId w:val="7"/>
  </w:num>
  <w:num w:numId="9" w16cid:durableId="1905529837">
    <w:abstractNumId w:val="8"/>
  </w:num>
  <w:num w:numId="10" w16cid:durableId="695617977">
    <w:abstractNumId w:val="9"/>
  </w:num>
  <w:num w:numId="11" w16cid:durableId="2082557521">
    <w:abstractNumId w:val="10"/>
  </w:num>
  <w:num w:numId="12" w16cid:durableId="1312442878">
    <w:abstractNumId w:val="11"/>
  </w:num>
  <w:num w:numId="13" w16cid:durableId="1263950728">
    <w:abstractNumId w:val="12"/>
  </w:num>
  <w:num w:numId="14" w16cid:durableId="671491808">
    <w:abstractNumId w:val="13"/>
  </w:num>
  <w:num w:numId="15" w16cid:durableId="276789649">
    <w:abstractNumId w:val="14"/>
  </w:num>
  <w:num w:numId="16" w16cid:durableId="201678136">
    <w:abstractNumId w:val="15"/>
  </w:num>
  <w:num w:numId="17" w16cid:durableId="1778216502">
    <w:abstractNumId w:val="16"/>
  </w:num>
  <w:num w:numId="18" w16cid:durableId="1394934200">
    <w:abstractNumId w:val="17"/>
  </w:num>
  <w:num w:numId="19" w16cid:durableId="610746698">
    <w:abstractNumId w:val="27"/>
  </w:num>
  <w:num w:numId="20" w16cid:durableId="1917472594">
    <w:abstractNumId w:val="24"/>
  </w:num>
  <w:num w:numId="21" w16cid:durableId="1247618625">
    <w:abstractNumId w:val="23"/>
  </w:num>
  <w:num w:numId="22" w16cid:durableId="974405102">
    <w:abstractNumId w:val="31"/>
  </w:num>
  <w:num w:numId="23" w16cid:durableId="268854054">
    <w:abstractNumId w:val="22"/>
  </w:num>
  <w:num w:numId="24" w16cid:durableId="2099058415">
    <w:abstractNumId w:val="20"/>
  </w:num>
  <w:num w:numId="25" w16cid:durableId="335620083">
    <w:abstractNumId w:val="29"/>
  </w:num>
  <w:num w:numId="26" w16cid:durableId="1260987784">
    <w:abstractNumId w:val="25"/>
  </w:num>
  <w:num w:numId="27" w16cid:durableId="502939207">
    <w:abstractNumId w:val="32"/>
  </w:num>
  <w:num w:numId="28" w16cid:durableId="2076508982">
    <w:abstractNumId w:val="26"/>
  </w:num>
  <w:num w:numId="29" w16cid:durableId="1764496982">
    <w:abstractNumId w:val="30"/>
  </w:num>
  <w:num w:numId="30" w16cid:durableId="682783593">
    <w:abstractNumId w:val="28"/>
  </w:num>
  <w:num w:numId="31" w16cid:durableId="1467428213">
    <w:abstractNumId w:val="19"/>
  </w:num>
  <w:num w:numId="32" w16cid:durableId="510726376">
    <w:abstractNumId w:val="18"/>
  </w:num>
  <w:num w:numId="33" w16cid:durableId="9566381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B2"/>
    <w:rsid w:val="000734DC"/>
    <w:rsid w:val="000E41F4"/>
    <w:rsid w:val="001161DB"/>
    <w:rsid w:val="001162DF"/>
    <w:rsid w:val="001E0CD1"/>
    <w:rsid w:val="00223548"/>
    <w:rsid w:val="00231EBB"/>
    <w:rsid w:val="00267BF6"/>
    <w:rsid w:val="003562B2"/>
    <w:rsid w:val="003C50B9"/>
    <w:rsid w:val="003D670E"/>
    <w:rsid w:val="003F0FAB"/>
    <w:rsid w:val="004059C4"/>
    <w:rsid w:val="00427BD6"/>
    <w:rsid w:val="004548A9"/>
    <w:rsid w:val="00476BC2"/>
    <w:rsid w:val="00496D1A"/>
    <w:rsid w:val="004B3774"/>
    <w:rsid w:val="005335F0"/>
    <w:rsid w:val="0054169F"/>
    <w:rsid w:val="00544C80"/>
    <w:rsid w:val="00596E30"/>
    <w:rsid w:val="005C6C2C"/>
    <w:rsid w:val="005C7FD6"/>
    <w:rsid w:val="006007A4"/>
    <w:rsid w:val="0060581F"/>
    <w:rsid w:val="00660225"/>
    <w:rsid w:val="006855CB"/>
    <w:rsid w:val="006A29F7"/>
    <w:rsid w:val="006B32F2"/>
    <w:rsid w:val="007379EE"/>
    <w:rsid w:val="008000FD"/>
    <w:rsid w:val="00834D28"/>
    <w:rsid w:val="00916501"/>
    <w:rsid w:val="00967539"/>
    <w:rsid w:val="009D72CD"/>
    <w:rsid w:val="00A121F2"/>
    <w:rsid w:val="00A71ACF"/>
    <w:rsid w:val="00A853BA"/>
    <w:rsid w:val="00AD0560"/>
    <w:rsid w:val="00B25361"/>
    <w:rsid w:val="00BB1951"/>
    <w:rsid w:val="00BE72BD"/>
    <w:rsid w:val="00C2599D"/>
    <w:rsid w:val="00C34F3B"/>
    <w:rsid w:val="00C77D17"/>
    <w:rsid w:val="00CF6A5D"/>
    <w:rsid w:val="00D259DE"/>
    <w:rsid w:val="00D27825"/>
    <w:rsid w:val="00DF75B6"/>
    <w:rsid w:val="00EA6A54"/>
    <w:rsid w:val="00EC1FEE"/>
    <w:rsid w:val="00EC3ACC"/>
    <w:rsid w:val="00EE35F3"/>
    <w:rsid w:val="00F81BA9"/>
    <w:rsid w:val="00FD71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828B418"/>
  <w15:chartTrackingRefBased/>
  <w15:docId w15:val="{554717AA-BAEB-4523-B74F-2AE62C27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Calibri" w:hAnsi="Calibri" w:cs="Tahoma"/>
      <w:sz w:val="22"/>
      <w:szCs w:val="22"/>
      <w:lang w:eastAsia="zh-CN"/>
    </w:rPr>
  </w:style>
  <w:style w:type="paragraph" w:styleId="1">
    <w:name w:val="heading 1"/>
    <w:basedOn w:val="a"/>
    <w:next w:val="a"/>
    <w:qFormat/>
    <w:pPr>
      <w:keepNext/>
      <w:keepLines/>
      <w:numPr>
        <w:numId w:val="1"/>
      </w:numPr>
      <w:spacing w:before="480" w:after="0"/>
      <w:jc w:val="center"/>
      <w:outlineLvl w:val="0"/>
    </w:pPr>
    <w:rPr>
      <w:rFonts w:ascii="Times New Roman" w:hAnsi="Times New Roman"/>
      <w:b/>
      <w:bCs/>
      <w:color w:val="000000"/>
      <w:sz w:val="28"/>
      <w:szCs w:val="28"/>
    </w:rPr>
  </w:style>
  <w:style w:type="paragraph" w:styleId="2">
    <w:name w:val="heading 2"/>
    <w:basedOn w:val="a"/>
    <w:next w:val="a0"/>
    <w:qFormat/>
    <w:pPr>
      <w:spacing w:before="280" w:after="280" w:line="240" w:lineRule="auto"/>
      <w:jc w:val="center"/>
      <w:outlineLvl w:val="1"/>
    </w:pPr>
    <w:rPr>
      <w:rFonts w:ascii="Times New Roman" w:eastAsia="Times New Roman" w:hAnsi="Times New Roman" w:cs="Times New Roman"/>
      <w:b/>
      <w:bCs/>
      <w:i/>
      <w:color w:val="000000"/>
      <w:sz w:val="28"/>
      <w:szCs w:val="36"/>
    </w:rPr>
  </w:style>
  <w:style w:type="paragraph" w:styleId="3">
    <w:name w:val="heading 3"/>
    <w:basedOn w:val="a"/>
    <w:next w:val="a"/>
    <w:qFormat/>
    <w:pPr>
      <w:keepNext/>
      <w:spacing w:after="0"/>
      <w:jc w:val="center"/>
      <w:outlineLvl w:val="2"/>
    </w:pPr>
    <w:rPr>
      <w:rFonts w:ascii="Times New Roman" w:eastAsia="Times New Roman" w:hAnsi="Times New Roman" w:cs="Times New Roman"/>
      <w:bCs/>
      <w:i/>
      <w:color w:val="000000"/>
      <w:sz w:val="28"/>
      <w:szCs w:val="26"/>
    </w:rPr>
  </w:style>
  <w:style w:type="paragraph" w:styleId="4">
    <w:name w:val="heading 4"/>
    <w:basedOn w:val="a"/>
    <w:next w:val="a"/>
    <w:qFormat/>
    <w:pPr>
      <w:keepNext/>
      <w:keepLines/>
      <w:spacing w:before="200" w:after="0"/>
      <w:jc w:val="right"/>
      <w:outlineLvl w:val="3"/>
    </w:pPr>
    <w:rPr>
      <w:rFonts w:ascii="Times New Roman" w:hAnsi="Times New Roman"/>
      <w:bCs/>
      <w:iCs/>
      <w:color w:val="000000"/>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3z0">
    <w:name w:val="WW8Num3z0"/>
    <w:rPr>
      <w:rFonts w:ascii="Times New Roman" w:hAnsi="Times New Roman" w:cs="Times New Roman"/>
      <w:color w:val="000000"/>
      <w:sz w:val="28"/>
      <w:szCs w:val="28"/>
    </w:rPr>
  </w:style>
  <w:style w:type="character" w:customStyle="1" w:styleId="WW8Num4z0">
    <w:name w:val="WW8Num4z0"/>
    <w:rPr>
      <w:rFonts w:ascii="Symbol" w:hAnsi="Symbol" w:cs="Liberation Serif" w:hint="default"/>
      <w:color w:val="000000"/>
      <w:sz w:val="28"/>
      <w:szCs w:val="28"/>
    </w:rPr>
  </w:style>
  <w:style w:type="character" w:customStyle="1" w:styleId="WW8Num5z0">
    <w:name w:val="WW8Num5z0"/>
    <w:rPr>
      <w:rFonts w:ascii="Symbol" w:hAnsi="Symbol" w:cs="Liberation Serif" w:hint="default"/>
      <w:color w:val="000000"/>
      <w:sz w:val="28"/>
      <w:szCs w:val="28"/>
    </w:rPr>
  </w:style>
  <w:style w:type="character" w:customStyle="1" w:styleId="WW8Num6z0">
    <w:name w:val="WW8Num6z0"/>
    <w:rPr>
      <w:rFonts w:ascii="Symbol" w:hAnsi="Symbol" w:cs="Symbol" w:hint="default"/>
      <w:strike w:val="0"/>
      <w:dstrike w:val="0"/>
      <w:color w:val="000000"/>
      <w:sz w:val="28"/>
      <w:szCs w:val="28"/>
      <w:vertAlign w:val="superscript"/>
      <w:lang w:eastAsia="ru-RU"/>
    </w:rPr>
  </w:style>
  <w:style w:type="character" w:customStyle="1" w:styleId="WW8Num7z0">
    <w:name w:val="WW8Num7z0"/>
    <w:rPr>
      <w:rFonts w:ascii="Symbol" w:hAnsi="Symbol" w:cs="Symbol" w:hint="default"/>
      <w:sz w:val="28"/>
      <w:szCs w:val="28"/>
    </w:rPr>
  </w:style>
  <w:style w:type="character" w:customStyle="1" w:styleId="WW8Num8z0">
    <w:name w:val="WW8Num8z0"/>
    <w:rPr>
      <w:rFonts w:ascii="Symbol" w:hAnsi="Symbol" w:cs="Symbol" w:hint="default"/>
      <w:sz w:val="24"/>
      <w:szCs w:val="24"/>
    </w:rPr>
  </w:style>
  <w:style w:type="character" w:customStyle="1" w:styleId="WW8Num9z0">
    <w:name w:val="WW8Num9z0"/>
    <w:rPr>
      <w:rFonts w:ascii="Symbol" w:hAnsi="Symbol" w:cs="Liberation Serif" w:hint="default"/>
      <w:color w:val="000000"/>
      <w:sz w:val="28"/>
      <w:szCs w:val="28"/>
      <w:lang w:eastAsia="ru-RU"/>
    </w:rPr>
  </w:style>
  <w:style w:type="character" w:customStyle="1" w:styleId="WW8Num10z0">
    <w:name w:val="WW8Num10z0"/>
    <w:rPr>
      <w:rFonts w:ascii="Symbol" w:hAnsi="Symbol" w:cs="Symbol" w:hint="default"/>
    </w:rPr>
  </w:style>
  <w:style w:type="character" w:customStyle="1" w:styleId="WW8Num11z0">
    <w:name w:val="WW8Num11z0"/>
    <w:rPr>
      <w:rFonts w:ascii="Times New Roman" w:hAnsi="Times New Roman" w:cs="Times New Roman" w:hint="default"/>
      <w:b w:val="0"/>
      <w:sz w:val="24"/>
      <w:szCs w:val="28"/>
    </w:rPr>
  </w:style>
  <w:style w:type="character" w:customStyle="1" w:styleId="WW8Num12z0">
    <w:name w:val="WW8Num12z0"/>
    <w:rPr>
      <w:rFonts w:ascii="Symbol" w:hAnsi="Symbol" w:cs="Liberation Serif" w:hint="default"/>
      <w:color w:val="000000"/>
    </w:rPr>
  </w:style>
  <w:style w:type="character" w:customStyle="1" w:styleId="WW8Num13z0">
    <w:name w:val="WW8Num13z0"/>
    <w:rPr>
      <w:rFonts w:ascii="Symbol" w:hAnsi="Symbol" w:cs="Liberation Serif" w:hint="default"/>
      <w:color w:val="000000"/>
    </w:rPr>
  </w:style>
  <w:style w:type="character" w:customStyle="1" w:styleId="WW8Num14z0">
    <w:name w:val="WW8Num14z0"/>
    <w:rPr>
      <w:rFonts w:ascii="Times New Roman" w:hAnsi="Times New Roman" w:cs="Times New Roman" w:hint="default"/>
      <w:color w:val="000000"/>
      <w:sz w:val="28"/>
      <w:szCs w:val="28"/>
    </w:rPr>
  </w:style>
  <w:style w:type="character" w:customStyle="1" w:styleId="WW8Num15z0">
    <w:name w:val="WW8Num15z0"/>
    <w:rPr>
      <w:rFonts w:ascii="Symbol" w:hAnsi="Symbol" w:cs="Liberation Serif" w:hint="default"/>
      <w:color w:val="000000"/>
      <w:sz w:val="28"/>
      <w:szCs w:val="28"/>
    </w:rPr>
  </w:style>
  <w:style w:type="character" w:customStyle="1" w:styleId="WW8Num16z0">
    <w:name w:val="WW8Num16z0"/>
    <w:rPr>
      <w:rFonts w:ascii="Symbol" w:hAnsi="Symbol" w:cs="Symbol" w:hint="default"/>
      <w:color w:val="000000"/>
      <w:sz w:val="28"/>
      <w:szCs w:val="28"/>
    </w:rPr>
  </w:style>
  <w:style w:type="character" w:customStyle="1" w:styleId="WW8Num17z0">
    <w:name w:val="WW8Num17z0"/>
    <w:rPr>
      <w:rFonts w:ascii="Symbol" w:hAnsi="Symbol" w:cs="Symbol" w:hint="default"/>
      <w:color w:val="000000"/>
      <w:sz w:val="28"/>
      <w:szCs w:val="28"/>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12">
    <w:name w:val="Основной шрифт абзаца12"/>
  </w:style>
  <w:style w:type="character" w:customStyle="1" w:styleId="11">
    <w:name w:val="Основной шрифт абзаца11"/>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19z0">
    <w:name w:val="WW8Num19z0"/>
    <w:rPr>
      <w:rFonts w:ascii="Symbol" w:hAnsi="Symbol" w:cs="Symbol" w:hint="default"/>
    </w:rPr>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10">
    <w:name w:val="Основной шрифт абзаца10"/>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19z3">
    <w:name w:val="WW8Num19z3"/>
    <w:rPr>
      <w:rFonts w:ascii="Symbol" w:hAnsi="Symbol" w:cs="Symbol" w:hint="default"/>
    </w:rPr>
  </w:style>
  <w:style w:type="character" w:customStyle="1" w:styleId="WW8Num21z0">
    <w:name w:val="WW8Num21z0"/>
    <w:rPr>
      <w:rFonts w:ascii="Times New Roman" w:hAnsi="Times New Roman" w:cs="Times New Roman" w:hint="default"/>
      <w:sz w:val="28"/>
      <w:szCs w:val="28"/>
    </w:rPr>
  </w:style>
  <w:style w:type="character" w:customStyle="1" w:styleId="WW8Num22z0">
    <w:name w:val="WW8Num22z0"/>
    <w:rPr>
      <w:rFonts w:ascii="Symbol" w:hAnsi="Symbol" w:cs="Liberation Serif" w:hint="default"/>
      <w:color w:val="000000"/>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2z3">
    <w:name w:val="WW8Num22z3"/>
    <w:rPr>
      <w:rFonts w:ascii="Symbol" w:hAnsi="Symbol" w:cs="Symbol" w:hint="default"/>
    </w:rPr>
  </w:style>
  <w:style w:type="character" w:customStyle="1" w:styleId="WW8Num23z0">
    <w:name w:val="WW8Num23z0"/>
    <w:rPr>
      <w:rFonts w:ascii="Symbol" w:hAnsi="Symbol" w:cs="Liberation Serif" w:hint="default"/>
      <w:color w:val="000000"/>
    </w:rPr>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8Num24z0">
    <w:name w:val="WW8Num24z0"/>
    <w:rPr>
      <w:rFonts w:ascii="Symbol" w:hAnsi="Symbol" w:cs="Symbol" w:hint="default"/>
      <w:color w:val="000000"/>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4z3">
    <w:name w:val="WW8Num24z3"/>
    <w:rPr>
      <w:rFonts w:ascii="Symbol" w:hAnsi="Symbol" w:cs="Symbol" w:hint="default"/>
    </w:rPr>
  </w:style>
  <w:style w:type="character" w:customStyle="1" w:styleId="WW8Num25z0">
    <w:name w:val="WW8Num25z0"/>
    <w:rPr>
      <w:rFonts w:ascii="Symbol" w:hAnsi="Symbol" w:cs="Symbol" w:hint="default"/>
      <w:color w:val="000000"/>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Times New Roman" w:hAnsi="Times New Roman" w:cs="Times New Roman" w:hint="default"/>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7z3">
    <w:name w:val="WW8Num27z3"/>
    <w:rPr>
      <w:rFonts w:ascii="Symbol" w:hAnsi="Symbol" w:cs="Symbol" w:hint="default"/>
    </w:rPr>
  </w:style>
  <w:style w:type="character" w:customStyle="1" w:styleId="9">
    <w:name w:val="Основной шрифт абзаца9"/>
  </w:style>
  <w:style w:type="character" w:customStyle="1" w:styleId="8">
    <w:name w:val="Основной шрифт абзаца8"/>
  </w:style>
  <w:style w:type="character" w:customStyle="1" w:styleId="7">
    <w:name w:val="Основной шрифт абзаца7"/>
  </w:style>
  <w:style w:type="character" w:customStyle="1" w:styleId="6">
    <w:name w:val="Основной шрифт абзаца6"/>
  </w:style>
  <w:style w:type="character" w:customStyle="1" w:styleId="5">
    <w:name w:val="Основной шрифт абзаца5"/>
  </w:style>
  <w:style w:type="character" w:customStyle="1" w:styleId="40">
    <w:name w:val="Основной шрифт абзаца4"/>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1">
    <w:name w:val="WW8Num9z1"/>
    <w:rPr>
      <w:rFonts w:ascii="Wingdings" w:hAnsi="Wingdings" w:cs="OpenSymbol"/>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1z3">
    <w:name w:val="WW8Num11z3"/>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5z3">
    <w:name w:val="WW8Num15z3"/>
    <w:rPr>
      <w:rFonts w:ascii="Symbol" w:hAnsi="Symbol" w:cs="Symbol" w:hint="default"/>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6z3">
    <w:name w:val="WW8Num26z3"/>
    <w:rPr>
      <w:rFonts w:ascii="Symbol" w:hAnsi="Symbol" w:cs="Symbol" w:hint="default"/>
    </w:rPr>
  </w:style>
  <w:style w:type="character" w:customStyle="1" w:styleId="30">
    <w:name w:val="Основной шрифт абзаца3"/>
  </w:style>
  <w:style w:type="character" w:customStyle="1" w:styleId="WW8Num9z2">
    <w:name w:val="WW8Num9z2"/>
    <w:rPr>
      <w:rFonts w:ascii="Wingdings" w:hAnsi="Wingdings" w:cs="Wingdings" w:hint="default"/>
    </w:rPr>
  </w:style>
  <w:style w:type="character" w:customStyle="1" w:styleId="20">
    <w:name w:val="Основной шрифт абзаца2"/>
  </w:style>
  <w:style w:type="character" w:customStyle="1" w:styleId="13">
    <w:name w:val="Основной шрифт абзаца1"/>
  </w:style>
  <w:style w:type="character" w:customStyle="1" w:styleId="DefaultParagraphFont">
    <w:name w:val="Default Paragraph Font"/>
  </w:style>
  <w:style w:type="character" w:customStyle="1" w:styleId="14">
    <w:name w:val="Заголовок 1 Знак"/>
    <w:rPr>
      <w:rFonts w:ascii="Times New Roman" w:eastAsia="Calibri" w:hAnsi="Times New Roman" w:cs="Tahoma"/>
      <w:b/>
      <w:bCs/>
      <w:color w:val="000000"/>
      <w:sz w:val="28"/>
      <w:szCs w:val="28"/>
    </w:rPr>
  </w:style>
  <w:style w:type="character" w:customStyle="1" w:styleId="21">
    <w:name w:val="Заголовок 2 Знак"/>
    <w:rPr>
      <w:rFonts w:ascii="Times New Roman" w:eastAsia="Times New Roman" w:hAnsi="Times New Roman" w:cs="Times New Roman"/>
      <w:b/>
      <w:bCs/>
      <w:i/>
      <w:color w:val="000000"/>
      <w:sz w:val="28"/>
      <w:szCs w:val="36"/>
    </w:rPr>
  </w:style>
  <w:style w:type="character" w:customStyle="1" w:styleId="31">
    <w:name w:val="Заголовок 3 Знак"/>
    <w:rPr>
      <w:rFonts w:ascii="Times New Roman" w:eastAsia="Times New Roman" w:hAnsi="Times New Roman" w:cs="Times New Roman"/>
      <w:bCs/>
      <w:i/>
      <w:color w:val="000000"/>
      <w:sz w:val="28"/>
      <w:szCs w:val="26"/>
    </w:rPr>
  </w:style>
  <w:style w:type="character" w:customStyle="1" w:styleId="41">
    <w:name w:val="Заголовок 4 Знак"/>
    <w:rPr>
      <w:rFonts w:ascii="Times New Roman" w:eastAsia="Calibri" w:hAnsi="Times New Roman" w:cs="Tahoma"/>
      <w:bCs/>
      <w:iCs/>
      <w:color w:val="000000"/>
      <w:sz w:val="24"/>
    </w:rPr>
  </w:style>
  <w:style w:type="character" w:customStyle="1" w:styleId="Zag2">
    <w:name w:val="Zag_2 Знак"/>
    <w:rPr>
      <w:rFonts w:ascii="Times New Roman" w:eastAsia="Times New Roman" w:hAnsi="Times New Roman" w:cs="Times New Roman"/>
      <w:b/>
      <w:i/>
      <w:sz w:val="20"/>
      <w:szCs w:val="20"/>
    </w:rPr>
  </w:style>
  <w:style w:type="character" w:customStyle="1" w:styleId="bodytext">
    <w:name w:val="body text Знак"/>
    <w:rPr>
      <w:rFonts w:ascii="Times New Roman" w:eastAsia="Times New Roman" w:hAnsi="Times New Roman" w:cs="Times New Roman"/>
      <w:sz w:val="20"/>
      <w:szCs w:val="20"/>
    </w:rPr>
  </w:style>
  <w:style w:type="character" w:customStyle="1" w:styleId="bodytext0">
    <w:name w:val="body_text Знак"/>
    <w:rPr>
      <w:rFonts w:ascii="Times New Roman" w:eastAsia="Times New Roman" w:hAnsi="Times New Roman" w:cs="Times New Roman"/>
      <w:sz w:val="20"/>
      <w:szCs w:val="20"/>
    </w:rPr>
  </w:style>
  <w:style w:type="character" w:customStyle="1" w:styleId="a4">
    <w:name w:val="Верхний колонтитул Знак"/>
    <w:basedOn w:val="DefaultParagraphFont"/>
  </w:style>
  <w:style w:type="character" w:customStyle="1" w:styleId="a5">
    <w:name w:val="Нижний колонтитул Знак"/>
    <w:basedOn w:val="DefaultParagraphFont"/>
  </w:style>
  <w:style w:type="character" w:styleId="a6">
    <w:name w:val="Hyperlink"/>
    <w:rPr>
      <w:color w:val="0000FF"/>
      <w:u w:val="single"/>
    </w:rPr>
  </w:style>
  <w:style w:type="character" w:customStyle="1" w:styleId="ecattext">
    <w:name w:val="ecattext"/>
    <w:basedOn w:val="DefaultParagraphFont"/>
  </w:style>
  <w:style w:type="character" w:customStyle="1" w:styleId="tlid-translation">
    <w:name w:val="tlid-translation"/>
    <w:basedOn w:val="DefaultParagraphFont"/>
  </w:style>
  <w:style w:type="character" w:customStyle="1" w:styleId="a7">
    <w:name w:val="Текст выноски Знак"/>
    <w:rPr>
      <w:rFonts w:ascii="Tahoma" w:hAnsi="Tahoma" w:cs="Tahoma"/>
      <w:sz w:val="16"/>
      <w:szCs w:val="16"/>
    </w:rPr>
  </w:style>
  <w:style w:type="character" w:customStyle="1" w:styleId="a8">
    <w:name w:val="Схема документа Знак"/>
    <w:rPr>
      <w:rFonts w:ascii="Tahoma" w:hAnsi="Tahoma" w:cs="Tahoma"/>
      <w:sz w:val="16"/>
      <w:szCs w:val="16"/>
    </w:rPr>
  </w:style>
  <w:style w:type="character" w:styleId="a9">
    <w:name w:val="Emphasis"/>
    <w:qFormat/>
    <w:rPr>
      <w:i/>
      <w:iCs/>
    </w:rPr>
  </w:style>
  <w:style w:type="character" w:customStyle="1" w:styleId="aa">
    <w:name w:val="Текст сноски Знак"/>
    <w:rPr>
      <w:sz w:val="20"/>
      <w:szCs w:val="20"/>
    </w:rPr>
  </w:style>
  <w:style w:type="character" w:customStyle="1" w:styleId="ab">
    <w:name w:val="Символ сноски"/>
    <w:rPr>
      <w:vertAlign w:val="superscript"/>
    </w:rPr>
  </w:style>
  <w:style w:type="character" w:customStyle="1" w:styleId="15">
    <w:name w:val="Знак сноски1"/>
    <w:rPr>
      <w:vertAlign w:val="superscript"/>
    </w:rPr>
  </w:style>
  <w:style w:type="character" w:styleId="ac">
    <w:name w:val="FollowedHyperlink"/>
    <w:rPr>
      <w:color w:val="954F72"/>
      <w:u w:val="single"/>
    </w:rPr>
  </w:style>
  <w:style w:type="character" w:customStyle="1" w:styleId="fontstyle01">
    <w:name w:val="fontstyle01"/>
    <w:rPr>
      <w:rFonts w:ascii="Bold" w:hAnsi="Bold" w:cs="Bold"/>
      <w:b/>
      <w:bCs/>
      <w:i w:val="0"/>
      <w:iCs w:val="0"/>
      <w:color w:val="26292E"/>
      <w:sz w:val="24"/>
      <w:szCs w:val="24"/>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b w:val="0"/>
      <w:i w:val="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rPr>
      <w:b/>
    </w:rPr>
  </w:style>
  <w:style w:type="character" w:customStyle="1" w:styleId="ListLabel48">
    <w:name w:val="ListLabel 48"/>
    <w:rPr>
      <w:b/>
    </w:rPr>
  </w:style>
  <w:style w:type="character" w:customStyle="1" w:styleId="ListLabel49">
    <w:name w:val="ListLabel 49"/>
    <w:rPr>
      <w:b/>
    </w:rPr>
  </w:style>
  <w:style w:type="character" w:customStyle="1" w:styleId="ListLabel50">
    <w:name w:val="ListLabel 50"/>
    <w:rPr>
      <w:b/>
    </w:rPr>
  </w:style>
  <w:style w:type="character" w:customStyle="1" w:styleId="ListLabel51">
    <w:name w:val="ListLabel 51"/>
    <w:rPr>
      <w:b/>
    </w:rPr>
  </w:style>
  <w:style w:type="character" w:customStyle="1" w:styleId="ListLabel52">
    <w:name w:val="ListLabel 52"/>
    <w:rPr>
      <w:b/>
    </w:rPr>
  </w:style>
  <w:style w:type="character" w:customStyle="1" w:styleId="ListLabel53">
    <w:name w:val="ListLabel 53"/>
    <w:rPr>
      <w:b/>
    </w:rPr>
  </w:style>
  <w:style w:type="character" w:customStyle="1" w:styleId="ListLabel54">
    <w:name w:val="ListLabel 54"/>
    <w:rPr>
      <w:b/>
    </w:rPr>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rPr>
      <w:b/>
    </w:rPr>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rPr>
      <w:rFonts w:cs="Courier New"/>
    </w:rPr>
  </w:style>
  <w:style w:type="character" w:customStyle="1" w:styleId="ListLabel147">
    <w:name w:val="ListLabel 147"/>
  </w:style>
  <w:style w:type="character" w:customStyle="1" w:styleId="ListLabel148">
    <w:name w:val="ListLabel 148"/>
  </w:style>
  <w:style w:type="character" w:customStyle="1" w:styleId="ListLabel149">
    <w:name w:val="ListLabel 149"/>
    <w:rPr>
      <w:rFonts w:cs="Courier New"/>
    </w:rPr>
  </w:style>
  <w:style w:type="character" w:customStyle="1" w:styleId="ListLabel150">
    <w:name w:val="ListLabel 150"/>
  </w:style>
  <w:style w:type="character" w:customStyle="1" w:styleId="ListLabel151">
    <w:name w:val="ListLabel 151"/>
  </w:style>
  <w:style w:type="character" w:customStyle="1" w:styleId="ListLabel152">
    <w:name w:val="ListLabel 152"/>
    <w:rPr>
      <w:rFonts w:cs="Courier New"/>
    </w:rPr>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rPr>
      <w:rFonts w:cs="Courier New"/>
    </w:rPr>
  </w:style>
  <w:style w:type="character" w:customStyle="1" w:styleId="ListLabel165">
    <w:name w:val="ListLabel 165"/>
  </w:style>
  <w:style w:type="character" w:customStyle="1" w:styleId="ListLabel166">
    <w:name w:val="ListLabel 166"/>
  </w:style>
  <w:style w:type="character" w:customStyle="1" w:styleId="ListLabel167">
    <w:name w:val="ListLabel 167"/>
    <w:rPr>
      <w:rFonts w:cs="Courier New"/>
    </w:rPr>
  </w:style>
  <w:style w:type="character" w:customStyle="1" w:styleId="ListLabel168">
    <w:name w:val="ListLabel 168"/>
  </w:style>
  <w:style w:type="character" w:customStyle="1" w:styleId="ListLabel169">
    <w:name w:val="ListLabel 169"/>
  </w:style>
  <w:style w:type="character" w:customStyle="1" w:styleId="ListLabel170">
    <w:name w:val="ListLabel 170"/>
    <w:rPr>
      <w:rFonts w:cs="Courier New"/>
    </w:rPr>
  </w:style>
  <w:style w:type="character" w:customStyle="1" w:styleId="ListLabel171">
    <w:name w:val="ListLabel 171"/>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rPr>
      <w:rFonts w:cs="Courier New"/>
    </w:rPr>
  </w:style>
  <w:style w:type="character" w:customStyle="1" w:styleId="ListLabel183">
    <w:name w:val="ListLabel 183"/>
  </w:style>
  <w:style w:type="character" w:customStyle="1" w:styleId="ListLabel184">
    <w:name w:val="ListLabel 184"/>
  </w:style>
  <w:style w:type="character" w:customStyle="1" w:styleId="ListLabel185">
    <w:name w:val="ListLabel 185"/>
    <w:rPr>
      <w:rFonts w:cs="Courier New"/>
    </w:rPr>
  </w:style>
  <w:style w:type="character" w:customStyle="1" w:styleId="ListLabel186">
    <w:name w:val="ListLabel 186"/>
  </w:style>
  <w:style w:type="character" w:customStyle="1" w:styleId="ListLabel187">
    <w:name w:val="ListLabel 187"/>
  </w:style>
  <w:style w:type="character" w:customStyle="1" w:styleId="ListLabel188">
    <w:name w:val="ListLabel 188"/>
    <w:rPr>
      <w:rFonts w:cs="Courier New"/>
    </w:rPr>
  </w:style>
  <w:style w:type="character" w:customStyle="1" w:styleId="ListLabel189">
    <w:name w:val="ListLabel 189"/>
  </w:style>
  <w:style w:type="character" w:customStyle="1" w:styleId="ListLabel190">
    <w:name w:val="ListLabel 190"/>
  </w:style>
  <w:style w:type="character" w:customStyle="1" w:styleId="ListLabel191">
    <w:name w:val="ListLabel 191"/>
    <w:rPr>
      <w:rFonts w:cs="Courier New"/>
    </w:rPr>
  </w:style>
  <w:style w:type="character" w:customStyle="1" w:styleId="ListLabel192">
    <w:name w:val="ListLabel 192"/>
  </w:style>
  <w:style w:type="character" w:customStyle="1" w:styleId="ListLabel193">
    <w:name w:val="ListLabel 193"/>
  </w:style>
  <w:style w:type="character" w:customStyle="1" w:styleId="ListLabel194">
    <w:name w:val="ListLabel 194"/>
    <w:rPr>
      <w:rFonts w:cs="Courier New"/>
    </w:rPr>
  </w:style>
  <w:style w:type="character" w:customStyle="1" w:styleId="ListLabel195">
    <w:name w:val="ListLabel 195"/>
  </w:style>
  <w:style w:type="character" w:customStyle="1" w:styleId="ListLabel196">
    <w:name w:val="ListLabel 196"/>
  </w:style>
  <w:style w:type="character" w:customStyle="1" w:styleId="ListLabel197">
    <w:name w:val="ListLabel 197"/>
    <w:rPr>
      <w:rFonts w:cs="Courier New"/>
    </w:rPr>
  </w:style>
  <w:style w:type="character" w:customStyle="1" w:styleId="ListLabel198">
    <w:name w:val="ListLabel 198"/>
  </w:style>
  <w:style w:type="character" w:customStyle="1" w:styleId="ListLabel199">
    <w:name w:val="ListLabel 199"/>
  </w:style>
  <w:style w:type="character" w:customStyle="1" w:styleId="ListLabel200">
    <w:name w:val="ListLabel 200"/>
    <w:rPr>
      <w:rFonts w:cs="Courier New"/>
    </w:rPr>
  </w:style>
  <w:style w:type="character" w:customStyle="1" w:styleId="ListLabel201">
    <w:name w:val="ListLabel 201"/>
  </w:style>
  <w:style w:type="character" w:customStyle="1" w:styleId="ListLabel202">
    <w:name w:val="ListLabel 202"/>
  </w:style>
  <w:style w:type="character" w:customStyle="1" w:styleId="ListLabel203">
    <w:name w:val="ListLabel 203"/>
    <w:rPr>
      <w:rFonts w:cs="Courier New"/>
    </w:rPr>
  </w:style>
  <w:style w:type="character" w:customStyle="1" w:styleId="ListLabel204">
    <w:name w:val="ListLabel 204"/>
  </w:style>
  <w:style w:type="character" w:customStyle="1" w:styleId="ListLabel205">
    <w:name w:val="ListLabel 205"/>
  </w:style>
  <w:style w:type="character" w:customStyle="1" w:styleId="ListLabel206">
    <w:name w:val="ListLabel 206"/>
    <w:rPr>
      <w:rFonts w:cs="Courier New"/>
    </w:rPr>
  </w:style>
  <w:style w:type="character" w:customStyle="1" w:styleId="ListLabel207">
    <w:name w:val="ListLabel 207"/>
  </w:style>
  <w:style w:type="character" w:customStyle="1" w:styleId="ListLabel208">
    <w:name w:val="ListLabel 208"/>
  </w:style>
  <w:style w:type="character" w:customStyle="1" w:styleId="ListLabel209">
    <w:name w:val="ListLabel 209"/>
    <w:rPr>
      <w:rFonts w:cs="Courier New"/>
    </w:rPr>
  </w:style>
  <w:style w:type="character" w:customStyle="1" w:styleId="ListLabel210">
    <w:name w:val="ListLabel 210"/>
  </w:style>
  <w:style w:type="character" w:customStyle="1" w:styleId="ListLabel211">
    <w:name w:val="ListLabel 211"/>
  </w:style>
  <w:style w:type="character" w:customStyle="1" w:styleId="ListLabel212">
    <w:name w:val="ListLabel 212"/>
    <w:rPr>
      <w:rFonts w:cs="Courier New"/>
    </w:rPr>
  </w:style>
  <w:style w:type="character" w:customStyle="1" w:styleId="ListLabel213">
    <w:name w:val="ListLabel 213"/>
  </w:style>
  <w:style w:type="character" w:customStyle="1" w:styleId="ListLabel214">
    <w:name w:val="ListLabel 214"/>
  </w:style>
  <w:style w:type="character" w:customStyle="1" w:styleId="ListLabel215">
    <w:name w:val="ListLabel 215"/>
    <w:rPr>
      <w:rFonts w:cs="Courier New"/>
    </w:rPr>
  </w:style>
  <w:style w:type="character" w:customStyle="1" w:styleId="ListLabel216">
    <w:name w:val="ListLabel 216"/>
  </w:style>
  <w:style w:type="character" w:customStyle="1" w:styleId="ListLabel217">
    <w:name w:val="ListLabel 217"/>
  </w:style>
  <w:style w:type="character" w:customStyle="1" w:styleId="ListLabel218">
    <w:name w:val="ListLabel 218"/>
    <w:rPr>
      <w:rFonts w:cs="Courier New"/>
    </w:rPr>
  </w:style>
  <w:style w:type="character" w:customStyle="1" w:styleId="ListLabel219">
    <w:name w:val="ListLabel 219"/>
  </w:style>
  <w:style w:type="character" w:customStyle="1" w:styleId="ListLabel220">
    <w:name w:val="ListLabel 220"/>
  </w:style>
  <w:style w:type="character" w:customStyle="1" w:styleId="ListLabel221">
    <w:name w:val="ListLabel 221"/>
    <w:rPr>
      <w:rFonts w:cs="Courier New"/>
    </w:rPr>
  </w:style>
  <w:style w:type="character" w:customStyle="1" w:styleId="ListLabel222">
    <w:name w:val="ListLabel 222"/>
  </w:style>
  <w:style w:type="character" w:customStyle="1" w:styleId="ListLabel223">
    <w:name w:val="ListLabel 223"/>
  </w:style>
  <w:style w:type="character" w:customStyle="1" w:styleId="ListLabel224">
    <w:name w:val="ListLabel 224"/>
    <w:rPr>
      <w:rFonts w:cs="Courier New"/>
    </w:rPr>
  </w:style>
  <w:style w:type="character" w:customStyle="1" w:styleId="ListLabel225">
    <w:name w:val="ListLabel 225"/>
  </w:style>
  <w:style w:type="character" w:customStyle="1" w:styleId="ListLabel226">
    <w:name w:val="ListLabel 226"/>
  </w:style>
  <w:style w:type="character" w:customStyle="1" w:styleId="ListLabel227">
    <w:name w:val="ListLabel 227"/>
    <w:rPr>
      <w:rFonts w:cs="Courier New"/>
    </w:rPr>
  </w:style>
  <w:style w:type="character" w:customStyle="1" w:styleId="ListLabel228">
    <w:name w:val="ListLabel 228"/>
  </w:style>
  <w:style w:type="character" w:customStyle="1" w:styleId="ListLabel229">
    <w:name w:val="ListLabel 229"/>
  </w:style>
  <w:style w:type="character" w:customStyle="1" w:styleId="ListLabel230">
    <w:name w:val="ListLabel 230"/>
    <w:rPr>
      <w:rFonts w:cs="Courier New"/>
    </w:rPr>
  </w:style>
  <w:style w:type="character" w:customStyle="1" w:styleId="ListLabel231">
    <w:name w:val="ListLabel 231"/>
  </w:style>
  <w:style w:type="character" w:customStyle="1" w:styleId="ListLabel232">
    <w:name w:val="ListLabel 232"/>
  </w:style>
  <w:style w:type="character" w:customStyle="1" w:styleId="ListLabel233">
    <w:name w:val="ListLabel 233"/>
    <w:rPr>
      <w:rFonts w:cs="Courier New"/>
    </w:rPr>
  </w:style>
  <w:style w:type="character" w:customStyle="1" w:styleId="ListLabel234">
    <w:name w:val="ListLabel 234"/>
  </w:style>
  <w:style w:type="character" w:customStyle="1" w:styleId="ListLabel235">
    <w:name w:val="ListLabel 235"/>
  </w:style>
  <w:style w:type="character" w:customStyle="1" w:styleId="ListLabel236">
    <w:name w:val="ListLabel 236"/>
    <w:rPr>
      <w:rFonts w:cs="Courier New"/>
    </w:rPr>
  </w:style>
  <w:style w:type="character" w:customStyle="1" w:styleId="ListLabel237">
    <w:name w:val="ListLabel 237"/>
  </w:style>
  <w:style w:type="character" w:customStyle="1" w:styleId="ListLabel238">
    <w:name w:val="ListLabel 238"/>
  </w:style>
  <w:style w:type="character" w:customStyle="1" w:styleId="ListLabel239">
    <w:name w:val="ListLabel 239"/>
    <w:rPr>
      <w:rFonts w:cs="Courier New"/>
    </w:rPr>
  </w:style>
  <w:style w:type="character" w:customStyle="1" w:styleId="ListLabel240">
    <w:name w:val="ListLabel 240"/>
  </w:style>
  <w:style w:type="character" w:customStyle="1" w:styleId="ListLabel241">
    <w:name w:val="ListLabel 241"/>
  </w:style>
  <w:style w:type="character" w:customStyle="1" w:styleId="ListLabel242">
    <w:name w:val="ListLabel 242"/>
    <w:rPr>
      <w:rFonts w:cs="Courier New"/>
    </w:rPr>
  </w:style>
  <w:style w:type="character" w:customStyle="1" w:styleId="ListLabel243">
    <w:name w:val="ListLabel 243"/>
  </w:style>
  <w:style w:type="character" w:customStyle="1" w:styleId="ListLabel244">
    <w:name w:val="ListLabel 244"/>
  </w:style>
  <w:style w:type="character" w:customStyle="1" w:styleId="ListLabel245">
    <w:name w:val="ListLabel 245"/>
    <w:rPr>
      <w:rFonts w:cs="Courier New"/>
    </w:rPr>
  </w:style>
  <w:style w:type="character" w:customStyle="1" w:styleId="ListLabel246">
    <w:name w:val="ListLabel 246"/>
  </w:style>
  <w:style w:type="character" w:customStyle="1" w:styleId="ListLabel247">
    <w:name w:val="ListLabel 247"/>
  </w:style>
  <w:style w:type="character" w:customStyle="1" w:styleId="ListLabel248">
    <w:name w:val="ListLabel 248"/>
    <w:rPr>
      <w:rFonts w:cs="Courier New"/>
    </w:rPr>
  </w:style>
  <w:style w:type="character" w:customStyle="1" w:styleId="ListLabel249">
    <w:name w:val="ListLabel 249"/>
  </w:style>
  <w:style w:type="character" w:customStyle="1" w:styleId="ListLabel250">
    <w:name w:val="ListLabel 250"/>
  </w:style>
  <w:style w:type="character" w:customStyle="1" w:styleId="ListLabel251">
    <w:name w:val="ListLabel 251"/>
    <w:rPr>
      <w:rFonts w:cs="Courier New"/>
    </w:rPr>
  </w:style>
  <w:style w:type="character" w:customStyle="1" w:styleId="ListLabel252">
    <w:name w:val="ListLabel 252"/>
  </w:style>
  <w:style w:type="character" w:customStyle="1" w:styleId="ListLabel253">
    <w:name w:val="ListLabel 253"/>
    <w:rPr>
      <w:rFonts w:ascii="Times New Roman" w:hAnsi="Times New Roman" w:cs="Times New Roman"/>
      <w:b w:val="0"/>
      <w:i w:val="0"/>
      <w:caps w:val="0"/>
      <w:smallCaps w:val="0"/>
      <w:strike w:val="0"/>
      <w:dstrike w:val="0"/>
      <w:vanish w:val="0"/>
      <w:spacing w:val="0"/>
      <w:w w:val="100"/>
      <w:kern w:val="2"/>
      <w:position w:val="0"/>
      <w:sz w:val="28"/>
      <w:szCs w:val="28"/>
      <w:vertAlign w:val="baseline"/>
    </w:rPr>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styleId="ad">
    <w:name w:val="line number"/>
  </w:style>
  <w:style w:type="character" w:customStyle="1" w:styleId="ae">
    <w:name w:val="Символ нумерации"/>
    <w:rPr>
      <w:rFonts w:ascii="Times New Roman" w:hAnsi="Times New Roman" w:cs="Times New Roman"/>
      <w:sz w:val="28"/>
      <w:szCs w:val="28"/>
    </w:rPr>
  </w:style>
  <w:style w:type="character" w:customStyle="1" w:styleId="af">
    <w:name w:val="Маркеры списка"/>
    <w:rPr>
      <w:rFonts w:ascii="OpenSymbol" w:eastAsia="OpenSymbol" w:hAnsi="OpenSymbol" w:cs="OpenSymbol"/>
    </w:rPr>
  </w:style>
  <w:style w:type="character" w:styleId="af0">
    <w:name w:val="Strong"/>
    <w:qFormat/>
    <w:rPr>
      <w:b/>
      <w:bCs/>
    </w:rPr>
  </w:style>
  <w:style w:type="character" w:customStyle="1" w:styleId="af1">
    <w:name w:val="Символ концевой сноски"/>
    <w:rPr>
      <w:vertAlign w:val="superscript"/>
    </w:rPr>
  </w:style>
  <w:style w:type="character" w:customStyle="1" w:styleId="WW-">
    <w:name w:val="WW-Символ концевой сноски"/>
  </w:style>
  <w:style w:type="character" w:customStyle="1" w:styleId="16">
    <w:name w:val="Текст выноски Знак1"/>
    <w:rPr>
      <w:rFonts w:ascii="Segoe UI" w:eastAsia="Calibri" w:hAnsi="Segoe UI" w:cs="Segoe UI"/>
      <w:sz w:val="18"/>
      <w:szCs w:val="18"/>
    </w:rPr>
  </w:style>
  <w:style w:type="character" w:customStyle="1" w:styleId="22">
    <w:name w:val="Знак сноски2"/>
    <w:rPr>
      <w:vertAlign w:val="superscript"/>
    </w:rPr>
  </w:style>
  <w:style w:type="character" w:customStyle="1" w:styleId="17">
    <w:name w:val="Знак концевой сноски1"/>
    <w:rPr>
      <w:vertAlign w:val="superscript"/>
    </w:rPr>
  </w:style>
  <w:style w:type="character" w:customStyle="1" w:styleId="32">
    <w:name w:val="Знак сноски3"/>
    <w:rPr>
      <w:vertAlign w:val="superscript"/>
    </w:rPr>
  </w:style>
  <w:style w:type="character" w:customStyle="1" w:styleId="23">
    <w:name w:val="Знак концевой сноски2"/>
    <w:rPr>
      <w:vertAlign w:val="superscript"/>
    </w:rPr>
  </w:style>
  <w:style w:type="character" w:customStyle="1" w:styleId="af2">
    <w:name w:val="Подзаголовок Знак"/>
    <w:rPr>
      <w:rFonts w:ascii="Cambria" w:eastAsia="Times New Roman" w:hAnsi="Cambria" w:cs="Times New Roman"/>
      <w:sz w:val="24"/>
      <w:szCs w:val="24"/>
      <w:lang w:eastAsia="zh-CN"/>
    </w:rPr>
  </w:style>
  <w:style w:type="character" w:styleId="af3">
    <w:name w:val="Subtle Emphasis"/>
    <w:qFormat/>
    <w:rPr>
      <w:i/>
      <w:iCs/>
      <w:color w:val="808080"/>
    </w:rPr>
  </w:style>
  <w:style w:type="character" w:customStyle="1" w:styleId="af4">
    <w:name w:val="Текст концевой сноски Знак"/>
    <w:rPr>
      <w:rFonts w:ascii="Calibri" w:eastAsia="Calibri" w:hAnsi="Calibri" w:cs="Tahoma"/>
      <w:lang w:eastAsia="zh-CN"/>
    </w:rPr>
  </w:style>
  <w:style w:type="character" w:customStyle="1" w:styleId="01">
    <w:name w:val="=МАССИВ_ОБЩ_01 Знак"/>
  </w:style>
  <w:style w:type="character" w:customStyle="1" w:styleId="42">
    <w:name w:val="Знак сноски4"/>
    <w:rPr>
      <w:vertAlign w:val="superscript"/>
    </w:rPr>
  </w:style>
  <w:style w:type="character" w:customStyle="1" w:styleId="33">
    <w:name w:val="Знак концевой сноски3"/>
    <w:rPr>
      <w:vertAlign w:val="superscript"/>
    </w:rPr>
  </w:style>
  <w:style w:type="character" w:customStyle="1" w:styleId="50">
    <w:name w:val="Знак сноски5"/>
    <w:rPr>
      <w:vertAlign w:val="superscript"/>
    </w:rPr>
  </w:style>
  <w:style w:type="character" w:customStyle="1" w:styleId="43">
    <w:name w:val="Знак концевой сноски4"/>
    <w:rPr>
      <w:vertAlign w:val="superscript"/>
    </w:rPr>
  </w:style>
  <w:style w:type="character" w:customStyle="1" w:styleId="60">
    <w:name w:val="Знак сноски6"/>
    <w:rPr>
      <w:vertAlign w:val="superscript"/>
    </w:rPr>
  </w:style>
  <w:style w:type="character" w:customStyle="1" w:styleId="51">
    <w:name w:val="Знак концевой сноски5"/>
    <w:rPr>
      <w:vertAlign w:val="superscript"/>
    </w:rPr>
  </w:style>
  <w:style w:type="character" w:customStyle="1" w:styleId="70">
    <w:name w:val="Знак сноски7"/>
    <w:rPr>
      <w:vertAlign w:val="superscript"/>
    </w:rPr>
  </w:style>
  <w:style w:type="character" w:customStyle="1" w:styleId="61">
    <w:name w:val="Знак концевой сноски6"/>
    <w:rPr>
      <w:vertAlign w:val="superscript"/>
    </w:rPr>
  </w:style>
  <w:style w:type="character" w:customStyle="1" w:styleId="ListLabel298">
    <w:name w:val="ListLabel 298"/>
  </w:style>
  <w:style w:type="character" w:customStyle="1" w:styleId="ListLabel299">
    <w:name w:val="ListLabel 299"/>
  </w:style>
  <w:style w:type="character" w:customStyle="1" w:styleId="ListLabel300">
    <w:name w:val="ListLabel 300"/>
  </w:style>
  <w:style w:type="character" w:customStyle="1" w:styleId="ListLabel301">
    <w:name w:val="ListLabel 301"/>
  </w:style>
  <w:style w:type="character" w:customStyle="1" w:styleId="ListLabel302">
    <w:name w:val="ListLabel 302"/>
  </w:style>
  <w:style w:type="character" w:customStyle="1" w:styleId="ListLabel303">
    <w:name w:val="ListLabel 303"/>
  </w:style>
  <w:style w:type="character" w:customStyle="1" w:styleId="ListLabel304">
    <w:name w:val="ListLabel 304"/>
  </w:style>
  <w:style w:type="character" w:customStyle="1" w:styleId="ListLabel305">
    <w:name w:val="ListLabel 305"/>
  </w:style>
  <w:style w:type="character" w:customStyle="1" w:styleId="ListLabel306">
    <w:name w:val="ListLabel 306"/>
  </w:style>
  <w:style w:type="character" w:customStyle="1" w:styleId="80">
    <w:name w:val="Знак сноски8"/>
    <w:rPr>
      <w:vertAlign w:val="superscript"/>
    </w:rPr>
  </w:style>
  <w:style w:type="character" w:customStyle="1" w:styleId="71">
    <w:name w:val="Знак концевой сноски7"/>
    <w:rPr>
      <w:vertAlign w:val="superscript"/>
    </w:rPr>
  </w:style>
  <w:style w:type="character" w:customStyle="1" w:styleId="90">
    <w:name w:val="Знак сноски9"/>
    <w:rPr>
      <w:vertAlign w:val="superscript"/>
    </w:rPr>
  </w:style>
  <w:style w:type="character" w:customStyle="1" w:styleId="81">
    <w:name w:val="Знак концевой сноски8"/>
    <w:rPr>
      <w:vertAlign w:val="superscript"/>
    </w:rPr>
  </w:style>
  <w:style w:type="character" w:customStyle="1" w:styleId="100">
    <w:name w:val="Знак сноски10"/>
    <w:rPr>
      <w:vertAlign w:val="superscript"/>
    </w:rPr>
  </w:style>
  <w:style w:type="character" w:customStyle="1" w:styleId="91">
    <w:name w:val="Знак концевой сноски9"/>
    <w:rPr>
      <w:vertAlign w:val="superscript"/>
    </w:rPr>
  </w:style>
  <w:style w:type="character" w:customStyle="1" w:styleId="katex-mathml">
    <w:name w:val="katex-mathml"/>
  </w:style>
  <w:style w:type="character" w:customStyle="1" w:styleId="mord">
    <w:name w:val="mord"/>
  </w:style>
  <w:style w:type="character" w:customStyle="1" w:styleId="110">
    <w:name w:val="Знак сноски11"/>
    <w:rPr>
      <w:vertAlign w:val="superscript"/>
    </w:rPr>
  </w:style>
  <w:style w:type="character" w:customStyle="1" w:styleId="101">
    <w:name w:val="Знак концевой сноски10"/>
    <w:rPr>
      <w:vertAlign w:val="superscript"/>
    </w:rPr>
  </w:style>
  <w:style w:type="character" w:customStyle="1" w:styleId="120">
    <w:name w:val="Знак сноски12"/>
    <w:rPr>
      <w:vertAlign w:val="superscript"/>
    </w:rPr>
  </w:style>
  <w:style w:type="character" w:customStyle="1" w:styleId="111">
    <w:name w:val="Знак концевой сноски11"/>
    <w:rPr>
      <w:vertAlign w:val="superscript"/>
    </w:rPr>
  </w:style>
  <w:style w:type="character" w:styleId="af5">
    <w:name w:val="footnote reference"/>
    <w:rPr>
      <w:vertAlign w:val="superscript"/>
    </w:rPr>
  </w:style>
  <w:style w:type="character" w:styleId="af6">
    <w:name w:val="endnote reference"/>
    <w:rPr>
      <w:vertAlign w:val="superscript"/>
    </w:rPr>
  </w:style>
  <w:style w:type="paragraph" w:styleId="af7">
    <w:name w:val="Title"/>
    <w:basedOn w:val="a"/>
    <w:next w:val="a0"/>
    <w:pPr>
      <w:keepNext/>
      <w:spacing w:before="240" w:after="120"/>
    </w:pPr>
    <w:rPr>
      <w:rFonts w:ascii="Liberation Sans" w:eastAsia="Microsoft YaHei" w:hAnsi="Liberation Sans" w:cs="Mangal"/>
      <w:sz w:val="28"/>
      <w:szCs w:val="28"/>
    </w:rPr>
  </w:style>
  <w:style w:type="paragraph" w:styleId="a0">
    <w:name w:val="Body Text"/>
    <w:basedOn w:val="a"/>
    <w:pPr>
      <w:spacing w:after="140"/>
    </w:pPr>
  </w:style>
  <w:style w:type="paragraph" w:styleId="af8">
    <w:name w:val="List"/>
    <w:basedOn w:val="a0"/>
    <w:rPr>
      <w:rFonts w:cs="Mangal"/>
    </w:rPr>
  </w:style>
  <w:style w:type="paragraph" w:styleId="af9">
    <w:name w:val="caption"/>
    <w:basedOn w:val="a"/>
    <w:qFormat/>
    <w:pPr>
      <w:suppressLineNumbers/>
      <w:spacing w:before="120" w:after="120"/>
    </w:pPr>
    <w:rPr>
      <w:rFonts w:ascii="PT Astra Serif" w:hAnsi="PT Astra Serif" w:cs="Noto Sans Devanagari"/>
      <w:i/>
      <w:iCs/>
      <w:sz w:val="24"/>
      <w:szCs w:val="24"/>
    </w:rPr>
  </w:style>
  <w:style w:type="paragraph" w:customStyle="1" w:styleId="130">
    <w:name w:val="Указатель13"/>
    <w:basedOn w:val="a"/>
    <w:pPr>
      <w:suppressLineNumbers/>
    </w:pPr>
    <w:rPr>
      <w:rFonts w:ascii="PT Astra Serif" w:hAnsi="PT Astra Serif" w:cs="Noto Sans Devanagari"/>
    </w:rPr>
  </w:style>
  <w:style w:type="paragraph" w:customStyle="1" w:styleId="121">
    <w:name w:val="Название объекта12"/>
    <w:basedOn w:val="a"/>
    <w:pPr>
      <w:suppressLineNumbers/>
      <w:spacing w:before="120" w:after="120"/>
    </w:pPr>
    <w:rPr>
      <w:rFonts w:ascii="PT Astra Serif" w:hAnsi="PT Astra Serif" w:cs="Noto Sans Devanagari"/>
      <w:i/>
      <w:iCs/>
      <w:sz w:val="24"/>
      <w:szCs w:val="24"/>
    </w:rPr>
  </w:style>
  <w:style w:type="paragraph" w:customStyle="1" w:styleId="122">
    <w:name w:val="Указатель12"/>
    <w:basedOn w:val="a"/>
    <w:pPr>
      <w:suppressLineNumbers/>
    </w:pPr>
    <w:rPr>
      <w:rFonts w:ascii="PT Astra Serif" w:hAnsi="PT Astra Serif" w:cs="Noto Sans Devanagari"/>
    </w:rPr>
  </w:style>
  <w:style w:type="paragraph" w:customStyle="1" w:styleId="112">
    <w:name w:val="Название объекта11"/>
    <w:basedOn w:val="a"/>
    <w:pPr>
      <w:suppressLineNumbers/>
      <w:spacing w:before="120" w:after="120"/>
    </w:pPr>
    <w:rPr>
      <w:rFonts w:ascii="PT Astra Serif" w:hAnsi="PT Astra Serif" w:cs="Noto Sans Devanagari"/>
      <w:i/>
      <w:iCs/>
      <w:sz w:val="24"/>
      <w:szCs w:val="24"/>
    </w:rPr>
  </w:style>
  <w:style w:type="paragraph" w:customStyle="1" w:styleId="113">
    <w:name w:val="Указатель11"/>
    <w:basedOn w:val="a"/>
    <w:pPr>
      <w:suppressLineNumbers/>
    </w:pPr>
    <w:rPr>
      <w:rFonts w:ascii="PT Astra Serif" w:hAnsi="PT Astra Serif" w:cs="Noto Sans Devanagari"/>
    </w:rPr>
  </w:style>
  <w:style w:type="paragraph" w:customStyle="1" w:styleId="102">
    <w:name w:val="Название объекта10"/>
    <w:basedOn w:val="a"/>
    <w:pPr>
      <w:suppressLineNumbers/>
      <w:spacing w:before="120" w:after="120"/>
    </w:pPr>
    <w:rPr>
      <w:rFonts w:cs="Arial"/>
      <w:i/>
      <w:iCs/>
      <w:sz w:val="24"/>
      <w:szCs w:val="24"/>
    </w:rPr>
  </w:style>
  <w:style w:type="paragraph" w:customStyle="1" w:styleId="103">
    <w:name w:val="Указатель10"/>
    <w:basedOn w:val="a"/>
    <w:pPr>
      <w:suppressLineNumbers/>
    </w:pPr>
    <w:rPr>
      <w:rFonts w:cs="Arial"/>
    </w:rPr>
  </w:style>
  <w:style w:type="paragraph" w:customStyle="1" w:styleId="92">
    <w:name w:val="Название объекта9"/>
    <w:basedOn w:val="a"/>
    <w:pPr>
      <w:suppressLineNumbers/>
      <w:spacing w:before="120" w:after="120"/>
    </w:pPr>
    <w:rPr>
      <w:rFonts w:cs="Arial"/>
      <w:i/>
      <w:iCs/>
      <w:sz w:val="24"/>
      <w:szCs w:val="24"/>
    </w:rPr>
  </w:style>
  <w:style w:type="paragraph" w:customStyle="1" w:styleId="93">
    <w:name w:val="Указатель9"/>
    <w:basedOn w:val="a"/>
    <w:pPr>
      <w:suppressLineNumbers/>
    </w:pPr>
    <w:rPr>
      <w:rFonts w:cs="Arial"/>
    </w:rPr>
  </w:style>
  <w:style w:type="paragraph" w:customStyle="1" w:styleId="82">
    <w:name w:val="Название объекта8"/>
    <w:basedOn w:val="a"/>
    <w:pPr>
      <w:suppressLineNumbers/>
      <w:spacing w:before="120" w:after="120"/>
    </w:pPr>
    <w:rPr>
      <w:rFonts w:cs="Arial"/>
      <w:i/>
      <w:iCs/>
      <w:sz w:val="24"/>
      <w:szCs w:val="24"/>
    </w:rPr>
  </w:style>
  <w:style w:type="paragraph" w:customStyle="1" w:styleId="83">
    <w:name w:val="Указатель8"/>
    <w:basedOn w:val="a"/>
    <w:pPr>
      <w:suppressLineNumbers/>
    </w:pPr>
    <w:rPr>
      <w:rFonts w:cs="Arial"/>
    </w:rPr>
  </w:style>
  <w:style w:type="paragraph" w:customStyle="1" w:styleId="72">
    <w:name w:val="Название объекта7"/>
    <w:basedOn w:val="a"/>
    <w:pPr>
      <w:suppressLineNumbers/>
      <w:spacing w:before="120" w:after="120"/>
    </w:pPr>
    <w:rPr>
      <w:rFonts w:cs="Arial"/>
      <w:i/>
      <w:iCs/>
      <w:sz w:val="24"/>
      <w:szCs w:val="24"/>
    </w:rPr>
  </w:style>
  <w:style w:type="paragraph" w:customStyle="1" w:styleId="73">
    <w:name w:val="Указатель7"/>
    <w:basedOn w:val="a"/>
    <w:pPr>
      <w:suppressLineNumbers/>
    </w:pPr>
    <w:rPr>
      <w:rFonts w:cs="Arial"/>
    </w:rPr>
  </w:style>
  <w:style w:type="paragraph" w:customStyle="1" w:styleId="62">
    <w:name w:val="Название объекта6"/>
    <w:basedOn w:val="a"/>
    <w:pPr>
      <w:suppressLineNumbers/>
      <w:spacing w:before="120" w:after="120"/>
    </w:pPr>
    <w:rPr>
      <w:rFonts w:cs="Arial"/>
      <w:i/>
      <w:iCs/>
      <w:sz w:val="24"/>
      <w:szCs w:val="24"/>
    </w:rPr>
  </w:style>
  <w:style w:type="paragraph" w:customStyle="1" w:styleId="63">
    <w:name w:val="Указатель6"/>
    <w:basedOn w:val="a"/>
    <w:pPr>
      <w:suppressLineNumbers/>
    </w:pPr>
    <w:rPr>
      <w:rFonts w:cs="Arial"/>
    </w:rPr>
  </w:style>
  <w:style w:type="paragraph" w:customStyle="1" w:styleId="52">
    <w:name w:val="Название объекта5"/>
    <w:basedOn w:val="a"/>
    <w:pPr>
      <w:suppressLineNumbers/>
      <w:spacing w:before="120" w:after="120"/>
    </w:pPr>
    <w:rPr>
      <w:rFonts w:cs="Arial"/>
      <w:i/>
      <w:iCs/>
      <w:sz w:val="24"/>
      <w:szCs w:val="24"/>
    </w:rPr>
  </w:style>
  <w:style w:type="paragraph" w:customStyle="1" w:styleId="53">
    <w:name w:val="Указатель5"/>
    <w:basedOn w:val="a"/>
    <w:pPr>
      <w:suppressLineNumbers/>
    </w:pPr>
    <w:rPr>
      <w:rFonts w:cs="Arial"/>
    </w:rPr>
  </w:style>
  <w:style w:type="paragraph" w:customStyle="1" w:styleId="44">
    <w:name w:val="Название объекта4"/>
    <w:basedOn w:val="a"/>
    <w:pPr>
      <w:suppressLineNumbers/>
      <w:spacing w:before="120" w:after="120"/>
    </w:pPr>
    <w:rPr>
      <w:rFonts w:cs="Arial"/>
      <w:i/>
      <w:iCs/>
      <w:sz w:val="24"/>
      <w:szCs w:val="24"/>
    </w:rPr>
  </w:style>
  <w:style w:type="paragraph" w:customStyle="1" w:styleId="45">
    <w:name w:val="Указатель4"/>
    <w:basedOn w:val="a"/>
    <w:pPr>
      <w:suppressLineNumbers/>
    </w:pPr>
    <w:rPr>
      <w:rFonts w:cs="Arial"/>
    </w:rPr>
  </w:style>
  <w:style w:type="paragraph" w:customStyle="1" w:styleId="34">
    <w:name w:val="Название объекта3"/>
    <w:basedOn w:val="a"/>
    <w:pPr>
      <w:suppressLineNumbers/>
      <w:spacing w:before="120" w:after="120"/>
    </w:pPr>
    <w:rPr>
      <w:rFonts w:cs="Mangal"/>
      <w:i/>
      <w:iCs/>
      <w:sz w:val="24"/>
      <w:szCs w:val="24"/>
    </w:rPr>
  </w:style>
  <w:style w:type="paragraph" w:customStyle="1" w:styleId="35">
    <w:name w:val="Указатель3"/>
    <w:basedOn w:val="a"/>
    <w:pPr>
      <w:suppressLineNumbers/>
    </w:pPr>
    <w:rPr>
      <w:rFonts w:cs="Mangal"/>
    </w:rPr>
  </w:style>
  <w:style w:type="paragraph" w:customStyle="1" w:styleId="24">
    <w:name w:val="Название объекта2"/>
    <w:basedOn w:val="a"/>
    <w:pPr>
      <w:suppressLineNumbers/>
      <w:spacing w:before="120" w:after="120"/>
    </w:pPr>
    <w:rPr>
      <w:rFonts w:cs="Mangal"/>
      <w:i/>
      <w:iCs/>
      <w:sz w:val="24"/>
      <w:szCs w:val="24"/>
    </w:rPr>
  </w:style>
  <w:style w:type="paragraph" w:customStyle="1" w:styleId="25">
    <w:name w:val="Указатель2"/>
    <w:basedOn w:val="a"/>
    <w:pPr>
      <w:suppressLineNumbers/>
    </w:pPr>
    <w:rPr>
      <w:rFonts w:cs="Mangal"/>
    </w:rPr>
  </w:style>
  <w:style w:type="paragraph" w:customStyle="1" w:styleId="18">
    <w:name w:val="Название объекта1"/>
    <w:basedOn w:val="a"/>
    <w:pPr>
      <w:suppressLineNumbers/>
      <w:spacing w:before="120" w:after="120"/>
    </w:pPr>
    <w:rPr>
      <w:rFonts w:cs="Mangal"/>
      <w:i/>
      <w:iCs/>
      <w:sz w:val="24"/>
      <w:szCs w:val="24"/>
    </w:rPr>
  </w:style>
  <w:style w:type="paragraph" w:customStyle="1" w:styleId="19">
    <w:name w:val="Указатель1"/>
    <w:basedOn w:val="a"/>
    <w:pPr>
      <w:suppressLineNumbers/>
    </w:pPr>
    <w:rPr>
      <w:rFonts w:cs="Mangal"/>
    </w:rPr>
  </w:style>
  <w:style w:type="paragraph" w:customStyle="1" w:styleId="ConsPlusNormal">
    <w:name w:val="ConsPlusNormal"/>
    <w:pPr>
      <w:widowControl w:val="0"/>
      <w:suppressAutoHyphens/>
    </w:pPr>
    <w:rPr>
      <w:rFonts w:ascii="Calibri" w:hAnsi="Calibri" w:cs="Calibri"/>
      <w:sz w:val="22"/>
      <w:lang w:eastAsia="zh-CN"/>
    </w:rPr>
  </w:style>
  <w:style w:type="paragraph" w:customStyle="1" w:styleId="ConsPlusTitle">
    <w:name w:val="ConsPlusTitle"/>
    <w:pPr>
      <w:widowControl w:val="0"/>
      <w:suppressAutoHyphens/>
    </w:pPr>
    <w:rPr>
      <w:rFonts w:ascii="Calibri" w:hAnsi="Calibri" w:cs="Calibri"/>
      <w:b/>
      <w:sz w:val="22"/>
      <w:lang w:eastAsia="zh-CN"/>
    </w:rPr>
  </w:style>
  <w:style w:type="paragraph" w:customStyle="1" w:styleId="ListParagraph">
    <w:name w:val="List Paragraph"/>
    <w:basedOn w:val="a"/>
    <w:pPr>
      <w:ind w:left="720"/>
    </w:pPr>
    <w:rPr>
      <w:rFonts w:eastAsia="Times New Roman" w:cs="Calibri"/>
    </w:rPr>
  </w:style>
  <w:style w:type="paragraph" w:customStyle="1" w:styleId="1a">
    <w:name w:val="Основной текст1"/>
    <w:next w:val="a"/>
    <w:pPr>
      <w:suppressAutoHyphens/>
      <w:ind w:firstLine="425"/>
      <w:jc w:val="both"/>
    </w:pPr>
    <w:rPr>
      <w:lang w:eastAsia="zh-CN"/>
    </w:rPr>
  </w:style>
  <w:style w:type="paragraph" w:customStyle="1" w:styleId="Zag20">
    <w:name w:val="Zag_2"/>
    <w:basedOn w:val="a"/>
    <w:pPr>
      <w:keepNext/>
      <w:spacing w:before="120" w:after="60" w:line="228" w:lineRule="auto"/>
      <w:jc w:val="center"/>
    </w:pPr>
    <w:rPr>
      <w:rFonts w:ascii="Times New Roman" w:eastAsia="Times New Roman" w:hAnsi="Times New Roman" w:cs="Times New Roman"/>
      <w:b/>
      <w:i/>
      <w:sz w:val="20"/>
      <w:szCs w:val="20"/>
    </w:rPr>
  </w:style>
  <w:style w:type="paragraph" w:customStyle="1" w:styleId="26">
    <w:name w:val="Основной текст2"/>
    <w:next w:val="a"/>
    <w:pPr>
      <w:suppressAutoHyphens/>
      <w:ind w:firstLine="425"/>
      <w:jc w:val="both"/>
    </w:pPr>
    <w:rPr>
      <w:lang w:eastAsia="zh-CN"/>
    </w:rPr>
  </w:style>
  <w:style w:type="paragraph" w:customStyle="1" w:styleId="bodytext1">
    <w:name w:val="body_text"/>
    <w:pPr>
      <w:suppressAutoHyphens/>
      <w:spacing w:line="228" w:lineRule="auto"/>
      <w:ind w:firstLine="425"/>
      <w:jc w:val="both"/>
    </w:pPr>
    <w:rPr>
      <w:lang w:eastAsia="zh-CN"/>
    </w:rPr>
  </w:style>
  <w:style w:type="paragraph" w:customStyle="1" w:styleId="TablCenter">
    <w:name w:val="Tabl_Center"/>
    <w:basedOn w:val="bodytext1"/>
    <w:pPr>
      <w:spacing w:before="20" w:after="20" w:line="204" w:lineRule="auto"/>
      <w:ind w:firstLine="0"/>
      <w:jc w:val="center"/>
    </w:pPr>
    <w:rPr>
      <w:sz w:val="18"/>
      <w:szCs w:val="18"/>
    </w:rPr>
  </w:style>
  <w:style w:type="paragraph" w:customStyle="1" w:styleId="Zag4">
    <w:name w:val="Zag_4"/>
    <w:pPr>
      <w:keepNext/>
      <w:widowControl w:val="0"/>
      <w:suppressAutoHyphens/>
      <w:spacing w:before="80" w:after="60" w:line="228" w:lineRule="auto"/>
      <w:jc w:val="center"/>
    </w:pPr>
    <w:rPr>
      <w:i/>
      <w:lang w:eastAsia="zh-CN"/>
    </w:rPr>
  </w:style>
  <w:style w:type="paragraph" w:customStyle="1" w:styleId="Zagtab">
    <w:name w:val="Zag_tab"/>
    <w:next w:val="a"/>
    <w:pPr>
      <w:keepNext/>
      <w:keepLines/>
      <w:suppressAutoHyphens/>
      <w:spacing w:before="60" w:after="120"/>
      <w:jc w:val="center"/>
    </w:pPr>
    <w:rPr>
      <w:b/>
      <w:sz w:val="18"/>
      <w:lang w:eastAsia="zh-CN"/>
    </w:rPr>
  </w:style>
  <w:style w:type="paragraph" w:customStyle="1" w:styleId="afa">
    <w:name w:val="Примечание"/>
    <w:basedOn w:val="a"/>
    <w:pPr>
      <w:widowControl w:val="0"/>
      <w:spacing w:before="60" w:after="60" w:line="228" w:lineRule="auto"/>
      <w:ind w:firstLine="425"/>
      <w:jc w:val="both"/>
    </w:pPr>
    <w:rPr>
      <w:rFonts w:ascii="Times New Roman" w:eastAsia="Times New Roman" w:hAnsi="Times New Roman" w:cs="Times New Roman"/>
      <w:iCs/>
      <w:sz w:val="18"/>
      <w:szCs w:val="20"/>
    </w:rPr>
  </w:style>
  <w:style w:type="paragraph" w:customStyle="1" w:styleId="tab">
    <w:name w:val="tab_#"/>
    <w:basedOn w:val="a"/>
    <w:pPr>
      <w:keepNext/>
      <w:spacing w:before="60" w:after="60" w:line="240" w:lineRule="auto"/>
      <w:jc w:val="right"/>
    </w:pPr>
    <w:rPr>
      <w:rFonts w:ascii="Arial" w:eastAsia="Times New Roman" w:hAnsi="Arial" w:cs="Times New Roman"/>
      <w:sz w:val="18"/>
      <w:szCs w:val="20"/>
    </w:rPr>
  </w:style>
  <w:style w:type="paragraph" w:customStyle="1" w:styleId="HeaderandFooter">
    <w:name w:val="Header and Footer"/>
    <w:basedOn w:val="a"/>
  </w:style>
  <w:style w:type="paragraph" w:customStyle="1" w:styleId="afb">
    <w:name w:val="Колонтитул"/>
    <w:basedOn w:val="a"/>
    <w:pPr>
      <w:suppressLineNumbers/>
      <w:tabs>
        <w:tab w:val="center" w:pos="4819"/>
        <w:tab w:val="right" w:pos="9638"/>
      </w:tabs>
    </w:pPr>
  </w:style>
  <w:style w:type="paragraph" w:customStyle="1" w:styleId="afc">
    <w:name w:val="Верхний и нижний колонтитулы"/>
    <w:basedOn w:val="a"/>
    <w:pPr>
      <w:suppressLineNumbers/>
      <w:tabs>
        <w:tab w:val="center" w:pos="4819"/>
        <w:tab w:val="right" w:pos="9638"/>
      </w:tabs>
    </w:pPr>
  </w:style>
  <w:style w:type="paragraph" w:styleId="afd">
    <w:name w:val="header"/>
    <w:basedOn w:val="a"/>
    <w:pPr>
      <w:tabs>
        <w:tab w:val="center" w:pos="4677"/>
        <w:tab w:val="right" w:pos="9355"/>
      </w:tabs>
      <w:spacing w:after="0" w:line="240" w:lineRule="auto"/>
    </w:pPr>
  </w:style>
  <w:style w:type="paragraph" w:styleId="afe">
    <w:name w:val="footer"/>
    <w:basedOn w:val="a"/>
    <w:pPr>
      <w:tabs>
        <w:tab w:val="center" w:pos="4677"/>
        <w:tab w:val="right" w:pos="9355"/>
      </w:tabs>
      <w:spacing w:after="0" w:line="240" w:lineRule="auto"/>
    </w:pPr>
  </w:style>
  <w:style w:type="paragraph" w:customStyle="1" w:styleId="36">
    <w:name w:val="Основной текст3"/>
    <w:next w:val="a"/>
    <w:pPr>
      <w:suppressAutoHyphens/>
      <w:ind w:firstLine="425"/>
      <w:jc w:val="both"/>
    </w:pPr>
    <w:rPr>
      <w:lang w:eastAsia="zh-CN"/>
    </w:rPr>
  </w:style>
  <w:style w:type="paragraph" w:customStyle="1" w:styleId="NormalWeb">
    <w:name w:val="Normal (Web)"/>
    <w:basedOn w:val="a"/>
    <w:pPr>
      <w:spacing w:before="280" w:after="280" w:line="240" w:lineRule="auto"/>
    </w:pPr>
    <w:rPr>
      <w:rFonts w:ascii="Times New Roman" w:eastAsia="Times New Roman" w:hAnsi="Times New Roman" w:cs="Times New Roman"/>
      <w:sz w:val="24"/>
      <w:szCs w:val="24"/>
    </w:rPr>
  </w:style>
  <w:style w:type="paragraph" w:customStyle="1" w:styleId="12660">
    <w:name w:val="12660"/>
    <w:basedOn w:val="a"/>
    <w:pPr>
      <w:spacing w:before="280" w:after="280" w:line="240" w:lineRule="auto"/>
    </w:pPr>
    <w:rPr>
      <w:rFonts w:ascii="Times New Roman" w:eastAsia="Times New Roman" w:hAnsi="Times New Roman" w:cs="Times New Roman"/>
      <w:sz w:val="24"/>
      <w:szCs w:val="24"/>
    </w:rPr>
  </w:style>
  <w:style w:type="paragraph" w:customStyle="1" w:styleId="a10">
    <w:name w:val="a1"/>
    <w:basedOn w:val="a"/>
    <w:pPr>
      <w:spacing w:before="280" w:after="280" w:line="240" w:lineRule="auto"/>
    </w:pPr>
    <w:rPr>
      <w:rFonts w:ascii="Times New Roman" w:eastAsia="Times New Roman" w:hAnsi="Times New Roman" w:cs="Times New Roman"/>
      <w:sz w:val="24"/>
      <w:szCs w:val="24"/>
    </w:rPr>
  </w:style>
  <w:style w:type="paragraph" w:customStyle="1" w:styleId="dt-p">
    <w:name w:val="dt-p"/>
    <w:basedOn w:val="a"/>
    <w:pPr>
      <w:spacing w:before="280" w:after="280" w:line="240" w:lineRule="auto"/>
    </w:pPr>
    <w:rPr>
      <w:rFonts w:ascii="Times New Roman" w:eastAsia="Times New Roman" w:hAnsi="Times New Roman" w:cs="Times New Roman"/>
      <w:sz w:val="24"/>
      <w:szCs w:val="24"/>
    </w:rPr>
  </w:style>
  <w:style w:type="paragraph" w:customStyle="1" w:styleId="formattext">
    <w:name w:val="formattext"/>
    <w:basedOn w:val="a"/>
    <w:pPr>
      <w:spacing w:before="280" w:after="280" w:line="240" w:lineRule="auto"/>
    </w:pPr>
    <w:rPr>
      <w:rFonts w:ascii="Times New Roman" w:eastAsia="Times New Roman" w:hAnsi="Times New Roman" w:cs="Times New Roman"/>
      <w:sz w:val="24"/>
      <w:szCs w:val="24"/>
    </w:rPr>
  </w:style>
  <w:style w:type="paragraph" w:styleId="aff">
    <w:name w:val="index heading"/>
    <w:basedOn w:val="af7"/>
  </w:style>
  <w:style w:type="paragraph" w:customStyle="1" w:styleId="1b">
    <w:name w:val="Заголовок таблицы ссылок1"/>
    <w:basedOn w:val="1"/>
    <w:next w:val="a"/>
    <w:pPr>
      <w:numPr>
        <w:numId w:val="0"/>
      </w:numPr>
      <w:outlineLvl w:val="9"/>
    </w:pPr>
  </w:style>
  <w:style w:type="paragraph" w:styleId="1c">
    <w:name w:val="toc 1"/>
    <w:basedOn w:val="a"/>
    <w:next w:val="a"/>
    <w:pPr>
      <w:spacing w:after="100"/>
    </w:pPr>
  </w:style>
  <w:style w:type="paragraph" w:styleId="27">
    <w:name w:val="toc 2"/>
    <w:basedOn w:val="a"/>
    <w:next w:val="a"/>
    <w:pPr>
      <w:tabs>
        <w:tab w:val="right" w:leader="dot" w:pos="9629"/>
      </w:tabs>
      <w:spacing w:after="0" w:line="240" w:lineRule="auto"/>
      <w:ind w:left="227"/>
      <w:jc w:val="both"/>
    </w:pPr>
    <w:rPr>
      <w:rFonts w:ascii="Times New Roman" w:hAnsi="Times New Roman" w:cs="Times New Roman"/>
      <w:color w:val="000000"/>
      <w:sz w:val="24"/>
      <w:szCs w:val="24"/>
    </w:rPr>
  </w:style>
  <w:style w:type="paragraph" w:styleId="37">
    <w:name w:val="toc 3"/>
    <w:basedOn w:val="a"/>
    <w:next w:val="a"/>
    <w:pPr>
      <w:tabs>
        <w:tab w:val="right" w:leader="dot" w:pos="9629"/>
      </w:tabs>
      <w:spacing w:after="0"/>
      <w:ind w:left="227"/>
    </w:pPr>
  </w:style>
  <w:style w:type="paragraph" w:customStyle="1" w:styleId="BalloonText">
    <w:name w:val="Balloon Text"/>
    <w:basedOn w:val="a"/>
    <w:pPr>
      <w:spacing w:after="0" w:line="240" w:lineRule="auto"/>
    </w:pPr>
    <w:rPr>
      <w:rFonts w:ascii="Tahoma" w:hAnsi="Tahoma"/>
      <w:sz w:val="16"/>
      <w:szCs w:val="16"/>
    </w:rPr>
  </w:style>
  <w:style w:type="paragraph" w:customStyle="1" w:styleId="NoSpacing">
    <w:name w:val="No Spacing"/>
    <w:pPr>
      <w:suppressAutoHyphens/>
    </w:pPr>
    <w:rPr>
      <w:rFonts w:ascii="Calibri" w:eastAsia="Calibri" w:hAnsi="Calibri" w:cs="Tahoma"/>
      <w:sz w:val="22"/>
      <w:szCs w:val="22"/>
      <w:lang w:eastAsia="zh-CN"/>
    </w:rPr>
  </w:style>
  <w:style w:type="paragraph" w:customStyle="1" w:styleId="DocumentMap">
    <w:name w:val="Document Map"/>
    <w:basedOn w:val="a"/>
    <w:pPr>
      <w:spacing w:after="0" w:line="240" w:lineRule="auto"/>
    </w:pPr>
    <w:rPr>
      <w:rFonts w:ascii="Tahoma" w:hAnsi="Tahoma"/>
      <w:sz w:val="16"/>
      <w:szCs w:val="16"/>
    </w:rPr>
  </w:style>
  <w:style w:type="paragraph" w:customStyle="1" w:styleId="ConsPlusNonformat">
    <w:name w:val="ConsPlusNonformat"/>
    <w:pPr>
      <w:widowControl w:val="0"/>
      <w:suppressAutoHyphens/>
    </w:pPr>
    <w:rPr>
      <w:rFonts w:ascii="Courier New" w:hAnsi="Courier New" w:cs="Courier New"/>
      <w:lang w:eastAsia="zh-CN"/>
    </w:rPr>
  </w:style>
  <w:style w:type="paragraph" w:customStyle="1" w:styleId="Default">
    <w:name w:val="Default"/>
    <w:pPr>
      <w:suppressAutoHyphens/>
    </w:pPr>
    <w:rPr>
      <w:rFonts w:eastAsia="Calibri"/>
      <w:color w:val="000000"/>
      <w:sz w:val="24"/>
      <w:szCs w:val="24"/>
      <w:lang w:eastAsia="zh-CN"/>
    </w:rPr>
  </w:style>
  <w:style w:type="paragraph" w:styleId="aff0">
    <w:name w:val="footnote text"/>
    <w:basedOn w:val="a"/>
    <w:pPr>
      <w:spacing w:after="0" w:line="240" w:lineRule="auto"/>
    </w:pPr>
    <w:rPr>
      <w:sz w:val="20"/>
      <w:szCs w:val="20"/>
    </w:rPr>
  </w:style>
  <w:style w:type="paragraph" w:customStyle="1" w:styleId="FORMATTEXT0">
    <w:name w:val=".FORMATTEXT"/>
    <w:pPr>
      <w:widowControl w:val="0"/>
      <w:suppressAutoHyphens/>
    </w:pPr>
    <w:rPr>
      <w:sz w:val="24"/>
      <w:szCs w:val="24"/>
      <w:lang w:eastAsia="zh-CN"/>
    </w:rPr>
  </w:style>
  <w:style w:type="paragraph" w:customStyle="1" w:styleId="aff1">
    <w:name w:val="Содержимое таблицы"/>
    <w:basedOn w:val="a"/>
    <w:pPr>
      <w:widowControl w:val="0"/>
      <w:suppressLineNumbers/>
    </w:pPr>
  </w:style>
  <w:style w:type="paragraph" w:customStyle="1" w:styleId="bodytext2">
    <w:name w:val="body text"/>
    <w:next w:val="a"/>
    <w:pPr>
      <w:suppressAutoHyphens/>
      <w:ind w:firstLine="425"/>
      <w:jc w:val="both"/>
    </w:pPr>
    <w:rPr>
      <w:lang w:eastAsia="zh-CN"/>
    </w:rPr>
  </w:style>
  <w:style w:type="paragraph" w:customStyle="1" w:styleId="pribor">
    <w:name w:val="pribor"/>
    <w:basedOn w:val="bodytext1"/>
    <w:pPr>
      <w:tabs>
        <w:tab w:val="left" w:pos="4253"/>
      </w:tabs>
      <w:ind w:right="1985" w:firstLine="0"/>
      <w:jc w:val="left"/>
    </w:pPr>
  </w:style>
  <w:style w:type="paragraph" w:customStyle="1" w:styleId="aff2">
    <w:name w:val="Текст в заданном формате"/>
    <w:basedOn w:val="a"/>
    <w:pPr>
      <w:spacing w:after="0"/>
    </w:pPr>
    <w:rPr>
      <w:rFonts w:ascii="Liberation Mono" w:eastAsia="Liberation Mono" w:hAnsi="Liberation Mono" w:cs="Liberation Mono"/>
      <w:sz w:val="20"/>
      <w:szCs w:val="20"/>
    </w:rPr>
  </w:style>
  <w:style w:type="paragraph" w:customStyle="1" w:styleId="aff3">
    <w:name w:val="Заголовок таблицы"/>
    <w:basedOn w:val="aff1"/>
    <w:pPr>
      <w:jc w:val="center"/>
    </w:pPr>
    <w:rPr>
      <w:b/>
      <w:bCs/>
    </w:rPr>
  </w:style>
  <w:style w:type="paragraph" w:styleId="aff4">
    <w:name w:val="Balloon Text"/>
    <w:basedOn w:val="a"/>
    <w:pPr>
      <w:spacing w:after="0" w:line="240" w:lineRule="auto"/>
    </w:pPr>
    <w:rPr>
      <w:rFonts w:ascii="Segoe UI" w:hAnsi="Segoe UI" w:cs="Segoe UI"/>
      <w:sz w:val="18"/>
      <w:szCs w:val="18"/>
    </w:rPr>
  </w:style>
  <w:style w:type="paragraph" w:styleId="aff5">
    <w:name w:val="List Paragraph"/>
    <w:basedOn w:val="a"/>
    <w:qFormat/>
    <w:pPr>
      <w:ind w:left="708"/>
    </w:pPr>
  </w:style>
  <w:style w:type="paragraph" w:customStyle="1" w:styleId="Standard">
    <w:name w:val="Standard"/>
    <w:pPr>
      <w:suppressAutoHyphens/>
      <w:spacing w:after="200" w:line="276" w:lineRule="auto"/>
      <w:textAlignment w:val="baseline"/>
    </w:pPr>
    <w:rPr>
      <w:rFonts w:ascii="Calibri" w:eastAsia="Calibri" w:hAnsi="Calibri" w:cs="Tahoma"/>
      <w:sz w:val="22"/>
      <w:szCs w:val="22"/>
      <w:lang w:eastAsia="zh-CN"/>
    </w:rPr>
  </w:style>
  <w:style w:type="paragraph" w:styleId="aff6">
    <w:name w:val="Обычный (веб)"/>
    <w:basedOn w:val="a"/>
    <w:pPr>
      <w:suppressAutoHyphens w:val="0"/>
      <w:spacing w:before="280" w:after="280" w:line="240" w:lineRule="auto"/>
    </w:pPr>
    <w:rPr>
      <w:rFonts w:ascii="Times New Roman" w:eastAsia="Times New Roman" w:hAnsi="Times New Roman" w:cs="Times New Roman"/>
      <w:sz w:val="24"/>
      <w:szCs w:val="24"/>
    </w:rPr>
  </w:style>
  <w:style w:type="paragraph" w:styleId="aff7">
    <w:name w:val="No Spacing"/>
    <w:qFormat/>
    <w:pPr>
      <w:suppressAutoHyphens/>
    </w:pPr>
    <w:rPr>
      <w:rFonts w:ascii="Calibri" w:eastAsia="Calibri" w:hAnsi="Calibri" w:cs="Tahoma"/>
      <w:sz w:val="22"/>
      <w:szCs w:val="22"/>
      <w:lang w:eastAsia="zh-CN"/>
    </w:rPr>
  </w:style>
  <w:style w:type="paragraph" w:styleId="aff8">
    <w:name w:val="Subtitle"/>
    <w:basedOn w:val="a"/>
    <w:next w:val="a"/>
    <w:qFormat/>
    <w:pPr>
      <w:spacing w:after="60"/>
      <w:jc w:val="center"/>
    </w:pPr>
    <w:rPr>
      <w:rFonts w:ascii="Cambria" w:eastAsia="Times New Roman" w:hAnsi="Cambria" w:cs="Times New Roman"/>
      <w:sz w:val="24"/>
      <w:szCs w:val="24"/>
    </w:rPr>
  </w:style>
  <w:style w:type="paragraph" w:styleId="aff9">
    <w:name w:val="endnote text"/>
    <w:basedOn w:val="a"/>
    <w:rPr>
      <w:sz w:val="20"/>
      <w:szCs w:val="20"/>
    </w:rPr>
  </w:style>
  <w:style w:type="paragraph" w:customStyle="1" w:styleId="Zag1">
    <w:name w:val="Zag_1"/>
    <w:basedOn w:val="a"/>
    <w:pPr>
      <w:keepNext/>
      <w:spacing w:before="120" w:after="60" w:line="228" w:lineRule="auto"/>
      <w:jc w:val="center"/>
    </w:pPr>
    <w:rPr>
      <w:rFonts w:ascii="Times New Roman" w:eastAsia="Times New Roman" w:hAnsi="Times New Roman" w:cs="Times New Roman"/>
      <w:b/>
      <w:szCs w:val="20"/>
      <w:lang w:val="ru-RU" w:eastAsia="ru-RU"/>
    </w:rPr>
  </w:style>
  <w:style w:type="paragraph" w:customStyle="1" w:styleId="010">
    <w:name w:val="=ЗАГ_ВТОР_УР_01"/>
    <w:pPr>
      <w:suppressAutoHyphens/>
      <w:spacing w:before="120" w:after="80"/>
      <w:jc w:val="center"/>
    </w:pPr>
    <w:rPr>
      <w:b/>
      <w:bCs/>
      <w:i/>
      <w:iCs/>
      <w:lang w:eastAsia="zh-CN"/>
    </w:rPr>
  </w:style>
  <w:style w:type="paragraph" w:customStyle="1" w:styleId="tabl">
    <w:name w:val="tabl"/>
    <w:next w:val="a"/>
    <w:pPr>
      <w:suppressAutoHyphens/>
      <w:spacing w:after="40" w:line="228" w:lineRule="auto"/>
      <w:jc w:val="right"/>
    </w:pPr>
    <w:rPr>
      <w:rFonts w:ascii="Arial" w:hAnsi="Arial" w:cs="Arial"/>
      <w:sz w:val="18"/>
      <w:lang w:eastAsia="zh-CN"/>
    </w:rPr>
  </w:style>
  <w:style w:type="paragraph" w:customStyle="1" w:styleId="011">
    <w:name w:val="=МАССИВ_ОБЩ_01"/>
    <w:pPr>
      <w:suppressAutoHyphens/>
      <w:ind w:firstLine="454"/>
      <w:jc w:val="both"/>
    </w:pPr>
    <w:rPr>
      <w:lang w:eastAsia="zh-CN"/>
    </w:rPr>
  </w:style>
  <w:style w:type="paragraph" w:customStyle="1" w:styleId="012">
    <w:name w:val="=ЗАГ_ТРЕТ_УР_01"/>
    <w:pPr>
      <w:suppressAutoHyphens/>
      <w:spacing w:before="80" w:after="120"/>
      <w:jc w:val="center"/>
    </w:pPr>
    <w:rPr>
      <w:i/>
      <w:iCs/>
      <w:lang w:eastAsia="zh-CN"/>
    </w:rPr>
  </w:style>
  <w:style w:type="paragraph" w:customStyle="1" w:styleId="013">
    <w:name w:val="=ЗАГ_ЧЕТВ_УР_01"/>
    <w:pPr>
      <w:suppressAutoHyphens/>
      <w:spacing w:before="180" w:after="120"/>
      <w:jc w:val="center"/>
    </w:pPr>
    <w:rPr>
      <w:sz w:val="16"/>
      <w:szCs w:val="16"/>
      <w:lang w:eastAsia="zh-CN"/>
    </w:rPr>
  </w:style>
  <w:style w:type="paragraph" w:customStyle="1" w:styleId="headertext">
    <w:name w:val="headertext"/>
    <w:basedOn w:val="a"/>
    <w:pPr>
      <w:suppressAutoHyphens w:val="0"/>
      <w:spacing w:before="280" w:after="28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57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eader" Target="header6.xml"/><Relationship Id="rId21" Type="http://schemas.openxmlformats.org/officeDocument/2006/relationships/image" Target="media/image11.png"/><Relationship Id="rId34" Type="http://schemas.openxmlformats.org/officeDocument/2006/relationships/image" Target="media/image23.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4.xml"/><Relationship Id="rId40"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2.xml"/><Relationship Id="rId3" Type="http://schemas.openxmlformats.org/officeDocument/2006/relationships/styles" Target="styles.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652B0-01F3-4B7D-8C45-A81F8D22F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17455</Words>
  <Characters>99497</Characters>
  <Application>Microsoft Office Word</Application>
  <DocSecurity>0</DocSecurity>
  <Lines>829</Lines>
  <Paragraphs>233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dc:creator>
  <cp:keywords/>
  <cp:lastModifiedBy>Вгиш Прлд</cp:lastModifiedBy>
  <cp:revision>2</cp:revision>
  <cp:lastPrinted>2025-12-02T10:11:00Z</cp:lastPrinted>
  <dcterms:created xsi:type="dcterms:W3CDTF">2026-09-03T06:37:00Z</dcterms:created>
  <dcterms:modified xsi:type="dcterms:W3CDTF">2026-09-03T06:37:00Z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SPecialiST RePack</vt:lpwstr>
  </property>
</Properties>
</file>