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80" w:after="160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ПРЕДЛОЖЕНИЯ И ЗАМЕЧАНИЯ К ТАБЛИЧНОЙ ЧАСТИ ПРОЕКТА</w:t>
      </w:r>
    </w:p>
    <w:p>
      <w:pPr>
        <w:keepNext/>
        <w:spacing w:before="80" w:after="160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«Текущие и перспективные направления деятельности Роспотребнадзора по противодействию распространению ВИЧ-инфекции в 2026–2030 гг.»</w:t>
      </w:r>
    </w:p>
    <w:p>
      <w:pPr>
        <w:spacing w:before="0" w:after="100"/>
        <w:jc w:val="both"/>
      </w:pPr>
      <w:r>
        <w:rPr>
          <w:rFonts w:ascii="Times New Roman" w:hAnsi="Times New Roman" w:eastAsia="Times New Roman"/>
          <w:b/>
          <w:i w:val="0"/>
          <w:sz w:val="25"/>
        </w:rPr>
        <w:t>От кого (в подготовке):</w:t>
      </w:r>
      <w:r>
        <w:rPr>
          <w:rFonts w:ascii="Times New Roman" w:hAnsi="Times New Roman" w:eastAsia="Times New Roman"/>
          <w:b w:val="0"/>
          <w:i w:val="0"/>
          <w:sz w:val="25"/>
        </w:rPr>
        <w:t xml:space="preserve"> проект для рассмотрения руководством ФБУН «Ростовский НИИ микробиологии и паразитологии» Роспотребнадзора перед направлением ответа в центральный аппарат.</w:t>
      </w:r>
    </w:p>
    <w:p>
      <w:pPr>
        <w:spacing w:before="0" w:after="100"/>
        <w:jc w:val="both"/>
      </w:pPr>
      <w:r>
        <w:rPr>
          <w:rFonts w:ascii="Times New Roman" w:hAnsi="Times New Roman" w:eastAsia="Times New Roman"/>
          <w:b/>
          <w:i w:val="0"/>
          <w:sz w:val="25"/>
        </w:rPr>
        <w:t>Редакция:</w:t>
      </w:r>
      <w:r>
        <w:rPr>
          <w:rFonts w:ascii="Times New Roman" w:hAnsi="Times New Roman" w:eastAsia="Times New Roman"/>
          <w:b w:val="0"/>
          <w:i w:val="0"/>
          <w:sz w:val="25"/>
        </w:rPr>
        <w:t xml:space="preserve"> 3 (финальная), 10.09.2026.</w:t>
      </w:r>
    </w:p>
    <w:p>
      <w:pPr>
        <w:spacing w:before="0" w:after="100"/>
        <w:jc w:val="both"/>
      </w:pPr>
      <w:r>
        <w:rPr>
          <w:rFonts w:ascii="Times New Roman" w:hAnsi="Times New Roman" w:eastAsia="Times New Roman"/>
          <w:b/>
          <w:i w:val="0"/>
          <w:sz w:val="25"/>
        </w:rPr>
        <w:t>История редакций:</w:t>
      </w:r>
    </w:p>
    <w:p>
      <w:pPr>
        <w:spacing w:before="0" w:after="40"/>
        <w:ind w:left="340"/>
        <w:jc w:val="both"/>
      </w:pPr>
      <w:r>
        <w:rPr>
          <w:rFonts w:ascii="Times New Roman" w:hAnsi="Times New Roman" w:eastAsia="Times New Roman"/>
          <w:b w:val="0"/>
          <w:i w:val="0"/>
          <w:sz w:val="25"/>
        </w:rPr>
        <w:t>– ред. 1 — исходный массив замечаний Т, С, П-01…П-21, Б и 28 источников;</w:t>
      </w:r>
    </w:p>
    <w:p>
      <w:pPr>
        <w:spacing w:before="0" w:after="40"/>
        <w:ind w:left="340"/>
        <w:jc w:val="both"/>
      </w:pPr>
      <w:r>
        <w:rPr>
          <w:rFonts w:ascii="Times New Roman" w:hAnsi="Times New Roman" w:eastAsia="Times New Roman"/>
          <w:b w:val="0"/>
          <w:i w:val="0"/>
          <w:sz w:val="25"/>
        </w:rPr>
        <w:t>– ред. 2 — добавлены П-22…П-30 (перспективные надзорные и исследовательские работы), аргументационный блок об актуальности службы, источники [29]–[32];</w:t>
      </w:r>
    </w:p>
    <w:p>
      <w:pPr>
        <w:spacing w:before="0" w:after="40"/>
        <w:ind w:left="340"/>
        <w:jc w:val="both"/>
      </w:pPr>
      <w:r>
        <w:rPr>
          <w:rFonts w:ascii="Times New Roman" w:hAnsi="Times New Roman" w:eastAsia="Times New Roman"/>
          <w:b w:val="0"/>
          <w:i w:val="0"/>
          <w:sz w:val="25"/>
        </w:rPr>
        <w:t>– ред. 3 — по итогам стресс-аудита двумя независимыми агентами (объектом которого была ред. 2) исправлены: атрибуция источника [31] (приказ Минздрава России от 26.03.2020 № 240н, а не форма федерального статистического наблюдения № 4); юридическая формула в С-07 (ст. 37 Федерального закона № 323-ФЗ — клинические рекомендации утверждают медицинские профессиональные НКО); характеристики П-26 (число валидированных стран — 25 по данным ВОЗ на 10.09.2026; межведомственный характер досье; убраны формулы «исключительно» и «целиком службская»); П-11 (корректное описание события 2020 г.); П-12, П-20, П-22, П-24, П-29 (смягчение непроверяемых обобщений); добавлены Т-13…Т-15 (находки аудита) и П-31 (ПКП: рекомендации ВОЗ от 22.07.2024); добавлены источники [33]–[34]; исправлены дефекты разметки.</w:t>
      </w:r>
    </w:p>
    <w:p>
      <w:pPr>
        <w:spacing w:before="0" w:after="100"/>
        <w:jc w:val="both"/>
      </w:pPr>
      <w:r>
        <w:rPr>
          <w:rFonts w:ascii="Times New Roman" w:hAnsi="Times New Roman" w:eastAsia="Times New Roman"/>
          <w:b/>
          <w:i w:val="0"/>
          <w:sz w:val="25"/>
        </w:rPr>
        <w:t>Объект:</w:t>
      </w:r>
      <w:r>
        <w:rPr>
          <w:rFonts w:ascii="Times New Roman" w:hAnsi="Times New Roman" w:eastAsia="Times New Roman"/>
          <w:b w:val="0"/>
          <w:i w:val="0"/>
          <w:sz w:val="25"/>
        </w:rPr>
        <w:t xml:space="preserve"> `Текущие и перспективные направления борьбы с ВИЧ НЛ.docx`, таблица «Предложения в части текущих и перспективных направлений деятельности Роспотребнадзора…» (72 строки, 9 тематических разделов).</w:t>
      </w:r>
    </w:p>
    <w:p>
      <w:pPr>
        <w:keepNext/>
        <w:spacing w:before="280" w:after="120"/>
      </w:pPr>
      <w:r>
        <w:rPr>
          <w:rFonts w:ascii="Times New Roman" w:hAnsi="Times New Roman" w:eastAsia="Times New Roman"/>
          <w:b/>
          <w:i w:val="0"/>
          <w:sz w:val="26"/>
        </w:rPr>
        <w:t>0. СТАТУС И МЕТОДОЛОГИЯ</w:t>
      </w:r>
    </w:p>
    <w:p>
      <w:pPr>
        <w:spacing w:before="0" w:after="60"/>
        <w:ind w:left="397" w:hanging="397"/>
        <w:jc w:val="both"/>
      </w:pPr>
      <w:r>
        <w:rPr>
          <w:rFonts w:ascii="Times New Roman" w:hAnsi="Times New Roman" w:eastAsia="Times New Roman"/>
          <w:b w:val="0"/>
          <w:i w:val="0"/>
          <w:sz w:val="25"/>
        </w:rPr>
        <w:t xml:space="preserve">1. </w:t>
      </w:r>
      <w:r>
        <w:rPr>
          <w:rFonts w:ascii="Times New Roman" w:hAnsi="Times New Roman" w:eastAsia="Times New Roman"/>
          <w:b/>
          <w:i w:val="0"/>
          <w:sz w:val="25"/>
        </w:rPr>
        <w:t>Координаты строк.</w:t>
      </w:r>
      <w:r>
        <w:rPr>
          <w:rFonts w:ascii="Times New Roman" w:hAnsi="Times New Roman" w:eastAsia="Times New Roman"/>
          <w:b w:val="0"/>
          <w:i w:val="0"/>
          <w:sz w:val="25"/>
        </w:rPr>
        <w:t xml:space="preserve"> Строки таблицы обозначены R0–R71 (R0 — шапка). Цитаты приведены дословно по извлечённому тексту .docx.</w:t>
      </w:r>
    </w:p>
    <w:p>
      <w:pPr>
        <w:spacing w:before="0" w:after="60"/>
        <w:ind w:left="397" w:hanging="397"/>
        <w:jc w:val="both"/>
      </w:pPr>
      <w:r>
        <w:rPr>
          <w:rFonts w:ascii="Times New Roman" w:hAnsi="Times New Roman" w:eastAsia="Times New Roman"/>
          <w:b w:val="0"/>
          <w:i w:val="0"/>
          <w:sz w:val="25"/>
        </w:rPr>
        <w:t xml:space="preserve">2. </w:t>
      </w:r>
      <w:r>
        <w:rPr>
          <w:rFonts w:ascii="Times New Roman" w:hAnsi="Times New Roman" w:eastAsia="Times New Roman"/>
          <w:b/>
          <w:i w:val="0"/>
          <w:sz w:val="25"/>
        </w:rPr>
        <w:t>Уровни достоверности.</w:t>
      </w:r>
    </w:p>
    <w:p>
      <w:pPr>
        <w:spacing w:before="0" w:after="40"/>
        <w:ind w:left="340"/>
        <w:jc w:val="both"/>
      </w:pPr>
      <w:r>
        <w:rPr>
          <w:rFonts w:ascii="Times New Roman" w:hAnsi="Times New Roman" w:eastAsia="Times New Roman"/>
          <w:b w:val="0"/>
          <w:i w:val="0"/>
          <w:sz w:val="25"/>
        </w:rPr>
        <w:t>– ✅ — подтверждено открытыми источниками с URL (список в разделе 8, дата обращения всех ссылок — 10.09.2026);</w:t>
      </w:r>
    </w:p>
    <w:p>
      <w:pPr>
        <w:spacing w:before="0" w:after="40"/>
        <w:ind w:left="340"/>
        <w:jc w:val="both"/>
      </w:pPr>
      <w:r>
        <w:rPr>
          <w:rFonts w:ascii="Times New Roman" w:hAnsi="Times New Roman" w:eastAsia="Times New Roman"/>
          <w:b w:val="0"/>
          <w:i w:val="0"/>
          <w:sz w:val="25"/>
        </w:rPr>
        <w:t xml:space="preserve">– △ — данные ведомственного мониторинга/внутренней отчётности, публично не проверяемые (мы их </w:t>
      </w:r>
      <w:r>
        <w:rPr>
          <w:rFonts w:ascii="Times New Roman" w:hAnsi="Times New Roman" w:eastAsia="Times New Roman"/>
          <w:b/>
          <w:i w:val="0"/>
          <w:sz w:val="25"/>
        </w:rPr>
        <w:t>не оспариваем</w:t>
      </w:r>
      <w:r>
        <w:rPr>
          <w:rFonts w:ascii="Times New Roman" w:hAnsi="Times New Roman" w:eastAsia="Times New Roman"/>
          <w:b w:val="0"/>
          <w:i w:val="0"/>
          <w:sz w:val="25"/>
        </w:rPr>
        <w:t>, но просим у авторов проекта источник или методику);</w:t>
      </w:r>
    </w:p>
    <w:p>
      <w:pPr>
        <w:spacing w:before="0" w:after="40"/>
        <w:ind w:left="340"/>
        <w:jc w:val="both"/>
      </w:pPr>
      <w:r>
        <w:rPr>
          <w:rFonts w:ascii="Times New Roman" w:hAnsi="Times New Roman" w:eastAsia="Times New Roman"/>
          <w:b w:val="0"/>
          <w:i w:val="0"/>
          <w:sz w:val="25"/>
        </w:rPr>
        <w:t>– ⚠️ — внутренняя несогласованность/ошибка текста проекта.</w:t>
      </w:r>
    </w:p>
    <w:p>
      <w:pPr>
        <w:spacing w:before="0" w:after="60"/>
        <w:ind w:left="397" w:hanging="397"/>
        <w:jc w:val="both"/>
      </w:pPr>
      <w:r>
        <w:rPr>
          <w:rFonts w:ascii="Times New Roman" w:hAnsi="Times New Roman" w:eastAsia="Times New Roman"/>
          <w:b w:val="0"/>
          <w:i w:val="0"/>
          <w:sz w:val="25"/>
        </w:rPr>
        <w:t xml:space="preserve">3. </w:t>
      </w:r>
      <w:r>
        <w:rPr>
          <w:rFonts w:ascii="Times New Roman" w:hAnsi="Times New Roman" w:eastAsia="Times New Roman"/>
          <w:b/>
          <w:i w:val="0"/>
          <w:sz w:val="25"/>
        </w:rPr>
        <w:t>Принцип отбора предложений.</w:t>
      </w:r>
      <w:r>
        <w:rPr>
          <w:rFonts w:ascii="Times New Roman" w:hAnsi="Times New Roman" w:eastAsia="Times New Roman"/>
          <w:b w:val="0"/>
          <w:i w:val="0"/>
          <w:sz w:val="25"/>
        </w:rPr>
        <w:t xml:space="preserve"> Предлагаются только мероприятия, вписывающиеся в полномочия организаций Роспотребнадзора (эпиднадзор, лабораторная диагностика, наука, надзор, просвещение, методическая работа) — без вторжения в компетенцию Минздрава России (закупка и назначение терапии, организация оказания медпомощи). Все ключевые факты за рубежом/в ВОЗ проверены по первоисточникам: ничего «из головы».</w:t>
      </w:r>
    </w:p>
    <w:p>
      <w:pPr>
        <w:spacing w:before="0" w:after="100"/>
        <w:jc w:val="both"/>
      </w:pPr>
      <w:r>
        <w:rPr>
          <w:rFonts w:ascii="Times New Roman" w:hAnsi="Times New Roman" w:eastAsia="Times New Roman"/>
          <w:b/>
          <w:i w:val="0"/>
          <w:sz w:val="25"/>
        </w:rPr>
        <w:t>Проверка ключевых цифр преамбулы по открытым данным (✅/△):</w:t>
      </w:r>
      <w:r>
        <w:rPr>
          <w:rFonts w:ascii="Times New Roman" w:hAnsi="Times New Roman" w:eastAsia="Times New Roman"/>
          <w:b w:val="0"/>
          <w:i w:val="0"/>
          <w:sz w:val="25"/>
        </w:rPr>
        <w:t xml:space="preserve"> число новых случаев 45 638 и снижение на 13,4 % к 2024 г. совпадают с публично опубликованными вторичными данными по ЦНИИЭ [25]; показатель 31,23 на 100 тыс. приведён на одном из вторичных ресурсов, тогда как другой даёт 30,72 (без учёта новых субъектов) — расхождение методики пересчёта, окончательная сверка возможна только по первичному бюллетеню ЦНИИЭ (проекту рекомендуется указывать источник).</w:t>
      </w:r>
    </w:p>
    <w:p>
      <w:pPr>
        <w:keepNext/>
        <w:spacing w:before="280" w:after="120"/>
      </w:pPr>
      <w:r>
        <w:rPr>
          <w:rFonts w:ascii="Times New Roman" w:hAnsi="Times New Roman" w:eastAsia="Times New Roman"/>
          <w:b/>
          <w:i w:val="0"/>
          <w:sz w:val="26"/>
        </w:rPr>
        <w:t>1. ЗАМЕЧАНИЯ К СТРУКТУРЕ И ОФОРМЛЕНИЮ ТАБЛИЦЫ (правки формы)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871"/>
        <w:gridCol w:w="1871"/>
        <w:gridCol w:w="1871"/>
        <w:gridCol w:w="1871"/>
        <w:gridCol w:w="1871"/>
      </w:tblGrid>
      <w:tr>
        <w:trPr>
          <w:tblHeader w:val="true"/>
        </w:trPr>
        <w:tc>
          <w:tcPr>
            <w:tcW w:type="dxa" w:w="1871"/>
            <w:shd w:val="clear" w:fill="D9D9D9"/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19"/>
              </w:rPr>
              <w:t>№</w:t>
            </w:r>
          </w:p>
        </w:tc>
        <w:tc>
          <w:tcPr>
            <w:tcW w:type="dxa" w:w="1871"/>
            <w:shd w:val="clear" w:fill="D9D9D9"/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19"/>
              </w:rPr>
              <w:t>Где</w:t>
            </w:r>
          </w:p>
        </w:tc>
        <w:tc>
          <w:tcPr>
            <w:tcW w:type="dxa" w:w="1871"/>
            <w:shd w:val="clear" w:fill="D9D9D9"/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19"/>
              </w:rPr>
              <w:t>Как в проекте (дословно)</w:t>
            </w:r>
          </w:p>
        </w:tc>
        <w:tc>
          <w:tcPr>
            <w:tcW w:type="dxa" w:w="1871"/>
            <w:shd w:val="clear" w:fill="D9D9D9"/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19"/>
              </w:rPr>
              <w:t>Суть</w:t>
            </w:r>
          </w:p>
        </w:tc>
        <w:tc>
          <w:tcPr>
            <w:tcW w:type="dxa" w:w="1871"/>
            <w:shd w:val="clear" w:fill="D9D9D9"/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19"/>
              </w:rPr>
              <w:t>Предлагаемая правка</w:t>
            </w:r>
          </w:p>
        </w:tc>
      </w:tr>
      <w:tr>
        <w:tc>
          <w:tcPr>
            <w:tcW w:type="dxa" w:w="1871"/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Т-01</w:t>
            </w:r>
          </w:p>
        </w:tc>
        <w:tc>
          <w:tcPr>
            <w:tcW w:type="dxa" w:w="1871"/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R1, R8</w:t>
            </w:r>
          </w:p>
        </w:tc>
        <w:tc>
          <w:tcPr>
            <w:tcW w:type="dxa" w:w="1871"/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 xml:space="preserve">«Эпидемиологический мониторинг за ВИЧ-инфекцией», «Организационные мероприятия…» — </w:t>
            </w:r>
            <w:r>
              <w:rPr>
                <w:rFonts w:ascii="Times New Roman" w:hAnsi="Times New Roman" w:eastAsia="Times New Roman"/>
                <w:b/>
                <w:i w:val="0"/>
                <w:sz w:val="19"/>
              </w:rPr>
              <w:t>без номеров</w:t>
            </w:r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; далее R17 «III. Научные исследования…», R32 «IV. …», R39 «V. …», R45 «VI. …», R52 «VII. …», R60 «VIII. …», R66 «IX. …» ⚠️</w:t>
            </w:r>
          </w:p>
        </w:tc>
        <w:tc>
          <w:tcPr>
            <w:tcW w:type="dxa" w:w="1871"/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Разделы I и II не пронумерованы, III–IX пронумерованы; нумерация непоследовательна</w:t>
            </w:r>
          </w:p>
        </w:tc>
        <w:tc>
          <w:tcPr>
            <w:tcW w:type="dxa" w:w="1871"/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Проставить «I.» и «II.» в R1 и R8; унифицировать формат заголовков разделов (в R60 убрать табуляцию после «VIII.»)</w:t>
            </w:r>
          </w:p>
        </w:tc>
      </w:tr>
      <w:tr>
        <w:tc>
          <w:tcPr>
            <w:tcW w:type="dxa" w:w="1871"/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Т-02</w:t>
            </w:r>
          </w:p>
        </w:tc>
        <w:tc>
          <w:tcPr>
            <w:tcW w:type="dxa" w:w="1871"/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R22</w:t>
            </w:r>
          </w:p>
        </w:tc>
        <w:tc>
          <w:tcPr>
            <w:tcW w:type="dxa" w:w="1871"/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 xml:space="preserve">«…создания опорных баз </w:t>
            </w:r>
            <w:r>
              <w:rPr>
                <w:rFonts w:ascii="Times New Roman" w:hAnsi="Times New Roman" w:eastAsia="Times New Roman"/>
                <w:b/>
                <w:i w:val="0"/>
                <w:sz w:val="19"/>
              </w:rPr>
              <w:t>Референс-центра Референс-центр</w:t>
            </w:r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 xml:space="preserve"> по мониторингу за ВИЧ…» ⚠️</w:t>
            </w:r>
          </w:p>
        </w:tc>
        <w:tc>
          <w:tcPr>
            <w:tcW w:type="dxa" w:w="1871"/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Задвоение слова</w:t>
            </w:r>
          </w:p>
        </w:tc>
        <w:tc>
          <w:tcPr>
            <w:tcW w:type="dxa" w:w="1871"/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«…опорных баз Референс-центра по мониторингу за ВИЧ и ВИЧ-ассоциированными инфекциями…»</w:t>
            </w:r>
          </w:p>
        </w:tc>
      </w:tr>
      <w:tr>
        <w:tc>
          <w:tcPr>
            <w:tcW w:type="dxa" w:w="1871"/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Т-03</w:t>
            </w:r>
          </w:p>
        </w:tc>
        <w:tc>
          <w:tcPr>
            <w:tcW w:type="dxa" w:w="1871"/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R33</w:t>
            </w:r>
          </w:p>
        </w:tc>
        <w:tc>
          <w:tcPr>
            <w:tcW w:type="dxa" w:w="1871"/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 xml:space="preserve">«…для </w:t>
            </w:r>
            <w:r>
              <w:rPr>
                <w:rFonts w:ascii="Times New Roman" w:hAnsi="Times New Roman" w:eastAsia="Times New Roman"/>
                <w:b/>
                <w:i w:val="0"/>
                <w:sz w:val="19"/>
              </w:rPr>
              <w:t>внедрение</w:t>
            </w:r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 xml:space="preserve"> их в эпидемиологический надзор» ⚠️</w:t>
            </w:r>
          </w:p>
        </w:tc>
        <w:tc>
          <w:tcPr>
            <w:tcW w:type="dxa" w:w="1871"/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Грамматика</w:t>
            </w:r>
          </w:p>
        </w:tc>
        <w:tc>
          <w:tcPr>
            <w:tcW w:type="dxa" w:w="1871"/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«…для внедрения их в эпидемиологический надзор»</w:t>
            </w:r>
          </w:p>
        </w:tc>
      </w:tr>
      <w:tr>
        <w:tc>
          <w:tcPr>
            <w:tcW w:type="dxa" w:w="1871"/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Т-04</w:t>
            </w:r>
          </w:p>
        </w:tc>
        <w:tc>
          <w:tcPr>
            <w:tcW w:type="dxa" w:w="1871"/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R53</w:t>
            </w:r>
          </w:p>
        </w:tc>
        <w:tc>
          <w:tcPr>
            <w:tcW w:type="dxa" w:w="1871"/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 xml:space="preserve">«…студентов медицинских </w:t>
            </w:r>
            <w:r>
              <w:rPr>
                <w:rFonts w:ascii="Times New Roman" w:hAnsi="Times New Roman" w:eastAsia="Times New Roman"/>
                <w:b/>
                <w:i w:val="0"/>
                <w:sz w:val="19"/>
              </w:rPr>
              <w:t>ВУЗ</w:t>
            </w:r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 xml:space="preserve"> (особенно младших курсов)» ⚠️</w:t>
            </w:r>
          </w:p>
        </w:tc>
        <w:tc>
          <w:tcPr>
            <w:tcW w:type="dxa" w:w="1871"/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Орфография: «вуз» — общепринятая аббревиатура, пишется строчными</w:t>
            </w:r>
          </w:p>
        </w:tc>
        <w:tc>
          <w:tcPr>
            <w:tcW w:type="dxa" w:w="1871"/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«…студентов медицинских вузов…»</w:t>
            </w:r>
          </w:p>
        </w:tc>
      </w:tr>
      <w:tr>
        <w:tc>
          <w:tcPr>
            <w:tcW w:type="dxa" w:w="1871"/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Т-05</w:t>
            </w:r>
          </w:p>
        </w:tc>
        <w:tc>
          <w:tcPr>
            <w:tcW w:type="dxa" w:w="1871"/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R61</w:t>
            </w:r>
          </w:p>
        </w:tc>
        <w:tc>
          <w:tcPr>
            <w:tcW w:type="dxa" w:w="1871"/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«…научных организаций Роспотребнадзора Министерства здравоохранения Российской Федерации, Российской академии наук…» ⚠️</w:t>
            </w:r>
          </w:p>
        </w:tc>
        <w:tc>
          <w:tcPr>
            <w:tcW w:type="dxa" w:w="1871"/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Пропущен союз «и» между ведомствами</w:t>
            </w:r>
          </w:p>
        </w:tc>
        <w:tc>
          <w:tcPr>
            <w:tcW w:type="dxa" w:w="1871"/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 xml:space="preserve">«…научных организаций Роспотребнадзора </w:t>
            </w:r>
            <w:r>
              <w:rPr>
                <w:rFonts w:ascii="Times New Roman" w:hAnsi="Times New Roman" w:eastAsia="Times New Roman"/>
                <w:b/>
                <w:i w:val="0"/>
                <w:sz w:val="19"/>
              </w:rPr>
              <w:t>и</w:t>
            </w:r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 xml:space="preserve"> Министерства здравоохранения Российской Федерации, Российской академии наук…»</w:t>
            </w:r>
          </w:p>
        </w:tc>
      </w:tr>
      <w:tr>
        <w:tc>
          <w:tcPr>
            <w:tcW w:type="dxa" w:w="1871"/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Т-06</w:t>
            </w:r>
          </w:p>
        </w:tc>
        <w:tc>
          <w:tcPr>
            <w:tcW w:type="dxa" w:w="1871"/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R68</w:t>
            </w:r>
          </w:p>
        </w:tc>
        <w:tc>
          <w:tcPr>
            <w:tcW w:type="dxa" w:w="1871"/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 xml:space="preserve">«…с государствами - участниками Содружества…, </w:t>
            </w:r>
            <w:r>
              <w:rPr>
                <w:rFonts w:ascii="Times New Roman" w:hAnsi="Times New Roman" w:eastAsia="Times New Roman"/>
                <w:b/>
                <w:i w:val="0"/>
                <w:sz w:val="19"/>
              </w:rPr>
              <w:t>а другими</w:t>
            </w:r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 xml:space="preserve"> международными партнерами…» ⚠️</w:t>
            </w:r>
          </w:p>
        </w:tc>
        <w:tc>
          <w:tcPr>
            <w:tcW w:type="dxa" w:w="1871"/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Дефис с пробелами; пропущено «также с»</w:t>
            </w:r>
          </w:p>
        </w:tc>
        <w:tc>
          <w:tcPr>
            <w:tcW w:type="dxa" w:w="1871"/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 xml:space="preserve">«…с государствами-участниками Содружества Независимых Государств, а </w:t>
            </w:r>
            <w:r>
              <w:rPr>
                <w:rFonts w:ascii="Times New Roman" w:hAnsi="Times New Roman" w:eastAsia="Times New Roman"/>
                <w:b/>
                <w:i w:val="0"/>
                <w:sz w:val="19"/>
              </w:rPr>
              <w:t>также с</w:t>
            </w:r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 xml:space="preserve"> другими международными партнёрами…»</w:t>
            </w:r>
          </w:p>
        </w:tc>
      </w:tr>
      <w:tr>
        <w:tc>
          <w:tcPr>
            <w:tcW w:type="dxa" w:w="1871"/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Т-07</w:t>
            </w:r>
          </w:p>
        </w:tc>
        <w:tc>
          <w:tcPr>
            <w:tcW w:type="dxa" w:w="1871"/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R71</w:t>
            </w:r>
          </w:p>
        </w:tc>
        <w:tc>
          <w:tcPr>
            <w:tcW w:type="dxa" w:w="1871"/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 xml:space="preserve">«…содействия службам по профилактике и диагностике инфекционных болезней </w:t>
            </w:r>
            <w:r>
              <w:rPr>
                <w:rFonts w:ascii="Times New Roman" w:hAnsi="Times New Roman" w:eastAsia="Times New Roman"/>
                <w:b/>
                <w:i w:val="0"/>
                <w:sz w:val="19"/>
              </w:rPr>
              <w:t>Республике Абхазия</w:t>
            </w:r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» ⚠️</w:t>
            </w:r>
          </w:p>
        </w:tc>
        <w:tc>
          <w:tcPr>
            <w:tcW w:type="dxa" w:w="1871"/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Падеж/пропуск предлога</w:t>
            </w:r>
          </w:p>
        </w:tc>
        <w:tc>
          <w:tcPr>
            <w:tcW w:type="dxa" w:w="1871"/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 xml:space="preserve">«…содействия службам по профилактике и диагностике инфекционных болезней </w:t>
            </w:r>
            <w:r>
              <w:rPr>
                <w:rFonts w:ascii="Times New Roman" w:hAnsi="Times New Roman" w:eastAsia="Times New Roman"/>
                <w:b/>
                <w:i w:val="0"/>
                <w:sz w:val="19"/>
              </w:rPr>
              <w:t>в Республике Абхазия</w:t>
            </w:r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»</w:t>
            </w:r>
          </w:p>
        </w:tc>
      </w:tr>
      <w:tr>
        <w:tc>
          <w:tcPr>
            <w:tcW w:type="dxa" w:w="1871"/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Т-08</w:t>
            </w:r>
          </w:p>
        </w:tc>
        <w:tc>
          <w:tcPr>
            <w:tcW w:type="dxa" w:w="1871"/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R10 vs R61</w:t>
            </w:r>
          </w:p>
        </w:tc>
        <w:tc>
          <w:tcPr>
            <w:tcW w:type="dxa" w:w="1871"/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R10 (перспектива): «Рассмотреть вопрос об усилении взаимодействия между организациями системы Роспотребнадзора, организациями системы здравоохранения и организациями других министерств и ведомств»; R61 (перспектива): «Рассмотреть вопрос об усилении взаимодействия по вопросам ВИЧ-инфекции между организациями системы Роспотребнадзора, организациями системы здравоохранения и организациями других ФОИВ» ⚠️</w:t>
            </w:r>
          </w:p>
        </w:tc>
        <w:tc>
          <w:tcPr>
            <w:tcW w:type="dxa" w:w="1871"/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Практически дословный дубль в двух разных разделах (II и VIII)</w:t>
            </w:r>
          </w:p>
        </w:tc>
        <w:tc>
          <w:tcPr>
            <w:tcW w:type="dxa" w:w="1871"/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 xml:space="preserve">Дифференцировать: в R10 оставить </w:t>
            </w:r>
            <w:r>
              <w:rPr>
                <w:rFonts w:ascii="Times New Roman" w:hAnsi="Times New Roman" w:eastAsia="Times New Roman"/>
                <w:b/>
                <w:i w:val="0"/>
                <w:sz w:val="19"/>
              </w:rPr>
              <w:t>внутрисистемное</w:t>
            </w:r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 xml:space="preserve"> взаимодействие (Референс-центры ↔ НИО ↔ территориальные органы и лаборатории), в R61 — </w:t>
            </w:r>
            <w:r>
              <w:rPr>
                <w:rFonts w:ascii="Times New Roman" w:hAnsi="Times New Roman" w:eastAsia="Times New Roman"/>
                <w:b/>
                <w:i w:val="0"/>
                <w:sz w:val="19"/>
              </w:rPr>
              <w:t>межведомственное</w:t>
            </w:r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 xml:space="preserve"> (Минздрав, ФСИН, Минобрнауки, ГАК и др.); либо объединить в одной строке</w:t>
            </w:r>
          </w:p>
        </w:tc>
      </w:tr>
      <w:tr>
        <w:tc>
          <w:tcPr>
            <w:tcW w:type="dxa" w:w="1871"/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Т-09</w:t>
            </w:r>
          </w:p>
        </w:tc>
        <w:tc>
          <w:tcPr>
            <w:tcW w:type="dxa" w:w="1871"/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вся таблица</w:t>
            </w:r>
          </w:p>
        </w:tc>
        <w:tc>
          <w:tcPr>
            <w:tcW w:type="dxa" w:w="1871"/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ДКП, ПКП, АРВП, ЛЖВ, ВГВ, ВГС, МСМ, ПИН, СО НКО, ФОИВ, ГАК (R64), ЕИАС, АСОДОС — без расшифровки</w:t>
            </w:r>
          </w:p>
        </w:tc>
        <w:tc>
          <w:tcPr>
            <w:tcW w:type="dxa" w:w="1871"/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Аббревиатуры не расшифрованы</w:t>
            </w:r>
          </w:p>
        </w:tc>
        <w:tc>
          <w:tcPr>
            <w:tcW w:type="dxa" w:w="1871"/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Добавить перед таблицей перечень сокращений (единый на документ)</w:t>
            </w:r>
          </w:p>
        </w:tc>
      </w:tr>
      <w:tr>
        <w:tc>
          <w:tcPr>
            <w:tcW w:type="dxa" w:w="1871"/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Т-10</w:t>
            </w:r>
          </w:p>
        </w:tc>
        <w:tc>
          <w:tcPr>
            <w:tcW w:type="dxa" w:w="1871"/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R12</w:t>
            </w:r>
          </w:p>
        </w:tc>
        <w:tc>
          <w:tcPr>
            <w:tcW w:type="dxa" w:w="1871"/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 xml:space="preserve">«Развитие… Российской базы данных устойчивости ВИЧ к АРВ препаратам, </w:t>
            </w:r>
            <w:r>
              <w:rPr>
                <w:rFonts w:ascii="Times New Roman" w:hAnsi="Times New Roman" w:eastAsia="Times New Roman"/>
                <w:b/>
                <w:i w:val="0"/>
                <w:sz w:val="19"/>
              </w:rPr>
              <w:t>части VGARus</w:t>
            </w:r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» ✅△</w:t>
            </w:r>
          </w:p>
        </w:tc>
        <w:tc>
          <w:tcPr>
            <w:tcW w:type="dxa" w:w="1871"/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 xml:space="preserve">Формулировка стилистически неточна: Российская база данных устойчивости ВИЧ (RuHIV, hivresist.ru, ЦНИИЭ, осн. 2009), по данным ЦНИИЭ, — компонент платформы </w:t>
            </w:r>
            <w:r>
              <w:rPr>
                <w:rFonts w:ascii="Times New Roman" w:hAnsi="Times New Roman" w:eastAsia="Times New Roman"/>
                <w:b/>
                <w:i w:val="0"/>
                <w:sz w:val="19"/>
              </w:rPr>
              <w:t>VGARus (Virus Genome Aggregator of Russia)</w:t>
            </w:r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 xml:space="preserve"> [22]</w:t>
            </w:r>
          </w:p>
        </w:tc>
        <w:tc>
          <w:tcPr>
            <w:tcW w:type="dxa" w:w="1871"/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«…Российской базы данных устойчивости ВИЧ к антиретровирусным препаратам (RuHIV) в составе платформы агрегирования геномных данных VGARus (Virus Genome Aggregator of Russia)» [22]</w:t>
            </w:r>
          </w:p>
        </w:tc>
      </w:tr>
      <w:tr>
        <w:tc>
          <w:tcPr>
            <w:tcW w:type="dxa" w:w="1871"/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Т-11</w:t>
            </w:r>
          </w:p>
        </w:tc>
        <w:tc>
          <w:tcPr>
            <w:tcW w:type="dxa" w:w="1871"/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R3</w:t>
            </w:r>
          </w:p>
        </w:tc>
        <w:tc>
          <w:tcPr>
            <w:tcW w:type="dxa" w:w="1871"/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«Организация взаимодействия с новыми субъектами Российской Федерации»</w:t>
            </w:r>
          </w:p>
        </w:tc>
        <w:tc>
          <w:tcPr>
            <w:tcW w:type="dxa" w:w="1871"/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Строка не раскрывает содержание: «взаимодействие» — любой смысл</w:t>
            </w:r>
          </w:p>
        </w:tc>
        <w:tc>
          <w:tcPr>
            <w:tcW w:type="dxa" w:w="1871"/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Конкретизировать: «Научно-методическое сопровождение включения новых субъектов Российской Федерации в федеральную систему эпидемиологического надзора за ВИЧ-инфекцией (форма федерального статистического наблюдения № 4, АСОДОС, единые алгоритмы регистрации и верификации данных)»</w:t>
            </w:r>
          </w:p>
        </w:tc>
      </w:tr>
      <w:tr>
        <w:tc>
          <w:tcPr>
            <w:tcW w:type="dxa" w:w="1871"/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Т-12</w:t>
            </w:r>
          </w:p>
        </w:tc>
        <w:tc>
          <w:tcPr>
            <w:tcW w:type="dxa" w:w="1871"/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R0</w:t>
            </w:r>
          </w:p>
        </w:tc>
        <w:tc>
          <w:tcPr>
            <w:tcW w:type="dxa" w:w="1871"/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Шапка: «Текущие направления работы и мероприятия | Перспективные направления работы»</w:t>
            </w:r>
          </w:p>
        </w:tc>
        <w:tc>
          <w:tcPr>
            <w:tcW w:type="dxa" w:w="1871"/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Нет графы ответственности</w:t>
            </w:r>
          </w:p>
        </w:tc>
        <w:tc>
          <w:tcPr>
            <w:tcW w:type="dxa" w:w="1871"/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Рекомендовать добавить третью графу «Предлагаемые исполнители/участники (Референс-центры, НИО, территориальные органы)» — упростит сведение таблицы с Планом реализации Госпрограммы и государственными заданиями</w:t>
            </w:r>
          </w:p>
        </w:tc>
      </w:tr>
      <w:tr>
        <w:tc>
          <w:tcPr>
            <w:tcW w:type="dxa" w:w="1871"/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Т-13</w:t>
            </w:r>
          </w:p>
        </w:tc>
        <w:tc>
          <w:tcPr>
            <w:tcW w:type="dxa" w:w="1871"/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R33</w:t>
            </w:r>
          </w:p>
        </w:tc>
        <w:tc>
          <w:tcPr>
            <w:tcW w:type="dxa" w:w="1871"/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Ячейки-пункты перспективы «Установление диагностической чувствительности… у больных ВИЧ-инфекцией» и «Валидация биоинформатических методов…» идут подряд без разделителя ⚠️</w:t>
            </w:r>
          </w:p>
        </w:tc>
        <w:tc>
          <w:tcPr>
            <w:tcW w:type="dxa" w:w="1871"/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Два самостоятельных предложения слиты в одно</w:t>
            </w:r>
          </w:p>
        </w:tc>
        <w:tc>
          <w:tcPr>
            <w:tcW w:type="dxa" w:w="1871"/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Разделить точкой с запятой или перенумеровать как отдельные ячейки</w:t>
            </w:r>
          </w:p>
        </w:tc>
      </w:tr>
      <w:tr>
        <w:tc>
          <w:tcPr>
            <w:tcW w:type="dxa" w:w="1871"/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Т-14</w:t>
            </w:r>
          </w:p>
        </w:tc>
        <w:tc>
          <w:tcPr>
            <w:tcW w:type="dxa" w:w="1871"/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R55</w:t>
            </w:r>
          </w:p>
        </w:tc>
        <w:tc>
          <w:tcPr>
            <w:tcW w:type="dxa" w:w="1871"/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«…в том числе рамках Всемирного дня борьбы со СПИДом» ⚠️</w:t>
            </w:r>
          </w:p>
        </w:tc>
        <w:tc>
          <w:tcPr>
            <w:tcW w:type="dxa" w:w="1871"/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Пропущен предлог</w:t>
            </w:r>
          </w:p>
        </w:tc>
        <w:tc>
          <w:tcPr>
            <w:tcW w:type="dxa" w:w="1871"/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«…в том числе в рамках Всемирного дня борьбы со СПИДом»</w:t>
            </w:r>
          </w:p>
        </w:tc>
      </w:tr>
      <w:tr>
        <w:tc>
          <w:tcPr>
            <w:tcW w:type="dxa" w:w="1871"/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Т-15</w:t>
            </w:r>
          </w:p>
        </w:tc>
        <w:tc>
          <w:tcPr>
            <w:tcW w:type="dxa" w:w="1871"/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R18</w:t>
            </w:r>
          </w:p>
        </w:tc>
        <w:tc>
          <w:tcPr>
            <w:tcW w:type="dxa" w:w="1871"/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«Совершенствование эпидемиологического надзора за ВИЧ-инфекцией, и сопутствующими ей заболеваниями» ⚠️</w:t>
            </w:r>
          </w:p>
        </w:tc>
        <w:tc>
          <w:tcPr>
            <w:tcW w:type="dxa" w:w="1871"/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Лишняя запятая перед одиночным «и»</w:t>
            </w:r>
          </w:p>
        </w:tc>
        <w:tc>
          <w:tcPr>
            <w:tcW w:type="dxa" w:w="1871"/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«…надзора за ВИЧ-инфекцией и сопутствующими ей заболеваниями»</w:t>
            </w:r>
          </w:p>
        </w:tc>
      </w:tr>
    </w:tbl>
    <w:p>
      <w:pPr>
        <w:spacing w:after="80"/>
      </w:pPr>
      <w:r>
        <w:rPr>
          <w:rFonts w:ascii="Times New Roman" w:hAnsi="Times New Roman" w:eastAsia="Times New Roman"/>
          <w:b w:val="0"/>
          <w:i w:val="0"/>
          <w:sz w:val="12"/>
        </w:rPr>
      </w:r>
    </w:p>
    <w:p>
      <w:pPr>
        <w:keepNext/>
        <w:spacing w:before="280" w:after="120"/>
      </w:pPr>
      <w:r>
        <w:rPr>
          <w:rFonts w:ascii="Times New Roman" w:hAnsi="Times New Roman" w:eastAsia="Times New Roman"/>
          <w:b/>
          <w:i w:val="0"/>
          <w:sz w:val="26"/>
        </w:rPr>
        <w:t>2. СОДЕРЖАТЕЛЬНЫЕ ЗАМЕЧАНИЯ К СТРОКАМ ТАБЛИЦЫ</w:t>
      </w:r>
    </w:p>
    <w:p>
      <w:pPr>
        <w:keepNext/>
        <w:spacing w:before="200" w:after="80"/>
      </w:pPr>
      <w:r>
        <w:rPr>
          <w:rFonts w:ascii="Times New Roman" w:hAnsi="Times New Roman" w:eastAsia="Times New Roman"/>
          <w:b/>
          <w:i w:val="0"/>
          <w:sz w:val="25"/>
        </w:rPr>
        <w:t>С-01. R19 — блок «вакцинация ЛЖВ» и ДКП/ПКП: учесть международный контекст 2020–2025 гг. ✅</w:t>
      </w:r>
    </w:p>
    <w:p>
      <w:pPr>
        <w:spacing w:before="0" w:after="100"/>
        <w:jc w:val="both"/>
      </w:pPr>
      <w:r>
        <w:rPr>
          <w:rFonts w:ascii="Times New Roman" w:hAnsi="Times New Roman" w:eastAsia="Times New Roman"/>
          <w:b/>
          <w:i w:val="0"/>
          <w:sz w:val="25"/>
        </w:rPr>
        <w:t>В проекте:</w:t>
      </w:r>
      <w:r>
        <w:rPr>
          <w:rFonts w:ascii="Times New Roman" w:hAnsi="Times New Roman" w:eastAsia="Times New Roman"/>
          <w:b w:val="0"/>
          <w:i w:val="0"/>
          <w:sz w:val="25"/>
        </w:rPr>
        <w:t xml:space="preserve"> «Исследования в области ДКП, ПКП с учетом появления новых препаратов и способов их введения, / Исследования в области вакцинации людей, живущих с ВИЧ».</w:t>
      </w:r>
    </w:p>
    <w:p>
      <w:pPr>
        <w:spacing w:before="0" w:after="100"/>
        <w:jc w:val="both"/>
      </w:pPr>
      <w:r>
        <w:rPr>
          <w:rFonts w:ascii="Times New Roman" w:hAnsi="Times New Roman" w:eastAsia="Times New Roman"/>
          <w:b/>
          <w:i w:val="0"/>
          <w:sz w:val="25"/>
        </w:rPr>
        <w:t>Суть.</w:t>
      </w:r>
      <w:r>
        <w:rPr>
          <w:rFonts w:ascii="Times New Roman" w:hAnsi="Times New Roman" w:eastAsia="Times New Roman"/>
          <w:b w:val="0"/>
          <w:i w:val="0"/>
          <w:sz w:val="25"/>
        </w:rPr>
        <w:t xml:space="preserve"> Строка корректна по духу, но нуждается в конкретизации: (а) за 2022–2025 гг. ВОЗ нормировала три новые профилактические технологии — инъекционный каботегравир длительного действия (CAB-LA, рекомендация ВОЗ 28.07.2022) [4], кольцо с дапивирином [1], </w:t>
      </w:r>
      <w:r>
        <w:rPr>
          <w:rFonts w:ascii="Times New Roman" w:hAnsi="Times New Roman" w:eastAsia="Times New Roman"/>
          <w:b/>
          <w:i w:val="0"/>
          <w:sz w:val="25"/>
        </w:rPr>
        <w:t>инъекционный ленакапавир 2 раза в год</w:t>
      </w:r>
      <w:r>
        <w:rPr>
          <w:rFonts w:ascii="Times New Roman" w:hAnsi="Times New Roman" w:eastAsia="Times New Roman"/>
          <w:b w:val="0"/>
          <w:i w:val="0"/>
          <w:sz w:val="25"/>
        </w:rPr>
        <w:t xml:space="preserve"> (рекомендация ВОЗ 14.07.2025; одобрение FDA 18.06.2025, торговое наименование Yeztugo; в исследовании PURPOSE 1 в группе ленакапавира не зарегистрировано ни одного случая инфицирования) [1, 2, 3]; (б) все крупные клинические испытания профилактических вакцин последних лет (Imbokodo — прекращено в 2021 г., Mosaico/HVTN 706 — прекращено 18.01.2023 за неэффективностью) завершились неудачей, фокус смещён на широконейтрализующие антитела (bnAbs; подход подтверждён в испытаниях AMP) [11]. Строка про вакцинацию должна быть сформулирована так, чтобы не обещать близкой вакцины.</w:t>
      </w:r>
    </w:p>
    <w:p>
      <w:pPr>
        <w:spacing w:before="0" w:after="100"/>
        <w:jc w:val="both"/>
      </w:pPr>
      <w:r>
        <w:rPr>
          <w:rFonts w:ascii="Times New Roman" w:hAnsi="Times New Roman" w:eastAsia="Times New Roman"/>
          <w:b/>
          <w:i w:val="0"/>
          <w:sz w:val="25"/>
        </w:rPr>
        <w:t>Предлагаемая правка ячейки (перспектива R19):</w:t>
      </w:r>
      <w:r>
        <w:rPr>
          <w:rFonts w:ascii="Times New Roman" w:hAnsi="Times New Roman" w:eastAsia="Times New Roman"/>
          <w:b w:val="0"/>
          <w:i w:val="0"/>
          <w:sz w:val="25"/>
        </w:rPr>
        <w:t xml:space="preserve"> «Исследования в области ДКП, ПКП с учётом появления новых препаратов и способов их введения (оральные схемы, инъекционные формы длительного действия — каботегравир, ленакапавир), включая научно-методическое обеспечение нормативного регулирования и упрощённых стратегий тестирования для ДКП длительного действия (рекомендации ВОЗ 2022 и 2025 гг.); исследования в области терапевтической вакцинации и иммунотерапии ЛЖВ с учётом мирового опыта (неудачи профилактических вакцин Imbokodo и Mosaico; приоритет — широконейтрализующие антитела)».</w:t>
      </w:r>
    </w:p>
    <w:p>
      <w:pPr>
        <w:keepNext/>
        <w:spacing w:before="200" w:after="80"/>
      </w:pPr>
      <w:r>
        <w:rPr>
          <w:rFonts w:ascii="Times New Roman" w:hAnsi="Times New Roman" w:eastAsia="Times New Roman"/>
          <w:b/>
          <w:i w:val="0"/>
          <w:sz w:val="25"/>
        </w:rPr>
        <w:t>С-02. R24 — «разработка перспективных вакцинных препаратов»: дополнить оговоркой о bnAbs и излечении ✅</w:t>
      </w:r>
    </w:p>
    <w:p>
      <w:pPr>
        <w:spacing w:before="0" w:after="100"/>
        <w:jc w:val="both"/>
      </w:pPr>
      <w:r>
        <w:rPr>
          <w:rFonts w:ascii="Times New Roman" w:hAnsi="Times New Roman" w:eastAsia="Times New Roman"/>
          <w:b w:val="0"/>
          <w:i w:val="0"/>
          <w:sz w:val="25"/>
        </w:rPr>
        <w:t>Строка («Изучение патогенеза ВИЧ-инфекции и разработка перспективных вакцинных препаратов») объединяет патогенез и вакцины, перспектива — излечение. Предлагается в перспективу R24 добавить: «…включая оценку стратегий на основе широконейтрализующих антител и изучение резервуаров ВИЧ как основы исследований функционального излечения (в развитие мирового опыта единичных зарегистрированных случаев излечения ВИЧ-инфекции)». Формулировка не содержит непроверяемых обещаний и стыкуется с НИР ГНЦ ВБ «Вектор» по резервуарам (перечислены в преамбуле проекта).</w:t>
      </w:r>
    </w:p>
    <w:p>
      <w:pPr>
        <w:keepNext/>
        <w:spacing w:before="200" w:after="80"/>
      </w:pPr>
      <w:r>
        <w:rPr>
          <w:rFonts w:ascii="Times New Roman" w:hAnsi="Times New Roman" w:eastAsia="Times New Roman"/>
          <w:b/>
          <w:i w:val="0"/>
          <w:sz w:val="25"/>
        </w:rPr>
        <w:t>С-03. R21 — «Расширение геномного мониторинга»: развернуть до конкретики ✅</w:t>
      </w:r>
    </w:p>
    <w:p>
      <w:pPr>
        <w:spacing w:before="0" w:after="100"/>
        <w:jc w:val="both"/>
      </w:pPr>
      <w:r>
        <w:rPr>
          <w:rFonts w:ascii="Times New Roman" w:hAnsi="Times New Roman" w:eastAsia="Times New Roman"/>
          <w:b/>
          <w:i w:val="0"/>
          <w:sz w:val="25"/>
        </w:rPr>
        <w:t>В проекте:</w:t>
      </w:r>
      <w:r>
        <w:rPr>
          <w:rFonts w:ascii="Times New Roman" w:hAnsi="Times New Roman" w:eastAsia="Times New Roman"/>
          <w:b w:val="0"/>
          <w:i w:val="0"/>
          <w:sz w:val="25"/>
        </w:rPr>
        <w:t xml:space="preserve"> перспектива «Расширение геномного мониторинга» — тавтологична самой строке. Предлагаемая замена: «Формирование автоматизированного анализа молекулярных сетей передачи ВИЧ на основе потоков секвенирования (кластеризация, оценка скорости роста кластеров), стандартизация биоинформатических пайплайнов и интеграция с российской базой данных устойчивости ВИЧ; выработка этико-правовых регламентов использования геномных данных».</w:t>
      </w:r>
    </w:p>
    <w:p>
      <w:pPr>
        <w:spacing w:before="0" w:after="100"/>
        <w:jc w:val="both"/>
      </w:pPr>
      <w:r>
        <w:rPr>
          <w:rFonts w:ascii="Times New Roman" w:hAnsi="Times New Roman" w:eastAsia="Times New Roman"/>
          <w:b/>
          <w:i w:val="0"/>
          <w:sz w:val="25"/>
        </w:rPr>
        <w:t>Обоснование:</w:t>
      </w:r>
      <w:r>
        <w:rPr>
          <w:rFonts w:ascii="Times New Roman" w:hAnsi="Times New Roman" w:eastAsia="Times New Roman"/>
          <w:b w:val="0"/>
          <w:i w:val="0"/>
          <w:sz w:val="25"/>
        </w:rPr>
        <w:t xml:space="preserve"> международный опыт (Британская Колумбия — автоматизированный near real-time мониторинг кластеров по рутинным генотипам [16]; CDC США — выявление быстрорастущих кластеров с последующим адресным вмешательством [17]) показывает эффективность подхода; одновременно в литературе обоснованы требования защиты данных при молекулярном надзоре [18], что для России целесообразно регламентировать заранее. Подход прямо совместим с задачей эпидрасследований внутрибольничных очагов с генотипированием (уже закреплена в СанПиН 3.3686-21 и МУ 3.1.3342-16 [19, 20] и отражена в R48).</w:t>
      </w:r>
    </w:p>
    <w:p>
      <w:pPr>
        <w:keepNext/>
        <w:spacing w:before="200" w:after="80"/>
      </w:pPr>
      <w:r>
        <w:rPr>
          <w:rFonts w:ascii="Times New Roman" w:hAnsi="Times New Roman" w:eastAsia="Times New Roman"/>
          <w:b/>
          <w:i w:val="0"/>
          <w:sz w:val="25"/>
        </w:rPr>
        <w:t>С-04. R23 — атипичные варианты: добавить референс на мировой прецедент ✅</w:t>
      </w:r>
    </w:p>
    <w:p>
      <w:pPr>
        <w:spacing w:before="0" w:after="100"/>
        <w:jc w:val="both"/>
      </w:pPr>
      <w:r>
        <w:rPr>
          <w:rFonts w:ascii="Times New Roman" w:hAnsi="Times New Roman" w:eastAsia="Times New Roman"/>
          <w:b w:val="0"/>
          <w:i w:val="0"/>
          <w:sz w:val="25"/>
        </w:rPr>
        <w:t>Строка («Изучение генетического разнообразия ВИЧ, анализ эпидемиологических рисков, ассоциированных с возникновением атипичных и новых генетических вариантов») обоснованно включает мониторинг новых вариантов; предлагаем в обоснование строки добавить мировое доказательство значимости темы — описание высоковирулентного варианта VB в Нидерландах (Science, 2022: 109 пациентов, ускоренное в ~2 раза снижение CD4, высокая ВН, при этом чувствительность к стандартной АРТ сохранена) [10]. Правка не обязательна, но усиливает мотивировку строки (по желанию авторов проекта).</w:t>
      </w:r>
    </w:p>
    <w:p>
      <w:pPr>
        <w:keepNext/>
        <w:spacing w:before="200" w:after="80"/>
      </w:pPr>
      <w:r>
        <w:rPr>
          <w:rFonts w:ascii="Times New Roman" w:hAnsi="Times New Roman" w:eastAsia="Times New Roman"/>
          <w:b/>
          <w:i w:val="0"/>
          <w:sz w:val="25"/>
        </w:rPr>
        <w:t>С-05. R27 — выборочные исследования в уязвимых группах: добавить поведенческий компонент ✅</w:t>
      </w:r>
    </w:p>
    <w:p>
      <w:pPr>
        <w:spacing w:before="0" w:after="100"/>
        <w:jc w:val="both"/>
      </w:pPr>
      <w:r>
        <w:rPr>
          <w:rFonts w:ascii="Times New Roman" w:hAnsi="Times New Roman" w:eastAsia="Times New Roman"/>
          <w:b/>
          <w:i w:val="0"/>
          <w:sz w:val="25"/>
        </w:rPr>
        <w:t>В проекте:</w:t>
      </w:r>
      <w:r>
        <w:rPr>
          <w:rFonts w:ascii="Times New Roman" w:hAnsi="Times New Roman" w:eastAsia="Times New Roman"/>
          <w:b w:val="0"/>
          <w:i w:val="0"/>
          <w:sz w:val="25"/>
        </w:rPr>
        <w:t xml:space="preserve"> перспектива пуста. Предложение (см. также П-05): «Интеграция серологических выборочных исследований с поведенческим надзором (комбинированные биоповеденческие исследования) и тестами на давность инфицирования — для адресной настройки профилактики (в соответствии с консолидированными рекомендациями ВОЗ для ключевых групп населения, 2022)» [12].</w:t>
      </w:r>
    </w:p>
    <w:p>
      <w:pPr>
        <w:keepNext/>
        <w:spacing w:before="200" w:after="80"/>
      </w:pPr>
      <w:r>
        <w:rPr>
          <w:rFonts w:ascii="Times New Roman" w:hAnsi="Times New Roman" w:eastAsia="Times New Roman"/>
          <w:b/>
          <w:i w:val="0"/>
          <w:sz w:val="25"/>
        </w:rPr>
        <w:t>С-06. R28 — терминология ✅</w:t>
      </w:r>
    </w:p>
    <w:p>
      <w:pPr>
        <w:spacing w:before="0" w:after="100"/>
        <w:jc w:val="both"/>
      </w:pPr>
      <w:r>
        <w:rPr>
          <w:rFonts w:ascii="Times New Roman" w:hAnsi="Times New Roman" w:eastAsia="Times New Roman"/>
          <w:b w:val="0"/>
          <w:i w:val="0"/>
          <w:sz w:val="25"/>
        </w:rPr>
        <w:t xml:space="preserve">«…распространенности </w:t>
      </w:r>
      <w:r>
        <w:rPr>
          <w:rFonts w:ascii="Times New Roman" w:hAnsi="Times New Roman" w:eastAsia="Times New Roman"/>
          <w:b/>
          <w:i w:val="0"/>
          <w:sz w:val="25"/>
        </w:rPr>
        <w:t>гемоконтактных инфекционных заболеваний</w:t>
      </w:r>
      <w:r>
        <w:rPr>
          <w:rFonts w:ascii="Times New Roman" w:hAnsi="Times New Roman" w:eastAsia="Times New Roman"/>
          <w:b w:val="0"/>
          <w:i w:val="0"/>
          <w:sz w:val="25"/>
        </w:rPr>
        <w:t>…» → рекомендуется терминология СанПиН 3.3686-21: «…инфекций с гемоконтактным (кровяным) механизмом передачи…» (ВГВ, ВГС, ВИЧ).</w:t>
      </w:r>
    </w:p>
    <w:p>
      <w:pPr>
        <w:keepNext/>
        <w:spacing w:before="200" w:after="80"/>
      </w:pPr>
      <w:r>
        <w:rPr>
          <w:rFonts w:ascii="Times New Roman" w:hAnsi="Times New Roman" w:eastAsia="Times New Roman"/>
          <w:b/>
          <w:i w:val="0"/>
          <w:sz w:val="25"/>
        </w:rPr>
        <w:t>С-07. R34 — грамматика и разграничение компетенции ⚠️</w:t>
      </w:r>
    </w:p>
    <w:p>
      <w:pPr>
        <w:spacing w:before="0" w:after="100"/>
        <w:jc w:val="both"/>
      </w:pPr>
      <w:r>
        <w:rPr>
          <w:rFonts w:ascii="Times New Roman" w:hAnsi="Times New Roman" w:eastAsia="Times New Roman"/>
          <w:b w:val="0"/>
          <w:i w:val="0"/>
          <w:sz w:val="25"/>
        </w:rPr>
        <w:t xml:space="preserve">«Разработка схем лечения </w:t>
      </w:r>
      <w:r>
        <w:rPr>
          <w:rFonts w:ascii="Times New Roman" w:hAnsi="Times New Roman" w:eastAsia="Times New Roman"/>
          <w:b/>
          <w:i w:val="0"/>
          <w:sz w:val="25"/>
        </w:rPr>
        <w:t>ВИЧ и ВИЧ-ассоциированными инфекций</w:t>
      </w:r>
      <w:r>
        <w:rPr>
          <w:rFonts w:ascii="Times New Roman" w:hAnsi="Times New Roman" w:eastAsia="Times New Roman"/>
          <w:b w:val="0"/>
          <w:i w:val="0"/>
          <w:sz w:val="25"/>
        </w:rPr>
        <w:t>…» → «Разработка схем лечения ВИЧ-инфекции и ВИЧ-ассоциированных заболеваний…». Дополнительно: разработку схем лечения и участие в клинических рекомендациях (R34, R37) целесообразно сопровождать указанием формы участия НИО Роспотребнадзора (научное сопровождение, доклинические исследования, оценка эффективности). В соответствии со ст. 37 Федерального закона от 21.11.2011 № 323-ФЗ клинические рекомендации разрабатываются и утверждаются медицинскими профессиональными некоммерческими организациями, а Минздрав России утверждает перечень заболеваний и порядок применения клинических рекомендаций [34].</w:t>
      </w:r>
    </w:p>
    <w:p>
      <w:pPr>
        <w:keepNext/>
        <w:spacing w:before="200" w:after="80"/>
      </w:pPr>
      <w:r>
        <w:rPr>
          <w:rFonts w:ascii="Times New Roman" w:hAnsi="Times New Roman" w:eastAsia="Times New Roman"/>
          <w:b/>
          <w:i w:val="0"/>
          <w:sz w:val="25"/>
        </w:rPr>
        <w:t>С-08. R29 — термин ⚠️</w:t>
      </w:r>
    </w:p>
    <w:p>
      <w:pPr>
        <w:spacing w:before="0" w:after="100"/>
        <w:jc w:val="both"/>
      </w:pPr>
      <w:r>
        <w:rPr>
          <w:rFonts w:ascii="Times New Roman" w:hAnsi="Times New Roman" w:eastAsia="Times New Roman"/>
          <w:b w:val="0"/>
          <w:i w:val="0"/>
          <w:sz w:val="25"/>
        </w:rPr>
        <w:t xml:space="preserve">«…на основе моделирования </w:t>
      </w:r>
      <w:r>
        <w:rPr>
          <w:rFonts w:ascii="Times New Roman" w:hAnsi="Times New Roman" w:eastAsia="Times New Roman"/>
          <w:b/>
          <w:i w:val="0"/>
          <w:sz w:val="25"/>
        </w:rPr>
        <w:t>вариантных демографических оценок</w:t>
      </w:r>
      <w:r>
        <w:rPr>
          <w:rFonts w:ascii="Times New Roman" w:hAnsi="Times New Roman" w:eastAsia="Times New Roman"/>
          <w:b w:val="0"/>
          <w:i w:val="0"/>
          <w:sz w:val="25"/>
        </w:rPr>
        <w:t>» → рекомендуем общепринятый термин «вариантные демографические прогнозы». Туда же уместно добавить экономическую компоненту (см. П-10): расчёт стоимости-эффективности профилактических вмешательств.</w:t>
      </w:r>
    </w:p>
    <w:p>
      <w:pPr>
        <w:keepNext/>
        <w:spacing w:before="280" w:after="120"/>
      </w:pPr>
      <w:r>
        <w:rPr>
          <w:rFonts w:ascii="Times New Roman" w:hAnsi="Times New Roman" w:eastAsia="Times New Roman"/>
          <w:b/>
          <w:i w:val="0"/>
          <w:sz w:val="26"/>
        </w:rPr>
        <w:t>3. ПРЕДЛОЖЕНИЯ ПО НАПОЛНЕНИЮ ТАБЛИЦЫ (готовые формулировки ячеек)</w:t>
      </w:r>
    </w:p>
    <w:p>
      <w:pPr>
        <w:spacing w:before="0" w:after="100"/>
        <w:jc w:val="both"/>
      </w:pPr>
      <w:r>
        <w:rPr>
          <w:rFonts w:ascii="Times New Roman" w:hAnsi="Times New Roman" w:eastAsia="Times New Roman"/>
          <w:b w:val="0"/>
          <w:i w:val="0"/>
          <w:sz w:val="25"/>
        </w:rPr>
        <w:t xml:space="preserve">Приоритет: </w:t>
      </w:r>
      <w:r>
        <w:rPr>
          <w:rFonts w:ascii="Times New Roman" w:hAnsi="Times New Roman" w:eastAsia="Times New Roman"/>
          <w:b/>
          <w:i w:val="0"/>
          <w:sz w:val="25"/>
        </w:rPr>
        <w:t>[В]</w:t>
      </w:r>
      <w:r>
        <w:rPr>
          <w:rFonts w:ascii="Times New Roman" w:hAnsi="Times New Roman" w:eastAsia="Times New Roman"/>
          <w:b w:val="0"/>
          <w:i w:val="0"/>
          <w:sz w:val="25"/>
        </w:rPr>
        <w:t xml:space="preserve"> — высокая значимость, </w:t>
      </w:r>
      <w:r>
        <w:rPr>
          <w:rFonts w:ascii="Times New Roman" w:hAnsi="Times New Roman" w:eastAsia="Times New Roman"/>
          <w:b/>
          <w:i w:val="0"/>
          <w:sz w:val="25"/>
        </w:rPr>
        <w:t>[С]</w:t>
      </w:r>
      <w:r>
        <w:rPr>
          <w:rFonts w:ascii="Times New Roman" w:hAnsi="Times New Roman" w:eastAsia="Times New Roman"/>
          <w:b w:val="0"/>
          <w:i w:val="0"/>
          <w:sz w:val="25"/>
        </w:rPr>
        <w:t xml:space="preserve"> — средняя.</w:t>
      </w:r>
    </w:p>
    <w:p>
      <w:pPr>
        <w:keepNext/>
        <w:spacing w:before="200" w:after="80"/>
      </w:pPr>
      <w:r>
        <w:rPr>
          <w:rFonts w:ascii="Times New Roman" w:hAnsi="Times New Roman" w:eastAsia="Times New Roman"/>
          <w:b/>
          <w:i w:val="0"/>
          <w:sz w:val="25"/>
        </w:rPr>
        <w:t>Раздел I. Эпидемиологический мониторинг</w:t>
      </w:r>
    </w:p>
    <w:p>
      <w:pPr>
        <w:spacing w:before="0" w:after="100"/>
        <w:jc w:val="both"/>
      </w:pPr>
      <w:r>
        <w:rPr>
          <w:rFonts w:ascii="Times New Roman" w:hAnsi="Times New Roman" w:eastAsia="Times New Roman"/>
          <w:b/>
          <w:i w:val="0"/>
          <w:sz w:val="25"/>
        </w:rPr>
        <w:t>П-01 [В]. Внедрение алгоритмов тестов на давность инфицирования (RITA) для оценки инцидентности.</w:t>
      </w:r>
    </w:p>
    <w:p>
      <w:pPr>
        <w:spacing w:before="0" w:after="100"/>
        <w:jc w:val="both"/>
      </w:pPr>
      <w:r>
        <w:rPr>
          <w:rFonts w:ascii="Times New Roman" w:hAnsi="Times New Roman" w:eastAsia="Times New Roman"/>
          <w:b w:val="0"/>
          <w:i w:val="0"/>
          <w:sz w:val="25"/>
        </w:rPr>
        <w:t>Куда: новая перспектива к R2 (или новая строка раздела).</w:t>
      </w:r>
    </w:p>
    <w:p>
      <w:pPr>
        <w:spacing w:before="0" w:after="100"/>
        <w:jc w:val="both"/>
      </w:pPr>
      <w:r>
        <w:rPr>
          <w:rFonts w:ascii="Times New Roman" w:hAnsi="Times New Roman" w:eastAsia="Times New Roman"/>
          <w:b w:val="0"/>
          <w:i w:val="0"/>
          <w:sz w:val="25"/>
        </w:rPr>
        <w:t>Формулировка: «Внедрение в практику эпидемиологического надзора алгоритмов тестирования на давность инфицирования (RITA: тест на недавнюю инфекцию + вирусная нагрузка ≥1000 коп/мл) для оценки инцидентности ВИЧ-инфекции и выявления групп и территорий активной передачи».</w:t>
      </w:r>
    </w:p>
    <w:p>
      <w:pPr>
        <w:spacing w:before="0" w:after="100"/>
        <w:jc w:val="both"/>
      </w:pPr>
      <w:r>
        <w:rPr>
          <w:rFonts w:ascii="Times New Roman" w:hAnsi="Times New Roman" w:eastAsia="Times New Roman"/>
          <w:b w:val="0"/>
          <w:i w:val="0"/>
          <w:sz w:val="25"/>
        </w:rPr>
        <w:t>Обоснование: ВОЗ рекомендует RITA (иммуноанализ на авидность LAg + ВН) для надзора за недавними инфекциями; алгоритм повышает точность классификации и адресует профилактику [5]. Для России метод особенно ценен на фоне гетерогенной эпидемии с очагами разной интенсивности.</w:t>
      </w:r>
    </w:p>
    <w:p>
      <w:pPr>
        <w:spacing w:before="0" w:after="100"/>
        <w:jc w:val="both"/>
      </w:pPr>
      <w:r>
        <w:rPr>
          <w:rFonts w:ascii="Times New Roman" w:hAnsi="Times New Roman" w:eastAsia="Times New Roman"/>
          <w:b/>
          <w:i w:val="0"/>
          <w:sz w:val="25"/>
        </w:rPr>
        <w:t>П-02 [В]. Поведенческий надзор и качество стратегической информации.</w:t>
      </w:r>
    </w:p>
    <w:p>
      <w:pPr>
        <w:spacing w:before="0" w:after="100"/>
        <w:jc w:val="both"/>
      </w:pPr>
      <w:r>
        <w:rPr>
          <w:rFonts w:ascii="Times New Roman" w:hAnsi="Times New Roman" w:eastAsia="Times New Roman"/>
          <w:b w:val="0"/>
          <w:i w:val="0"/>
          <w:sz w:val="25"/>
        </w:rPr>
        <w:t>Куда: перспектива к R27 (дублирует С-05 — оставить в одном месте) и к R5/R6.</w:t>
      </w:r>
    </w:p>
    <w:p>
      <w:pPr>
        <w:spacing w:before="0" w:after="100"/>
        <w:jc w:val="both"/>
      </w:pPr>
      <w:r>
        <w:rPr>
          <w:rFonts w:ascii="Times New Roman" w:hAnsi="Times New Roman" w:eastAsia="Times New Roman"/>
          <w:b w:val="0"/>
          <w:i w:val="0"/>
          <w:sz w:val="25"/>
        </w:rPr>
        <w:t>Формулировка: «Интеграция поведенческого компонента (комбинированные биоповеденческие исследования) в выборочные исследования и регулярная оценка качества и полноты данных надзора в соответствии с консолидированными руководствами ВОЗ по стратегической информации (2022)».</w:t>
      </w:r>
    </w:p>
    <w:p>
      <w:pPr>
        <w:spacing w:before="0" w:after="100"/>
        <w:jc w:val="both"/>
      </w:pPr>
      <w:r>
        <w:rPr>
          <w:rFonts w:ascii="Times New Roman" w:hAnsi="Times New Roman" w:eastAsia="Times New Roman"/>
          <w:b w:val="0"/>
          <w:i w:val="0"/>
          <w:sz w:val="25"/>
        </w:rPr>
        <w:t>Обоснование: ВОЗ закрепила стандартный минимальный набор данных, приоритетные индикаторы и принципы персонифицированного мониторинга всей каскада, включая интеграцию ВИЧ/ТБ/гепатитов [13].</w:t>
      </w:r>
    </w:p>
    <w:p>
      <w:pPr>
        <w:keepNext/>
        <w:spacing w:before="200" w:after="80"/>
      </w:pPr>
      <w:r>
        <w:rPr>
          <w:rFonts w:ascii="Times New Roman" w:hAnsi="Times New Roman" w:eastAsia="Times New Roman"/>
          <w:b/>
          <w:i w:val="0"/>
          <w:sz w:val="25"/>
        </w:rPr>
        <w:t>Раздел II. Организационные мероприятия</w:t>
      </w:r>
    </w:p>
    <w:p>
      <w:pPr>
        <w:spacing w:before="0" w:after="100"/>
        <w:jc w:val="both"/>
      </w:pPr>
      <w:r>
        <w:rPr>
          <w:rFonts w:ascii="Times New Roman" w:hAnsi="Times New Roman" w:eastAsia="Times New Roman"/>
          <w:b/>
          <w:i w:val="0"/>
          <w:sz w:val="25"/>
        </w:rPr>
        <w:t>П-03 [С]. Упрощённые стратегии тестирования для перспективных профилактических технологий.</w:t>
      </w:r>
    </w:p>
    <w:p>
      <w:pPr>
        <w:spacing w:before="0" w:after="100"/>
        <w:jc w:val="both"/>
      </w:pPr>
      <w:r>
        <w:rPr>
          <w:rFonts w:ascii="Times New Roman" w:hAnsi="Times New Roman" w:eastAsia="Times New Roman"/>
          <w:b w:val="0"/>
          <w:i w:val="0"/>
          <w:sz w:val="25"/>
        </w:rPr>
        <w:t>Куда: перспектива к R9 («Совершенствование деятельности лабораторно-диагностического звена…»).</w:t>
      </w:r>
    </w:p>
    <w:p>
      <w:pPr>
        <w:spacing w:before="0" w:after="100"/>
        <w:jc w:val="both"/>
      </w:pPr>
      <w:r>
        <w:rPr>
          <w:rFonts w:ascii="Times New Roman" w:hAnsi="Times New Roman" w:eastAsia="Times New Roman"/>
          <w:b w:val="0"/>
          <w:i w:val="0"/>
          <w:sz w:val="25"/>
        </w:rPr>
        <w:t>Формулировка: «Подготовка научно-методических предложений по упрощённым стратегиям ВИЧ-тестирования (в т.ч. с применением экспресс-тестов) для поддержки возможного внедрения профилактики длительного действия (CAB-LA, ленакапавир) в соответствии с рекомендациями ВОЗ 2022 и 2025 гг.».</w:t>
      </w:r>
    </w:p>
    <w:p>
      <w:pPr>
        <w:spacing w:before="0" w:after="100"/>
        <w:jc w:val="both"/>
      </w:pPr>
      <w:r>
        <w:rPr>
          <w:rFonts w:ascii="Times New Roman" w:hAnsi="Times New Roman" w:eastAsia="Times New Roman"/>
          <w:b w:val="0"/>
          <w:i w:val="0"/>
          <w:sz w:val="25"/>
        </w:rPr>
        <w:t>Обоснование: рекомендация ВОЗ 2025 г. прямо снимает барьер сложного тестирования: для инициации/продолжения ДКП длительного действия рекомендованы быстрые диагностические тесты (RDT); в руководстве самотестирование названо критическим исследовательским пробелом [2]. Задача диагностики — в полной мере компетенция Роспотребнадзора.</w:t>
      </w:r>
    </w:p>
    <w:p>
      <w:pPr>
        <w:spacing w:before="0" w:after="100"/>
        <w:jc w:val="both"/>
      </w:pPr>
      <w:r>
        <w:rPr>
          <w:rFonts w:ascii="Times New Roman" w:hAnsi="Times New Roman" w:eastAsia="Times New Roman"/>
          <w:b/>
          <w:i w:val="0"/>
          <w:sz w:val="25"/>
        </w:rPr>
        <w:t>П-04 [С]. Данные новых субъектов РФ.</w:t>
      </w:r>
    </w:p>
    <w:p>
      <w:pPr>
        <w:spacing w:before="0" w:after="100"/>
        <w:jc w:val="both"/>
      </w:pPr>
      <w:r>
        <w:rPr>
          <w:rFonts w:ascii="Times New Roman" w:hAnsi="Times New Roman" w:eastAsia="Times New Roman"/>
          <w:b w:val="0"/>
          <w:i w:val="0"/>
          <w:sz w:val="25"/>
        </w:rPr>
        <w:t>Куда: замена ячейки R3 (вместе с Т-11).</w:t>
      </w:r>
    </w:p>
    <w:p>
      <w:pPr>
        <w:keepNext/>
        <w:spacing w:before="200" w:after="80"/>
      </w:pPr>
      <w:r>
        <w:rPr>
          <w:rFonts w:ascii="Times New Roman" w:hAnsi="Times New Roman" w:eastAsia="Times New Roman"/>
          <w:b/>
          <w:i w:val="0"/>
          <w:sz w:val="25"/>
        </w:rPr>
        <w:t>Раздел III. Научные исследования</w:t>
      </w:r>
    </w:p>
    <w:p>
      <w:pPr>
        <w:spacing w:before="0" w:after="100"/>
        <w:jc w:val="both"/>
      </w:pPr>
      <w:r>
        <w:rPr>
          <w:rFonts w:ascii="Times New Roman" w:hAnsi="Times New Roman" w:eastAsia="Times New Roman"/>
          <w:b/>
          <w:i w:val="0"/>
          <w:sz w:val="25"/>
        </w:rPr>
        <w:t>П-05 [В]. Комбинированные биоповеденческие исследования в уязвимых группах</w:t>
      </w:r>
      <w:r>
        <w:rPr>
          <w:rFonts w:ascii="Times New Roman" w:hAnsi="Times New Roman" w:eastAsia="Times New Roman"/>
          <w:b w:val="0"/>
          <w:i w:val="0"/>
          <w:sz w:val="25"/>
        </w:rPr>
        <w:t xml:space="preserve"> — см. С-05/П-02 (единая формулировка; разместить один раз — в R27).</w:t>
      </w:r>
    </w:p>
    <w:p>
      <w:pPr>
        <w:spacing w:before="0" w:after="100"/>
        <w:jc w:val="both"/>
      </w:pPr>
      <w:r>
        <w:rPr>
          <w:rFonts w:ascii="Times New Roman" w:hAnsi="Times New Roman" w:eastAsia="Times New Roman"/>
          <w:b/>
          <w:i w:val="0"/>
          <w:sz w:val="25"/>
        </w:rPr>
        <w:t>П-06 [В]. Молекулярно-сетевой анализ</w:t>
      </w:r>
      <w:r>
        <w:rPr>
          <w:rFonts w:ascii="Times New Roman" w:hAnsi="Times New Roman" w:eastAsia="Times New Roman"/>
          <w:b w:val="0"/>
          <w:i w:val="0"/>
          <w:sz w:val="25"/>
        </w:rPr>
        <w:t xml:space="preserve"> — см. С-03 (формулировка готова; разместить в перспективе R21, дублирование в R23 исключить).</w:t>
      </w:r>
    </w:p>
    <w:p>
      <w:pPr>
        <w:spacing w:before="0" w:after="100"/>
        <w:jc w:val="both"/>
      </w:pPr>
      <w:r>
        <w:rPr>
          <w:rFonts w:ascii="Times New Roman" w:hAnsi="Times New Roman" w:eastAsia="Times New Roman"/>
          <w:b/>
          <w:i w:val="0"/>
          <w:sz w:val="25"/>
        </w:rPr>
        <w:t>П-07 [В]. Сопутствующие заболевания: расширить состав направлений и специалистов (дополнение к R31).</w:t>
      </w:r>
    </w:p>
    <w:p>
      <w:pPr>
        <w:spacing w:before="0" w:after="100"/>
        <w:jc w:val="both"/>
      </w:pPr>
      <w:r>
        <w:rPr>
          <w:rFonts w:ascii="Times New Roman" w:hAnsi="Times New Roman" w:eastAsia="Times New Roman"/>
          <w:b w:val="0"/>
          <w:i w:val="0"/>
          <w:sz w:val="25"/>
        </w:rPr>
        <w:t>Куда: перспектива R31 (вместе с уже имеющимся «Расширение совместных исследований со специалистами кардиологами, онкологами и другими специалистами» — дополнить перечнем).</w:t>
      </w:r>
    </w:p>
    <w:p>
      <w:pPr>
        <w:spacing w:before="0" w:after="100"/>
        <w:jc w:val="both"/>
      </w:pPr>
      <w:r>
        <w:rPr>
          <w:rFonts w:ascii="Times New Roman" w:hAnsi="Times New Roman" w:eastAsia="Times New Roman"/>
          <w:b w:val="0"/>
          <w:i w:val="0"/>
          <w:sz w:val="25"/>
        </w:rPr>
        <w:t>Формулировка (добавление): «…включая фтизиатров, гепатологов и специалистов по неинфекционным заболеваниям; исследования бремени и исходов туберкулёза, вирусных гепатитов В и С, сердечно-сосудистых и психических расстройств у ЛЖВ».</w:t>
      </w:r>
    </w:p>
    <w:p>
      <w:pPr>
        <w:spacing w:before="0" w:after="100"/>
        <w:jc w:val="both"/>
      </w:pPr>
      <w:r>
        <w:rPr>
          <w:rFonts w:ascii="Times New Roman" w:hAnsi="Times New Roman" w:eastAsia="Times New Roman"/>
          <w:b w:val="0"/>
          <w:i w:val="0"/>
          <w:sz w:val="25"/>
        </w:rPr>
        <w:t>Обоснование: риск инфаркта миокарда у ЛЖВ повышен в среднем в 1,7 раза (метаанализ 32 исследований) [14]; депрессивные симптомы — ~35 % ЛЖВ (метаанализ 81 исследования, 103 785 участников) [15], психологический дистресс — до 40 % [15]; ВОЗ (2021) рекомендует интеграцию помощи при гипертонии и диабете в ВИЧ-сервис [8]; ВОЗ (2024) расширила показания к терапии гепатита В, включая ВИЧ-коинфекцию [9]. Туберкулёз у ВИЧ-инфицированных уже охвачен СанПиН 3.3686-21 (разд. VI) [19] — научное сопровождение логично закрепить за НИО.</w:t>
      </w:r>
    </w:p>
    <w:p>
      <w:pPr>
        <w:spacing w:before="0" w:after="100"/>
        <w:jc w:val="both"/>
      </w:pPr>
      <w:r>
        <w:rPr>
          <w:rFonts w:ascii="Times New Roman" w:hAnsi="Times New Roman" w:eastAsia="Times New Roman"/>
          <w:b/>
          <w:i w:val="0"/>
          <w:sz w:val="25"/>
        </w:rPr>
        <w:t>П-08 [В]. Психическое здоровье ЛЖВ как отдельное направление (в развитие П-07).</w:t>
      </w:r>
    </w:p>
    <w:p>
      <w:pPr>
        <w:spacing w:before="0" w:after="100"/>
        <w:jc w:val="both"/>
      </w:pPr>
      <w:r>
        <w:rPr>
          <w:rFonts w:ascii="Times New Roman" w:hAnsi="Times New Roman" w:eastAsia="Times New Roman"/>
          <w:b w:val="0"/>
          <w:i w:val="0"/>
          <w:sz w:val="25"/>
        </w:rPr>
        <w:t>Куда: дополнение к R31 или новая строка раздела III.</w:t>
      </w:r>
    </w:p>
    <w:p>
      <w:pPr>
        <w:spacing w:before="0" w:after="100"/>
        <w:jc w:val="both"/>
      </w:pPr>
      <w:r>
        <w:rPr>
          <w:rFonts w:ascii="Times New Roman" w:hAnsi="Times New Roman" w:eastAsia="Times New Roman"/>
          <w:b w:val="0"/>
          <w:i w:val="0"/>
          <w:sz w:val="25"/>
        </w:rPr>
        <w:t>Формулировка: «Исследование распространённости и вклада психических расстройств (депрессия, тревожные расстройства) в приверженность диспансерному наблюдению и терапии у ЛЖВ, разработка рекомендаций по интеграции скрининга психического здоровья».</w:t>
      </w:r>
    </w:p>
    <w:p>
      <w:pPr>
        <w:spacing w:before="0" w:after="100"/>
        <w:jc w:val="both"/>
      </w:pPr>
      <w:r>
        <w:rPr>
          <w:rFonts w:ascii="Times New Roman" w:hAnsi="Times New Roman" w:eastAsia="Times New Roman"/>
          <w:b w:val="0"/>
          <w:i w:val="0"/>
          <w:sz w:val="25"/>
        </w:rPr>
        <w:t>Обоснование: см. [15]; связь низкой приверженности с дистрессом — OR 4,55 [15].</w:t>
      </w:r>
    </w:p>
    <w:p>
      <w:pPr>
        <w:spacing w:before="0" w:after="100"/>
        <w:jc w:val="both"/>
      </w:pPr>
      <w:r>
        <w:rPr>
          <w:rFonts w:ascii="Times New Roman" w:hAnsi="Times New Roman" w:eastAsia="Times New Roman"/>
          <w:b/>
          <w:i w:val="0"/>
          <w:sz w:val="25"/>
        </w:rPr>
        <w:t>П-09 [В]. Пересмотр акцентов вакцинного направления</w:t>
      </w:r>
      <w:r>
        <w:rPr>
          <w:rFonts w:ascii="Times New Roman" w:hAnsi="Times New Roman" w:eastAsia="Times New Roman"/>
          <w:b w:val="0"/>
          <w:i w:val="0"/>
          <w:sz w:val="25"/>
        </w:rPr>
        <w:t xml:space="preserve"> — реализуется правкой С-01/С-02 (R19, R24).</w:t>
      </w:r>
    </w:p>
    <w:p>
      <w:pPr>
        <w:spacing w:before="0" w:after="100"/>
        <w:jc w:val="both"/>
      </w:pPr>
      <w:r>
        <w:rPr>
          <w:rFonts w:ascii="Times New Roman" w:hAnsi="Times New Roman" w:eastAsia="Times New Roman"/>
          <w:b/>
          <w:i w:val="0"/>
          <w:sz w:val="25"/>
        </w:rPr>
        <w:t>П-10 [С]. Экономическая оценка мероприятий.</w:t>
      </w:r>
    </w:p>
    <w:p>
      <w:pPr>
        <w:spacing w:before="0" w:after="100"/>
        <w:jc w:val="both"/>
      </w:pPr>
      <w:r>
        <w:rPr>
          <w:rFonts w:ascii="Times New Roman" w:hAnsi="Times New Roman" w:eastAsia="Times New Roman"/>
          <w:b w:val="0"/>
          <w:i w:val="0"/>
          <w:sz w:val="25"/>
        </w:rPr>
        <w:t>Куда: дополнение к R29.</w:t>
      </w:r>
    </w:p>
    <w:p>
      <w:pPr>
        <w:spacing w:before="0" w:after="100"/>
        <w:jc w:val="both"/>
      </w:pPr>
      <w:r>
        <w:rPr>
          <w:rFonts w:ascii="Times New Roman" w:hAnsi="Times New Roman" w:eastAsia="Times New Roman"/>
          <w:b w:val="0"/>
          <w:i w:val="0"/>
          <w:sz w:val="25"/>
        </w:rPr>
        <w:t>Формулировка: «…включая оценку стоимости-эффективности и стоимости-полезности профилактических и диагностических вмешательств (в т.ч. новых технологий тестирования) для обоснования управленческих решений и заявок на финансирование».</w:t>
      </w:r>
    </w:p>
    <w:p>
      <w:pPr>
        <w:spacing w:before="0" w:after="100"/>
        <w:jc w:val="both"/>
      </w:pPr>
      <w:r>
        <w:rPr>
          <w:rFonts w:ascii="Times New Roman" w:hAnsi="Times New Roman" w:eastAsia="Times New Roman"/>
          <w:b w:val="0"/>
          <w:i w:val="0"/>
          <w:sz w:val="25"/>
        </w:rPr>
        <w:t>Обоснование: экономическое бремя ВИЧ в РФ оценено в преамбуле проекта (279,2 млрд руб., 2025 г.); инструментов сравнения вмешательств в таблице нет. Методология — стандартная для стратегической информации ВОЗ [13]. (Организационное предложение, внешние цитаты не требуются.)</w:t>
      </w:r>
    </w:p>
    <w:p>
      <w:pPr>
        <w:keepNext/>
        <w:spacing w:before="200" w:after="80"/>
      </w:pPr>
      <w:r>
        <w:rPr>
          <w:rFonts w:ascii="Times New Roman" w:hAnsi="Times New Roman" w:eastAsia="Times New Roman"/>
          <w:b/>
          <w:i w:val="0"/>
          <w:sz w:val="25"/>
        </w:rPr>
        <w:t>Раздел IV. Разработка средств и методов профилактики, диагностики и лечения</w:t>
      </w:r>
    </w:p>
    <w:p>
      <w:pPr>
        <w:spacing w:before="0" w:after="100"/>
        <w:jc w:val="both"/>
      </w:pPr>
      <w:r>
        <w:rPr>
          <w:rFonts w:ascii="Times New Roman" w:hAnsi="Times New Roman" w:eastAsia="Times New Roman"/>
          <w:b/>
          <w:i w:val="0"/>
          <w:sz w:val="25"/>
        </w:rPr>
        <w:t>П-11 [В]. Самотестирование на ВИЧ.</w:t>
      </w:r>
    </w:p>
    <w:p>
      <w:pPr>
        <w:spacing w:before="0" w:after="100"/>
        <w:jc w:val="both"/>
      </w:pPr>
      <w:r>
        <w:rPr>
          <w:rFonts w:ascii="Times New Roman" w:hAnsi="Times New Roman" w:eastAsia="Times New Roman"/>
          <w:b w:val="0"/>
          <w:i w:val="0"/>
          <w:sz w:val="25"/>
        </w:rPr>
        <w:t>Куда: новая перспектива к R33/R38 (или новая строка раздела IV).</w:t>
      </w:r>
    </w:p>
    <w:p>
      <w:pPr>
        <w:spacing w:before="0" w:after="100"/>
        <w:jc w:val="both"/>
      </w:pPr>
      <w:r>
        <w:rPr>
          <w:rFonts w:ascii="Times New Roman" w:hAnsi="Times New Roman" w:eastAsia="Times New Roman"/>
          <w:b w:val="0"/>
          <w:i w:val="0"/>
          <w:sz w:val="25"/>
        </w:rPr>
        <w:t>Формулировка: «Разработка, оценка аналитических и клинических характеристик и подготовка нормативно-методической базы для тестов на ВИЧ, предназначенных для самотестирования (самостоятельного отбора и интерпретации), включая оценку целесообразности их гражданского оборота».</w:t>
      </w:r>
    </w:p>
    <w:p>
      <w:pPr>
        <w:spacing w:before="0" w:after="100"/>
        <w:jc w:val="both"/>
      </w:pPr>
      <w:r>
        <w:rPr>
          <w:rFonts w:ascii="Times New Roman" w:hAnsi="Times New Roman" w:eastAsia="Times New Roman"/>
          <w:b w:val="0"/>
          <w:i w:val="0"/>
          <w:sz w:val="25"/>
        </w:rPr>
        <w:t>Обоснование: ВОЗ рекомендует самотестирование как компонент услуг тестирования с 2016 г. (обновление 2019 г.) [6]; по состоянию на последнюю открытую проверку (2020–2023 гг.) тесты, допускающие самоприменение, в гражданском обороте практически отсутствовали: в 2020 г. после предупреждения Росздравнадзора о том, что экспресс-тест зарегистрирован лишь для профессионального использования, такие тесты практически исчезли из аптечной сети (по данным производителя) [21]. Разработка и оценка отечественных самотестов силами НИО Роспотребнадзора закрывает одновременно задачу диагностики и просвещения; решение о регистрации и гражданском обороте — компетенция уполномоченных органов. △ (актуальный регистрационный статус требует проверки по реестру на дату письма).</w:t>
      </w:r>
    </w:p>
    <w:p>
      <w:pPr>
        <w:spacing w:before="0" w:after="100"/>
        <w:jc w:val="both"/>
      </w:pPr>
      <w:r>
        <w:rPr>
          <w:rFonts w:ascii="Times New Roman" w:hAnsi="Times New Roman" w:eastAsia="Times New Roman"/>
          <w:b/>
          <w:i w:val="0"/>
          <w:sz w:val="25"/>
        </w:rPr>
        <w:t>П-12 [В]. ДКП: научно-методическое обеспечение (в дополнение к «Исследованиям в области ДКП, ПКП» R19).</w:t>
      </w:r>
    </w:p>
    <w:p>
      <w:pPr>
        <w:spacing w:before="0" w:after="100"/>
        <w:jc w:val="both"/>
      </w:pPr>
      <w:r>
        <w:rPr>
          <w:rFonts w:ascii="Times New Roman" w:hAnsi="Times New Roman" w:eastAsia="Times New Roman"/>
          <w:b w:val="0"/>
          <w:i w:val="0"/>
          <w:sz w:val="25"/>
        </w:rPr>
        <w:t>Куда: дополнение к перспективе R19 + перспектива к R43 (нормативная база).</w:t>
      </w:r>
    </w:p>
    <w:p>
      <w:pPr>
        <w:spacing w:before="0" w:after="100"/>
        <w:jc w:val="both"/>
      </w:pPr>
      <w:r>
        <w:rPr>
          <w:rFonts w:ascii="Times New Roman" w:hAnsi="Times New Roman" w:eastAsia="Times New Roman"/>
          <w:b w:val="0"/>
          <w:i w:val="0"/>
          <w:sz w:val="25"/>
        </w:rPr>
        <w:t>Формулировка: «Научно-методическое обеспечение возможного внедрения доконтактной профилактики: анализ мирового опыта (рекомендации ВОЗ по ДКП длительного действия 2022 г. [4] и 2025 г. [1, 2]), подготовка предложений по нормативному регулированию, клиническим показаниям и схемам мониторинга безопасности (включая резистентность)».</w:t>
      </w:r>
    </w:p>
    <w:p>
      <w:pPr>
        <w:spacing w:before="0" w:after="100"/>
        <w:jc w:val="both"/>
      </w:pPr>
      <w:r>
        <w:rPr>
          <w:rFonts w:ascii="Times New Roman" w:hAnsi="Times New Roman" w:eastAsia="Times New Roman"/>
          <w:b w:val="0"/>
          <w:i w:val="0"/>
          <w:sz w:val="25"/>
        </w:rPr>
        <w:t>Обоснование: преамбула проекта сама констатирует, что ДКП «практически не используется в России» — по последнему доступному открытому анализу (2023 г.), ДКП отсутствовала в клинических рекомендациях и Плане реализации Госпрограммы, доступ фактически отсутствовал [28]; более свежие открытые официальные данные о статусе ДКП в РФ отсутствуют (подтверждение актуальности — на дату письма). Внедрение — решение Минздрава; роль НИО Роспотребнадзора — научная проработка, эпидемиологическое обоснование целевых групп и мониторинг. Технологический контекст стремительно меняется: ленакапавир 2 раза в год (ВОЗ 14.07.2025 [1]; FDA 18.06.2025 [3]) уже признан «следующей лучшей после вакцины» технологией [1].</w:t>
      </w:r>
    </w:p>
    <w:p>
      <w:pPr>
        <w:spacing w:before="0" w:after="100"/>
        <w:jc w:val="both"/>
      </w:pPr>
      <w:r>
        <w:rPr>
          <w:rFonts w:ascii="Times New Roman" w:hAnsi="Times New Roman" w:eastAsia="Times New Roman"/>
          <w:b/>
          <w:i w:val="0"/>
          <w:sz w:val="25"/>
        </w:rPr>
        <w:t>П-13 [В]. Точки оказания помощи (POC)-диагностика.</w:t>
      </w:r>
    </w:p>
    <w:p>
      <w:pPr>
        <w:spacing w:before="0" w:after="100"/>
        <w:jc w:val="both"/>
      </w:pPr>
      <w:r>
        <w:rPr>
          <w:rFonts w:ascii="Times New Roman" w:hAnsi="Times New Roman" w:eastAsia="Times New Roman"/>
          <w:b w:val="0"/>
          <w:i w:val="0"/>
          <w:sz w:val="25"/>
        </w:rPr>
        <w:t>Куда: перспектива к R33/R38.</w:t>
      </w:r>
    </w:p>
    <w:p>
      <w:pPr>
        <w:spacing w:before="0" w:after="100"/>
        <w:jc w:val="both"/>
      </w:pPr>
      <w:r>
        <w:rPr>
          <w:rFonts w:ascii="Times New Roman" w:hAnsi="Times New Roman" w:eastAsia="Times New Roman"/>
          <w:b w:val="0"/>
          <w:i w:val="0"/>
          <w:sz w:val="25"/>
        </w:rPr>
        <w:t>Формулировка: «Оценка и подготовка предложений по применению диагностики в точке оказания помощи (POC): определение вирусной нагрузки, раннее вирусологическое обследование детей, экспресс-CD4 — для сокращения «потерь» каскада и снижения смертности при выраженном иммунодефиците».</w:t>
      </w:r>
    </w:p>
    <w:p>
      <w:pPr>
        <w:spacing w:before="0" w:after="100"/>
        <w:jc w:val="both"/>
      </w:pPr>
      <w:r>
        <w:rPr>
          <w:rFonts w:ascii="Times New Roman" w:hAnsi="Times New Roman" w:eastAsia="Times New Roman"/>
          <w:b w:val="0"/>
          <w:i w:val="0"/>
          <w:sz w:val="25"/>
        </w:rPr>
        <w:t>Обоснование: ВОЗ (17.03.2021) уверенно рекомендует POC-NAT для диагностики ВИЧ у детей до 18 мес. и условно — POC-определение вирусной нагрузки [8]. Для задач надзора (сокращение потерь каскада «диагностика—лечение», удержание в диспансерном наблюдении) POC-технологии — прямой инструмент.</w:t>
      </w:r>
    </w:p>
    <w:p>
      <w:pPr>
        <w:spacing w:before="0" w:after="100"/>
        <w:jc w:val="both"/>
      </w:pPr>
      <w:r>
        <w:rPr>
          <w:rFonts w:ascii="Times New Roman" w:hAnsi="Times New Roman" w:eastAsia="Times New Roman"/>
          <w:b/>
          <w:i w:val="0"/>
          <w:sz w:val="25"/>
        </w:rPr>
        <w:t>П-14 [С]. Пакет помощи при выраженном иммунодефиците (научно-методическое сопровождение).</w:t>
      </w:r>
    </w:p>
    <w:p>
      <w:pPr>
        <w:spacing w:before="0" w:after="100"/>
        <w:jc w:val="both"/>
      </w:pPr>
      <w:r>
        <w:rPr>
          <w:rFonts w:ascii="Times New Roman" w:hAnsi="Times New Roman" w:eastAsia="Times New Roman"/>
          <w:b w:val="0"/>
          <w:i w:val="0"/>
          <w:sz w:val="25"/>
        </w:rPr>
        <w:t>Куда: дополнение к R46 (консультативно-методическая помощь) или R31.</w:t>
      </w:r>
    </w:p>
    <w:p>
      <w:pPr>
        <w:spacing w:before="0" w:after="100"/>
        <w:jc w:val="both"/>
      </w:pPr>
      <w:r>
        <w:rPr>
          <w:rFonts w:ascii="Times New Roman" w:hAnsi="Times New Roman" w:eastAsia="Times New Roman"/>
          <w:b w:val="0"/>
          <w:i w:val="0"/>
          <w:sz w:val="25"/>
        </w:rPr>
        <w:t>Формулировка: «Методическая поддержка внедрения в субъектах РФ пакета помощи при выраженном иммунодефиците (CD4 &lt;200 кл/мкл): методическое обеспечение скрининга и профилактики основных оппортунистических инфекций (клинические назначения — компетенция медицинских организаций)».</w:t>
      </w:r>
    </w:p>
    <w:p>
      <w:pPr>
        <w:spacing w:before="0" w:after="100"/>
        <w:jc w:val="both"/>
      </w:pPr>
      <w:r>
        <w:rPr>
          <w:rFonts w:ascii="Times New Roman" w:hAnsi="Times New Roman" w:eastAsia="Times New Roman"/>
          <w:b w:val="0"/>
          <w:i w:val="0"/>
          <w:sz w:val="25"/>
        </w:rPr>
        <w:t>Обоснование: ВОЗ (2017) определяет выраженное иммунодефицитное состояние (CD4 &lt;200) и рекомендует пакет вмешательств (скрининг/профилактика ОИ, быстрая инициация АРТ, усиленная поддержка приверженности) [12]. В таблице проекта направления по CD4/оппортунистическим инфекциям на уровне методической поддержки отсутствуют.</w:t>
      </w:r>
    </w:p>
    <w:p>
      <w:pPr>
        <w:spacing w:before="0" w:after="100"/>
        <w:jc w:val="both"/>
      </w:pPr>
      <w:r>
        <w:rPr>
          <w:rFonts w:ascii="Times New Roman" w:hAnsi="Times New Roman" w:eastAsia="Times New Roman"/>
          <w:b/>
          <w:i w:val="0"/>
          <w:sz w:val="25"/>
        </w:rPr>
        <w:t>П-15 [С]. Диагностическая совместимость тестов с циркулирующими вариантами ВИЧ-1.</w:t>
      </w:r>
    </w:p>
    <w:p>
      <w:pPr>
        <w:spacing w:before="0" w:after="100"/>
        <w:jc w:val="both"/>
      </w:pPr>
      <w:r>
        <w:rPr>
          <w:rFonts w:ascii="Times New Roman" w:hAnsi="Times New Roman" w:eastAsia="Times New Roman"/>
          <w:b w:val="0"/>
          <w:i w:val="0"/>
          <w:sz w:val="25"/>
        </w:rPr>
        <w:t>Куда: дополнение к перспективе R33.</w:t>
      </w:r>
    </w:p>
    <w:p>
      <w:pPr>
        <w:spacing w:before="0" w:after="100"/>
        <w:jc w:val="both"/>
      </w:pPr>
      <w:r>
        <w:rPr>
          <w:rFonts w:ascii="Times New Roman" w:hAnsi="Times New Roman" w:eastAsia="Times New Roman"/>
          <w:b w:val="0"/>
          <w:i w:val="0"/>
          <w:sz w:val="25"/>
        </w:rPr>
        <w:t>Формулировка: «Оценка диагностической чувствительности серологических и молекулярных тест-систем в отношении циркулирующих на территории РФ генетических вариантов ВИЧ-1 (субтип А6, рекомбинантные формы), включая сценарии упрощённого тестирования для профилактики длительного действия».</w:t>
      </w:r>
    </w:p>
    <w:p>
      <w:pPr>
        <w:spacing w:before="0" w:after="100"/>
        <w:jc w:val="both"/>
      </w:pPr>
      <w:r>
        <w:rPr>
          <w:rFonts w:ascii="Times New Roman" w:hAnsi="Times New Roman" w:eastAsia="Times New Roman"/>
          <w:b w:val="0"/>
          <w:i w:val="0"/>
          <w:sz w:val="25"/>
        </w:rPr>
        <w:t>Обоснование: вытекает из собственной логики проекта (R23 — атипичные и новые варианты; R33 — валидация биоинформатических методов) и из рекомендации ВОЗ 2025 г. о тестировании при ДКП длительного действия [2]. Организационная связка, новых внешних фактов не требует.</w:t>
      </w:r>
    </w:p>
    <w:p>
      <w:pPr>
        <w:spacing w:before="0" w:after="100"/>
        <w:jc w:val="both"/>
      </w:pPr>
      <w:r>
        <w:rPr>
          <w:rFonts w:ascii="Times New Roman" w:hAnsi="Times New Roman" w:eastAsia="Times New Roman"/>
          <w:b/>
          <w:i w:val="0"/>
          <w:sz w:val="25"/>
        </w:rPr>
        <w:t>П-16 [С]. Стандартные образцы и референс-панели.</w:t>
      </w:r>
    </w:p>
    <w:p>
      <w:pPr>
        <w:spacing w:before="0" w:after="100"/>
        <w:jc w:val="both"/>
      </w:pPr>
      <w:r>
        <w:rPr>
          <w:rFonts w:ascii="Times New Roman" w:hAnsi="Times New Roman" w:eastAsia="Times New Roman"/>
          <w:b w:val="0"/>
          <w:i w:val="0"/>
          <w:sz w:val="25"/>
        </w:rPr>
        <w:t>Куда: дополнение к R33/R38.</w:t>
      </w:r>
    </w:p>
    <w:p>
      <w:pPr>
        <w:spacing w:before="0" w:after="100"/>
        <w:jc w:val="both"/>
      </w:pPr>
      <w:r>
        <w:rPr>
          <w:rFonts w:ascii="Times New Roman" w:hAnsi="Times New Roman" w:eastAsia="Times New Roman"/>
          <w:b w:val="0"/>
          <w:i w:val="0"/>
          <w:sz w:val="25"/>
        </w:rPr>
        <w:t>Формулировка: «Разработка и актуализация стандартных образцов и референс-панелей для диагностики ВИЧ-инфекции (с учётом установленного порядка их утверждения) (РНК, антиген p24, антитела, панели вариантов и резистентных штаммов) в увязке с «Уникальной коллекцией современных российских инфекционных изолятов ВИЧ»».</w:t>
      </w:r>
    </w:p>
    <w:p>
      <w:pPr>
        <w:spacing w:before="0" w:after="100"/>
        <w:jc w:val="both"/>
      </w:pPr>
      <w:r>
        <w:rPr>
          <w:rFonts w:ascii="Times New Roman" w:hAnsi="Times New Roman" w:eastAsia="Times New Roman"/>
          <w:b w:val="0"/>
          <w:i w:val="0"/>
          <w:sz w:val="25"/>
        </w:rPr>
        <w:t>Обоснование: метрологическое обеспечение — традиционная функция Роспотребнадзора; коллекция изолятов (УНУ USU-200996) уже упомянута в проекте как база. Внешних цитат не требует.</w:t>
      </w:r>
    </w:p>
    <w:p>
      <w:pPr>
        <w:keepNext/>
        <w:spacing w:before="200" w:after="80"/>
      </w:pPr>
      <w:r>
        <w:rPr>
          <w:rFonts w:ascii="Times New Roman" w:hAnsi="Times New Roman" w:eastAsia="Times New Roman"/>
          <w:b/>
          <w:i w:val="0"/>
          <w:sz w:val="25"/>
        </w:rPr>
        <w:t>Раздел V. Научно-методическая деятельность</w:t>
      </w:r>
    </w:p>
    <w:p>
      <w:pPr>
        <w:spacing w:before="0" w:after="100"/>
        <w:jc w:val="both"/>
      </w:pPr>
      <w:r>
        <w:rPr>
          <w:rFonts w:ascii="Times New Roman" w:hAnsi="Times New Roman" w:eastAsia="Times New Roman"/>
          <w:b/>
          <w:i w:val="0"/>
          <w:sz w:val="25"/>
        </w:rPr>
        <w:t>П-17 [В]. Синхронизация таблицы с целевыми показателями нацпроекта «Продолжительная и активная жизнь».</w:t>
      </w:r>
    </w:p>
    <w:p>
      <w:pPr>
        <w:spacing w:before="0" w:after="100"/>
        <w:jc w:val="both"/>
      </w:pPr>
      <w:r>
        <w:rPr>
          <w:rFonts w:ascii="Times New Roman" w:hAnsi="Times New Roman" w:eastAsia="Times New Roman"/>
          <w:b w:val="0"/>
          <w:i w:val="0"/>
          <w:sz w:val="25"/>
        </w:rPr>
        <w:t>Куда: дополнение к R42/R44.</w:t>
      </w:r>
    </w:p>
    <w:p>
      <w:pPr>
        <w:spacing w:before="0" w:after="100"/>
        <w:jc w:val="both"/>
      </w:pPr>
      <w:r>
        <w:rPr>
          <w:rFonts w:ascii="Times New Roman" w:hAnsi="Times New Roman" w:eastAsia="Times New Roman"/>
          <w:b w:val="0"/>
          <w:i w:val="0"/>
          <w:sz w:val="25"/>
        </w:rPr>
        <w:t>Формулировка: «Подготовка аналитических материалов и методических документов, обеспечивающих информационно-аналитическую поддержку достижения целевых показателей по ВИЧ-инфекции в рамках национального проекта «Продолжительная и активная жизнь» (снижение заболеваемости при дальнейшем росте охвата освидетельствованием)».</w:t>
      </w:r>
    </w:p>
    <w:p>
      <w:pPr>
        <w:spacing w:before="0" w:after="100"/>
        <w:jc w:val="both"/>
      </w:pPr>
      <w:r>
        <w:rPr>
          <w:rFonts w:ascii="Times New Roman" w:hAnsi="Times New Roman" w:eastAsia="Times New Roman"/>
          <w:b w:val="0"/>
          <w:i w:val="0"/>
          <w:sz w:val="25"/>
        </w:rPr>
        <w:t>Обоснование: на коллегии Минздрава России 17.04.2026 задачи по ВИЧ-инфекции заявлены в рамках указанного нацпроекта [24]. Таблица проекта на нацпроект не ссылается вовсе — пробел согласования.</w:t>
      </w:r>
    </w:p>
    <w:p>
      <w:pPr>
        <w:spacing w:before="0" w:after="100"/>
        <w:jc w:val="both"/>
      </w:pPr>
      <w:r>
        <w:rPr>
          <w:rFonts w:ascii="Times New Roman" w:hAnsi="Times New Roman" w:eastAsia="Times New Roman"/>
          <w:b/>
          <w:i w:val="0"/>
          <w:sz w:val="25"/>
        </w:rPr>
        <w:t>П-18 [С]. Обновление МУ 3.1.3342-16 с учётом новых методов.</w:t>
      </w:r>
    </w:p>
    <w:p>
      <w:pPr>
        <w:spacing w:before="0" w:after="100"/>
        <w:jc w:val="both"/>
      </w:pPr>
      <w:r>
        <w:rPr>
          <w:rFonts w:ascii="Times New Roman" w:hAnsi="Times New Roman" w:eastAsia="Times New Roman"/>
          <w:b w:val="0"/>
          <w:i w:val="0"/>
          <w:sz w:val="25"/>
        </w:rPr>
        <w:t>Куда: дополнение к R41 (переработка МУ).</w:t>
      </w:r>
    </w:p>
    <w:p>
      <w:pPr>
        <w:spacing w:before="0" w:after="100"/>
        <w:jc w:val="both"/>
      </w:pPr>
      <w:r>
        <w:rPr>
          <w:rFonts w:ascii="Times New Roman" w:hAnsi="Times New Roman" w:eastAsia="Times New Roman"/>
          <w:b w:val="0"/>
          <w:i w:val="0"/>
          <w:sz w:val="25"/>
        </w:rPr>
        <w:t>Формулировка: «При переработке МУ 3.1.3342-16 включить положения о генотипировании и филогенетическом анализе в очагах, алгоритмах RITA, стандартах регистрации в АСОДОС и (перспективно) алгоритмах при внедрении самотестирования и ДКП».</w:t>
      </w:r>
    </w:p>
    <w:p>
      <w:pPr>
        <w:spacing w:before="0" w:after="100"/>
        <w:jc w:val="both"/>
      </w:pPr>
      <w:r>
        <w:rPr>
          <w:rFonts w:ascii="Times New Roman" w:hAnsi="Times New Roman" w:eastAsia="Times New Roman"/>
          <w:b w:val="0"/>
          <w:i w:val="0"/>
          <w:sz w:val="25"/>
        </w:rPr>
        <w:t>Обоснование: действующие МУ 3.1.3342-16 уже предусматривают генотипирование при эпидрасследованиях [20], но не содержат современных методов оценки инцидентности; синхронизация исключит расхождение методической базы с расширенным санитарным законодательством (СанПиН 3.3686-21, разд. VI — подтверждён [19]).</w:t>
      </w:r>
    </w:p>
    <w:p>
      <w:pPr>
        <w:keepNext/>
        <w:spacing w:before="200" w:after="80"/>
      </w:pPr>
      <w:r>
        <w:rPr>
          <w:rFonts w:ascii="Times New Roman" w:hAnsi="Times New Roman" w:eastAsia="Times New Roman"/>
          <w:b/>
          <w:i w:val="0"/>
          <w:sz w:val="25"/>
        </w:rPr>
        <w:t>Разделы VI–VIII</w:t>
      </w:r>
    </w:p>
    <w:p>
      <w:pPr>
        <w:spacing w:before="0" w:after="100"/>
        <w:jc w:val="both"/>
      </w:pPr>
      <w:r>
        <w:rPr>
          <w:rFonts w:ascii="Times New Roman" w:hAnsi="Times New Roman" w:eastAsia="Times New Roman"/>
          <w:b/>
          <w:i w:val="0"/>
          <w:sz w:val="25"/>
        </w:rPr>
        <w:t>П-19 [С]. Расширение перспективы R46 (оценка готовности лабораторной базы).</w:t>
      </w:r>
    </w:p>
    <w:p>
      <w:pPr>
        <w:spacing w:before="0" w:after="100"/>
        <w:jc w:val="both"/>
      </w:pPr>
      <w:r>
        <w:rPr>
          <w:rFonts w:ascii="Times New Roman" w:hAnsi="Times New Roman" w:eastAsia="Times New Roman"/>
          <w:b w:val="0"/>
          <w:i w:val="0"/>
          <w:sz w:val="25"/>
        </w:rPr>
        <w:t>Формулировка (добавление): «…включая готовность к выполнению референсных функций (генотипирование, лекарственная устойчивость, арбитражные исследования) и потребность в опорных базах по федеральным округам» — прямая связка с R22 (создание опорных баз Референс-центра). Организационное предложение; по существу поддерживает инициативу R22, в т.ч. на базе бывших окружных центров (опыт НИО Роспотребнадзора, включая ФБУН РНИИМП).</w:t>
      </w:r>
    </w:p>
    <w:p>
      <w:pPr>
        <w:spacing w:before="0" w:after="100"/>
        <w:jc w:val="both"/>
      </w:pPr>
      <w:r>
        <w:rPr>
          <w:rFonts w:ascii="Times New Roman" w:hAnsi="Times New Roman" w:eastAsia="Times New Roman"/>
          <w:b/>
          <w:i w:val="0"/>
          <w:sz w:val="25"/>
        </w:rPr>
        <w:t>П-20 [В]. Информирование о «Неопределяемый = непередающий» (U=U).</w:t>
      </w:r>
    </w:p>
    <w:p>
      <w:pPr>
        <w:spacing w:before="0" w:after="100"/>
        <w:jc w:val="both"/>
      </w:pPr>
      <w:r>
        <w:rPr>
          <w:rFonts w:ascii="Times New Roman" w:hAnsi="Times New Roman" w:eastAsia="Times New Roman"/>
          <w:b w:val="0"/>
          <w:i w:val="0"/>
          <w:sz w:val="25"/>
        </w:rPr>
        <w:t>Куда: новая перспектива к R55 (образование/просвещение).</w:t>
      </w:r>
    </w:p>
    <w:p>
      <w:pPr>
        <w:spacing w:before="0" w:after="100"/>
        <w:jc w:val="both"/>
      </w:pPr>
      <w:r>
        <w:rPr>
          <w:rFonts w:ascii="Times New Roman" w:hAnsi="Times New Roman" w:eastAsia="Times New Roman"/>
          <w:b w:val="0"/>
          <w:i w:val="0"/>
          <w:sz w:val="25"/>
        </w:rPr>
        <w:t>Формулировка: «Информирование населения и медицинских работников о научных данных о нулевом риске половой передачи ВИЧ при неопределяемой вирусной нагрузке на фоне эффективной терапии (концепция «Неопределяемый = непередающий», U=U)».</w:t>
      </w:r>
    </w:p>
    <w:p>
      <w:pPr>
        <w:spacing w:before="0" w:after="100"/>
        <w:jc w:val="both"/>
      </w:pPr>
      <w:r>
        <w:rPr>
          <w:rFonts w:ascii="Times New Roman" w:hAnsi="Times New Roman" w:eastAsia="Times New Roman"/>
          <w:b w:val="0"/>
          <w:i w:val="0"/>
          <w:sz w:val="25"/>
        </w:rPr>
        <w:t>Обоснование: PARTNER2 (Lancet, 2019): среди включённых 972 серодискордантных пар мужчин, сообщивших ~76 000 незащищённых контактов (782 пары — в основном анализе), — 0 генетически связанных передач при подавленной ВН [7]; HPTN 052 — снижение риска передачи на 96 % при ранней АРТ (отдельное исследование) [7]. Кампания U=U снижает стигму и повышает мотивацию к терапии; в просветительском блоке проекта отсутствует.</w:t>
      </w:r>
    </w:p>
    <w:p>
      <w:pPr>
        <w:spacing w:before="0" w:after="100"/>
        <w:jc w:val="both"/>
      </w:pPr>
      <w:r>
        <w:rPr>
          <w:rFonts w:ascii="Times New Roman" w:hAnsi="Times New Roman" w:eastAsia="Times New Roman"/>
          <w:b/>
          <w:i w:val="0"/>
          <w:sz w:val="25"/>
        </w:rPr>
        <w:t>П-21 [С]. Недискриминационная практика в здравоохранении (обучение).</w:t>
      </w:r>
    </w:p>
    <w:p>
      <w:pPr>
        <w:spacing w:before="0" w:after="100"/>
        <w:jc w:val="both"/>
      </w:pPr>
      <w:r>
        <w:rPr>
          <w:rFonts w:ascii="Times New Roman" w:hAnsi="Times New Roman" w:eastAsia="Times New Roman"/>
          <w:b w:val="0"/>
          <w:i w:val="0"/>
          <w:sz w:val="25"/>
        </w:rPr>
        <w:t>Куда: дополнение к R53 (обучение медицинских работников).</w:t>
      </w:r>
    </w:p>
    <w:p>
      <w:pPr>
        <w:spacing w:before="0" w:after="100"/>
        <w:jc w:val="both"/>
      </w:pPr>
      <w:r>
        <w:rPr>
          <w:rFonts w:ascii="Times New Roman" w:hAnsi="Times New Roman" w:eastAsia="Times New Roman"/>
          <w:b w:val="0"/>
          <w:i w:val="0"/>
          <w:sz w:val="25"/>
        </w:rPr>
        <w:t>Формулировка: «Включение в программы обучения вопросов недискриминационной практики при оказании помощи ЛЖВ и представителям уязвимых групп».</w:t>
      </w:r>
    </w:p>
    <w:p>
      <w:pPr>
        <w:spacing w:before="0" w:after="100"/>
        <w:jc w:val="both"/>
      </w:pPr>
      <w:r>
        <w:rPr>
          <w:rFonts w:ascii="Times New Roman" w:hAnsi="Times New Roman" w:eastAsia="Times New Roman"/>
          <w:b w:val="0"/>
          <w:i w:val="0"/>
          <w:sz w:val="25"/>
        </w:rPr>
        <w:t>Обоснование: рекомендация комитета ВОЗ STAG-HHS (2024) — усилить работу по снижению ВИЧ-ассоциированной стигмы и дискриминации именно в медицинских организациях [27]; консолидированные рекомендации ВОЗ для ключевых групп (2022) — структурные барьеры как мишень вмешательств [12].</w:t>
      </w:r>
    </w:p>
    <w:p>
      <w:pPr>
        <w:keepNext/>
        <w:spacing w:before="280" w:after="120"/>
      </w:pPr>
      <w:r>
        <w:rPr>
          <w:rFonts w:ascii="Times New Roman" w:hAnsi="Times New Roman" w:eastAsia="Times New Roman"/>
          <w:b/>
          <w:i w:val="0"/>
          <w:sz w:val="26"/>
        </w:rPr>
        <w:t>4. ПЕРСПЕКТИВНЫЕ НАДЗОРНЫЕ И ИССЛЕДОВАТЕЛЬСКИЕ РАБОТЫ ДЛЯ ДОПОЛНЕНИЯ ТАБЛИЦЫ</w:t>
      </w:r>
    </w:p>
    <w:p>
      <w:pPr>
        <w:spacing w:before="0" w:after="80"/>
        <w:ind w:left="454"/>
        <w:jc w:val="both"/>
      </w:pPr>
      <w:r>
        <w:rPr>
          <w:rFonts w:ascii="Times New Roman" w:hAnsi="Times New Roman" w:eastAsia="Times New Roman"/>
          <w:b w:val="0"/>
          <w:i/>
          <w:sz w:val="25"/>
        </w:rPr>
        <w:t>Блок добавлен в редакции 2 по уточнению задачи. Все формулировки — готовые ячейки для перспективной графы таблицы; каждая привязана к существующей строке (R-XX) или помечена как новая строка. Подбор сделан так, чтобы каждая работа была в зоне полномочий службы и демонстрировала её незаменимость (см. раздел 5).</w:t>
      </w:r>
    </w:p>
    <w:p>
      <w:pPr>
        <w:spacing w:before="0" w:after="100"/>
        <w:jc w:val="both"/>
      </w:pPr>
      <w:r>
        <w:rPr>
          <w:rFonts w:ascii="Times New Roman" w:hAnsi="Times New Roman" w:eastAsia="Times New Roman"/>
          <w:b/>
          <w:i w:val="0"/>
          <w:sz w:val="25"/>
        </w:rPr>
        <w:t>П-22 [В]. Актуализация Приложения 13 к СанПиН 3.3686-21 «Контингенты, подлежащие обязательному медицинскому освидетельствованию на ВИЧ-инфекцию и рекомендуемые для добровольного обследования на ВИЧ-инфекцию».</w:t>
      </w:r>
    </w:p>
    <w:p>
      <w:pPr>
        <w:spacing w:before="0" w:after="100"/>
        <w:jc w:val="both"/>
      </w:pPr>
      <w:r>
        <w:rPr>
          <w:rFonts w:ascii="Times New Roman" w:hAnsi="Times New Roman" w:eastAsia="Times New Roman"/>
          <w:b w:val="0"/>
          <w:i w:val="0"/>
          <w:sz w:val="25"/>
        </w:rPr>
        <w:t>Куда: новая строка раздела V (или перспектива к R43/R44).</w:t>
      </w:r>
    </w:p>
    <w:p>
      <w:pPr>
        <w:spacing w:before="0" w:after="100"/>
        <w:jc w:val="both"/>
      </w:pPr>
      <w:r>
        <w:rPr>
          <w:rFonts w:ascii="Times New Roman" w:hAnsi="Times New Roman" w:eastAsia="Times New Roman"/>
          <w:b w:val="0"/>
          <w:i w:val="0"/>
          <w:sz w:val="25"/>
        </w:rPr>
        <w:t>Формулировка: «Научное (эпидемиологическое) обоснование пересмотра Приложения 13 к СанПиН 3.3686-21: перечня контингентов, периодичности освидетельствования и критерия регионов с генерализованной стадией эпидемии (свыше 1 % ВИЧ-инфицированных среди беременных) с учётом современной структуры эпидемического процесса».</w:t>
      </w:r>
    </w:p>
    <w:p>
      <w:pPr>
        <w:spacing w:before="0" w:after="100"/>
        <w:jc w:val="both"/>
      </w:pPr>
      <w:r>
        <w:rPr>
          <w:rFonts w:ascii="Times New Roman" w:hAnsi="Times New Roman" w:eastAsia="Times New Roman"/>
          <w:b w:val="0"/>
          <w:i w:val="0"/>
          <w:sz w:val="25"/>
        </w:rPr>
        <w:t>Обоснование: действующая редакция Приложения 13 входит в СанПиН 3.3686-21 [32], однако по содержанию восходит к перечням 2010-х годов (СП 3.1.5.2826-10) и не отражает текущую структуру эпидемии — гетеросексуальную генерализацию, вовлечённость сельского населения и национальных республик (данные преамбулы проекта). Учёт обследований ведётся по кодам контингентов в учётных формах, утверждённых приказом Минздрава России от 26.03.2020 № 240н (102 — ПИН, 103 — МСМ, 104 — лица с подозрением на ИППП, 105 — оказывающие сексуальные услуги, 106 — внутренние трудовые мигранты, 109 — беременные, 112 — находящиеся в местах лишения свободы и др.) [31], т.е. аналитическая база для пересмотра у службы есть. Пересмотр перечня — функция нормирования, осуществляемая в установленном порядке [19, 32].</w:t>
      </w:r>
    </w:p>
    <w:p>
      <w:pPr>
        <w:spacing w:before="0" w:after="100"/>
        <w:jc w:val="both"/>
      </w:pPr>
      <w:r>
        <w:rPr>
          <w:rFonts w:ascii="Times New Roman" w:hAnsi="Times New Roman" w:eastAsia="Times New Roman"/>
          <w:b/>
          <w:i w:val="0"/>
          <w:sz w:val="25"/>
        </w:rPr>
        <w:t>П-23 [В]. Интегрированный надзор ВИЧ + туберкулёз + гепатиты B/C + ИППП.</w:t>
      </w:r>
    </w:p>
    <w:p>
      <w:pPr>
        <w:spacing w:before="0" w:after="100"/>
        <w:jc w:val="both"/>
      </w:pPr>
      <w:r>
        <w:rPr>
          <w:rFonts w:ascii="Times New Roman" w:hAnsi="Times New Roman" w:eastAsia="Times New Roman"/>
          <w:b w:val="0"/>
          <w:i w:val="0"/>
          <w:sz w:val="25"/>
        </w:rPr>
        <w:t>Куда: новая перспектива к R2 или новая строка раздела I.</w:t>
      </w:r>
    </w:p>
    <w:p>
      <w:pPr>
        <w:spacing w:before="0" w:after="100"/>
        <w:jc w:val="both"/>
      </w:pPr>
      <w:r>
        <w:rPr>
          <w:rFonts w:ascii="Times New Roman" w:hAnsi="Times New Roman" w:eastAsia="Times New Roman"/>
          <w:b w:val="0"/>
          <w:i w:val="0"/>
          <w:sz w:val="25"/>
        </w:rPr>
        <w:t>Формулировка: «Формирование интегрированного эпидемиологического надзора за ВИЧ-инфекцией и сопутствующими инфекциями (туберкулёз, вирусные гепатиты B и C, ИППП): совместные когорты, сопоставление каскадов «диагностика—лечение—результат», единый деперсонифицированный контур данных».</w:t>
      </w:r>
    </w:p>
    <w:p>
      <w:pPr>
        <w:spacing w:before="0" w:after="100"/>
        <w:jc w:val="both"/>
      </w:pPr>
      <w:r>
        <w:rPr>
          <w:rFonts w:ascii="Times New Roman" w:hAnsi="Times New Roman" w:eastAsia="Times New Roman"/>
          <w:b w:val="0"/>
          <w:i w:val="0"/>
          <w:sz w:val="25"/>
        </w:rPr>
        <w:t>Обоснование: ВОЗ закрепила этот подход в руководствах по стратегической информации (политический брифинг «Интеграция связанных инфекций в системы надзора за ВИЧ» в составе консолидированных рекомендаций 2022 г.) [13]; в преамбуле проекта туберкулёз у ВИЧ-инфицированных уже фигурирует как требование СанПиН [19]. Интеграция — то, что может выстроить только надзорная служба, обладающая отчётностью по всем четырём нозологиям одновременно.</w:t>
      </w:r>
    </w:p>
    <w:p>
      <w:pPr>
        <w:spacing w:before="0" w:after="100"/>
        <w:jc w:val="both"/>
      </w:pPr>
      <w:r>
        <w:rPr>
          <w:rFonts w:ascii="Times New Roman" w:hAnsi="Times New Roman" w:eastAsia="Times New Roman"/>
          <w:b/>
          <w:i w:val="0"/>
          <w:sz w:val="25"/>
        </w:rPr>
        <w:t>П-24 [С]. Мультиплексное тестирование (ВИЧ / ВГВ / ВГС / сифилис).</w:t>
      </w:r>
    </w:p>
    <w:p>
      <w:pPr>
        <w:spacing w:before="0" w:after="100"/>
        <w:jc w:val="both"/>
      </w:pPr>
      <w:r>
        <w:rPr>
          <w:rFonts w:ascii="Times New Roman" w:hAnsi="Times New Roman" w:eastAsia="Times New Roman"/>
          <w:b w:val="0"/>
          <w:i w:val="0"/>
          <w:sz w:val="25"/>
        </w:rPr>
        <w:t>Куда: перспектива к R33/R38.</w:t>
      </w:r>
    </w:p>
    <w:p>
      <w:pPr>
        <w:spacing w:before="0" w:after="100"/>
        <w:jc w:val="both"/>
      </w:pPr>
      <w:r>
        <w:rPr>
          <w:rFonts w:ascii="Times New Roman" w:hAnsi="Times New Roman" w:eastAsia="Times New Roman"/>
          <w:b w:val="0"/>
          <w:i w:val="0"/>
          <w:sz w:val="25"/>
        </w:rPr>
        <w:t>Формулировка: «Оценка аналитических и клинических характеристик мультиплексных диагностических панелей для одновременного выявления ВИЧ и иных гемоконтактных и половых инфекций (конкретный состав панелей — предмет проработки) для выездных, амбулаторных и лабораторных форматов; подготовка предложений по применению».</w:t>
      </w:r>
    </w:p>
    <w:p>
      <w:pPr>
        <w:spacing w:before="0" w:after="100"/>
        <w:jc w:val="both"/>
      </w:pPr>
      <w:r>
        <w:rPr>
          <w:rFonts w:ascii="Times New Roman" w:hAnsi="Times New Roman" w:eastAsia="Times New Roman"/>
          <w:b w:val="0"/>
          <w:i w:val="0"/>
          <w:sz w:val="25"/>
        </w:rPr>
        <w:t>Обоснование: стратегическая консультативная группа ВОЗ (STAG-HHS, 2024) рекомендует развитие мультиплексного тестирования как инструмента расширения охвата (конкретные составы панелей рекомендациями не заданы) [27]; для службы это и лабораторная работа, и элемент надзора за диагностическим звеном (R38).</w:t>
      </w:r>
    </w:p>
    <w:p>
      <w:pPr>
        <w:spacing w:before="0" w:after="100"/>
        <w:jc w:val="both"/>
      </w:pPr>
      <w:r>
        <w:rPr>
          <w:rFonts w:ascii="Times New Roman" w:hAnsi="Times New Roman" w:eastAsia="Times New Roman"/>
          <w:b/>
          <w:i w:val="0"/>
          <w:sz w:val="25"/>
        </w:rPr>
        <w:t>П-25 [В]. Оценка доли недиагностированной ВИЧ-инфекции.</w:t>
      </w:r>
    </w:p>
    <w:p>
      <w:pPr>
        <w:spacing w:before="0" w:after="100"/>
        <w:jc w:val="both"/>
      </w:pPr>
      <w:r>
        <w:rPr>
          <w:rFonts w:ascii="Times New Roman" w:hAnsi="Times New Roman" w:eastAsia="Times New Roman"/>
          <w:b w:val="0"/>
          <w:i w:val="0"/>
          <w:sz w:val="25"/>
        </w:rPr>
        <w:t>Куда: новая строка раздела III или перспектива к R2.</w:t>
      </w:r>
    </w:p>
    <w:p>
      <w:pPr>
        <w:spacing w:before="0" w:after="100"/>
        <w:jc w:val="both"/>
      </w:pPr>
      <w:r>
        <w:rPr>
          <w:rFonts w:ascii="Times New Roman" w:hAnsi="Times New Roman" w:eastAsia="Times New Roman"/>
          <w:b w:val="0"/>
          <w:i w:val="0"/>
          <w:sz w:val="25"/>
        </w:rPr>
        <w:t>Формулировка: «Разработка и апробация методики оценки доли недиагностированной ВИЧ-инфекции в Российской Федерации (триангуляция данных СГМ, АСОДОС, ежеквартальной сверки с Минздравом России и выборочных исследований); оценка вклада недиагностированных лиц в инцидентность».</w:t>
      </w:r>
    </w:p>
    <w:p>
      <w:pPr>
        <w:spacing w:before="0" w:after="100"/>
        <w:jc w:val="both"/>
      </w:pPr>
      <w:r>
        <w:rPr>
          <w:rFonts w:ascii="Times New Roman" w:hAnsi="Times New Roman" w:eastAsia="Times New Roman"/>
          <w:b w:val="0"/>
          <w:i w:val="0"/>
          <w:sz w:val="25"/>
        </w:rPr>
        <w:t>Обоснование: глобально, по оценке ВОЗ (STAG-HHS, 2024), о своём статусе не знают 5,5 млн ЛЖВ [27]; в преамбуле проекта прямо констатируется «часть больных ещё не знает о своем диагнозе, поскольку они не обследованы». Количественная оценка недиагностированности — обязательный элемент второго поколения надзора [13] и обоснование любых заявок на расширение тестирования; в таблице проекта методика отсутствует.</w:t>
      </w:r>
    </w:p>
    <w:p>
      <w:pPr>
        <w:spacing w:before="0" w:after="100"/>
        <w:jc w:val="both"/>
      </w:pPr>
      <w:r>
        <w:rPr>
          <w:rFonts w:ascii="Times New Roman" w:hAnsi="Times New Roman" w:eastAsia="Times New Roman"/>
          <w:b/>
          <w:i w:val="0"/>
          <w:sz w:val="25"/>
        </w:rPr>
        <w:t>П-26 [В]. Аудит вертикальной передачи и научно-методическая база для возможной валидации ВОЗ элиминации передачи ВИЧ от матери к ребёнку (EMTCT).</w:t>
      </w:r>
    </w:p>
    <w:p>
      <w:pPr>
        <w:spacing w:before="0" w:after="100"/>
        <w:jc w:val="both"/>
      </w:pPr>
      <w:r>
        <w:rPr>
          <w:rFonts w:ascii="Times New Roman" w:hAnsi="Times New Roman" w:eastAsia="Times New Roman"/>
          <w:b w:val="0"/>
          <w:i w:val="0"/>
          <w:sz w:val="25"/>
        </w:rPr>
        <w:t>Куда: новая строка раздела III или перспектива к R2.</w:t>
      </w:r>
    </w:p>
    <w:p>
      <w:pPr>
        <w:spacing w:before="0" w:after="100"/>
        <w:jc w:val="both"/>
      </w:pPr>
      <w:r>
        <w:rPr>
          <w:rFonts w:ascii="Times New Roman" w:hAnsi="Times New Roman" w:eastAsia="Times New Roman"/>
          <w:b w:val="0"/>
          <w:i w:val="0"/>
          <w:sz w:val="25"/>
        </w:rPr>
        <w:t>Формулировка: «Проведение аудита случаев вертикальной передачи ВИЧ (эпидемиологическое расследование каждого случая; при необходимости установления источника — генотипирование и филогенетический анализ), подготовка национальной методической базы и аналитических материалов, которые могут быть использованы при подготовке государством заявки на валидацию ВОЗ элиминации передачи ВИЧ от матери к ребёнку в соответствии с действующими критериями и процедурами ВОЗ».</w:t>
      </w:r>
    </w:p>
    <w:p>
      <w:pPr>
        <w:spacing w:before="0" w:after="100"/>
        <w:jc w:val="both"/>
      </w:pPr>
      <w:r>
        <w:rPr>
          <w:rFonts w:ascii="Times New Roman" w:hAnsi="Times New Roman" w:eastAsia="Times New Roman"/>
          <w:b w:val="0"/>
          <w:i w:val="0"/>
          <w:sz w:val="25"/>
        </w:rPr>
        <w:t>Обоснование: процедура валидации EMTCT действует с 2015 г.; к 10.09.2026 валидировано 25 стран и территорий, включая Кубу (2015), Беларусь, Армению, Республику Молдова и Таиланд (2016); 27.02.2026 ВОЗ валидировала Данию — первую страну Европейского союза [29, 30]. Российская Федерация в перечне отсутствует, при этом материнская ВИЧ-сервисная цепочка в РФ — один из немногих фрагментов с устойчиво высокими результатами. Валидация носит страновой (межведомственный) характер, однако её информационное ядро — данные эпидемиологического надзора, сбор и анализ которых — прямая функция службы; вклад Роспотребнадзора даёт измеримый международный результат к 2030 г. (решение о подаче заявки — государственное).</w:t>
      </w:r>
    </w:p>
    <w:p>
      <w:pPr>
        <w:spacing w:before="0" w:after="100"/>
        <w:jc w:val="both"/>
      </w:pPr>
      <w:r>
        <w:rPr>
          <w:rFonts w:ascii="Times New Roman" w:hAnsi="Times New Roman" w:eastAsia="Times New Roman"/>
          <w:b/>
          <w:i w:val="0"/>
          <w:sz w:val="25"/>
        </w:rPr>
        <w:t>П-27 [С]. Геоинформационный (пространственно-временной) анализ эпидемии.</w:t>
      </w:r>
    </w:p>
    <w:p>
      <w:pPr>
        <w:spacing w:before="0" w:after="100"/>
        <w:jc w:val="both"/>
      </w:pPr>
      <w:r>
        <w:rPr>
          <w:rFonts w:ascii="Times New Roman" w:hAnsi="Times New Roman" w:eastAsia="Times New Roman"/>
          <w:b w:val="0"/>
          <w:i w:val="0"/>
          <w:sz w:val="25"/>
        </w:rPr>
        <w:t>Куда: перспектива к R2/R21 (в увязке с П-06).</w:t>
      </w:r>
    </w:p>
    <w:p>
      <w:pPr>
        <w:spacing w:before="0" w:after="100"/>
        <w:jc w:val="both"/>
      </w:pPr>
      <w:r>
        <w:rPr>
          <w:rFonts w:ascii="Times New Roman" w:hAnsi="Times New Roman" w:eastAsia="Times New Roman"/>
          <w:b w:val="0"/>
          <w:i w:val="0"/>
          <w:sz w:val="25"/>
        </w:rPr>
        <w:t>Формулировка: «Развитие геоинформационных методов надзора: картографирование очагов активной передачи (hotspots), пространственно-временной анализ заболеваемости в увязке с молекулярно-сетевым анализом, поддержка адресного планирования мероприятий».</w:t>
      </w:r>
    </w:p>
    <w:p>
      <w:pPr>
        <w:spacing w:before="0" w:after="100"/>
        <w:jc w:val="both"/>
      </w:pPr>
      <w:r>
        <w:rPr>
          <w:rFonts w:ascii="Times New Roman" w:hAnsi="Times New Roman" w:eastAsia="Times New Roman"/>
          <w:b w:val="0"/>
          <w:i w:val="0"/>
          <w:sz w:val="25"/>
        </w:rPr>
        <w:t>Обоснование: методологически опирается на руководства ВОЗ по стратегической информации [13] и на международный опыт молекулярного надзора с адресным реагированием [16, 17]; инфраструктурная база (АСОДОС, СГМ) у службы есть. Организационно-методическое предложение.</w:t>
      </w:r>
    </w:p>
    <w:p>
      <w:pPr>
        <w:spacing w:before="0" w:after="100"/>
        <w:jc w:val="both"/>
      </w:pPr>
      <w:r>
        <w:rPr>
          <w:rFonts w:ascii="Times New Roman" w:hAnsi="Times New Roman" w:eastAsia="Times New Roman"/>
          <w:b/>
          <w:i w:val="0"/>
          <w:sz w:val="25"/>
        </w:rPr>
        <w:t>П-28 [В]. Риск-ориентированный надзор за ИСМП с ВИЧ-компонентом.</w:t>
      </w:r>
    </w:p>
    <w:p>
      <w:pPr>
        <w:spacing w:before="0" w:after="100"/>
        <w:jc w:val="both"/>
      </w:pPr>
      <w:r>
        <w:rPr>
          <w:rFonts w:ascii="Times New Roman" w:hAnsi="Times New Roman" w:eastAsia="Times New Roman"/>
          <w:b w:val="0"/>
          <w:i w:val="0"/>
          <w:sz w:val="25"/>
        </w:rPr>
        <w:t>Куда: перспектива к R15.</w:t>
      </w:r>
    </w:p>
    <w:p>
      <w:pPr>
        <w:spacing w:before="0" w:after="100"/>
        <w:jc w:val="both"/>
      </w:pPr>
      <w:r>
        <w:rPr>
          <w:rFonts w:ascii="Times New Roman" w:hAnsi="Times New Roman" w:eastAsia="Times New Roman"/>
          <w:b w:val="0"/>
          <w:i w:val="0"/>
          <w:sz w:val="25"/>
        </w:rPr>
        <w:t>Формулировка: «Актуализация методической базы контрольных (надзорных) мероприятий в медицинских организациях по профилактике гемоконтактных инфекций, включая ВИЧ-инфекцию: риск-ориентированные перечни проверочных листов, типовые сценарии эпидемиологических расследований, методическое сопровождение регионов».</w:t>
      </w:r>
    </w:p>
    <w:p>
      <w:pPr>
        <w:spacing w:before="0" w:after="100"/>
        <w:jc w:val="both"/>
      </w:pPr>
      <w:r>
        <w:rPr>
          <w:rFonts w:ascii="Times New Roman" w:hAnsi="Times New Roman" w:eastAsia="Times New Roman"/>
          <w:b w:val="0"/>
          <w:i w:val="0"/>
          <w:sz w:val="25"/>
        </w:rPr>
        <w:t>Обоснование: преамбула проекта фиксирует ежегодные расследования очагов подозрения на инфицирование при оказании медпомощи (16 очагов за I полугодие 2026 г.); полномочия и порядок закреплены СанПиН 3.3686-21 и МУ 3.1.3342-16 [19, 20]. Методическая база расследований не обновлялась со времён МУ 3.1.3342-16 (2016) — см. П-18.</w:t>
      </w:r>
    </w:p>
    <w:p>
      <w:pPr>
        <w:spacing w:before="0" w:after="100"/>
        <w:jc w:val="both"/>
      </w:pPr>
      <w:r>
        <w:rPr>
          <w:rFonts w:ascii="Times New Roman" w:hAnsi="Times New Roman" w:eastAsia="Times New Roman"/>
          <w:b/>
          <w:i w:val="0"/>
          <w:sz w:val="25"/>
        </w:rPr>
        <w:t>П-29 [С]. Целевое расширение секвенирования резистентных штаммов.</w:t>
      </w:r>
    </w:p>
    <w:p>
      <w:pPr>
        <w:spacing w:before="0" w:after="100"/>
        <w:jc w:val="both"/>
      </w:pPr>
      <w:r>
        <w:rPr>
          <w:rFonts w:ascii="Times New Roman" w:hAnsi="Times New Roman" w:eastAsia="Times New Roman"/>
          <w:b w:val="0"/>
          <w:i w:val="0"/>
          <w:sz w:val="25"/>
        </w:rPr>
        <w:t>Куда: перспектива к R22/R50.</w:t>
      </w:r>
    </w:p>
    <w:p>
      <w:pPr>
        <w:spacing w:before="0" w:after="100"/>
        <w:jc w:val="both"/>
      </w:pPr>
      <w:r>
        <w:rPr>
          <w:rFonts w:ascii="Times New Roman" w:hAnsi="Times New Roman" w:eastAsia="Times New Roman"/>
          <w:b w:val="0"/>
          <w:i w:val="0"/>
          <w:sz w:val="25"/>
        </w:rPr>
        <w:t>Формулировка: «Организационно-методическая модель целевого направления на секвенирование образцов от всех больных с неоподавленной вирусной нагрузкой (в 2025 г. охват — 5,8 % при целевом 100 %) с питанием Российской базы данных устойчивости ВИЧ (RuHIV) и платформы VGARus».</w:t>
      </w:r>
    </w:p>
    <w:p>
      <w:pPr>
        <w:spacing w:before="0" w:after="100"/>
        <w:jc w:val="both"/>
      </w:pPr>
      <w:r>
        <w:rPr>
          <w:rFonts w:ascii="Times New Roman" w:hAnsi="Times New Roman" w:eastAsia="Times New Roman"/>
          <w:b w:val="0"/>
          <w:i w:val="0"/>
          <w:sz w:val="25"/>
        </w:rPr>
        <w:t>Обоснование: разрыв между целевым и фактическим охватом констатирован в преамбуле проекта (1,2 % и 5,8 % при целевых 10 % и 100 % — данные преамбулы); независимый мониторинг резистентности вне клинической системы — функция Референс-центров и НИО [22]. Организационное предложение.</w:t>
      </w:r>
    </w:p>
    <w:p>
      <w:pPr>
        <w:spacing w:before="0" w:after="100"/>
        <w:jc w:val="both"/>
      </w:pPr>
      <w:r>
        <w:rPr>
          <w:rFonts w:ascii="Times New Roman" w:hAnsi="Times New Roman" w:eastAsia="Times New Roman"/>
          <w:b/>
          <w:i w:val="0"/>
          <w:sz w:val="25"/>
        </w:rPr>
        <w:t>П-30 [С]. Поведенческий (социологический) надзор как подсистема СГМ.</w:t>
      </w:r>
    </w:p>
    <w:p>
      <w:pPr>
        <w:spacing w:before="0" w:after="100"/>
        <w:jc w:val="both"/>
      </w:pPr>
      <w:r>
        <w:rPr>
          <w:rFonts w:ascii="Times New Roman" w:hAnsi="Times New Roman" w:eastAsia="Times New Roman"/>
          <w:b w:val="0"/>
          <w:i w:val="0"/>
          <w:sz w:val="25"/>
        </w:rPr>
        <w:t>Куда: новая строка раздела I или перспектива к R55.</w:t>
      </w:r>
    </w:p>
    <w:p>
      <w:pPr>
        <w:spacing w:before="0" w:after="100"/>
        <w:jc w:val="both"/>
      </w:pPr>
      <w:r>
        <w:rPr>
          <w:rFonts w:ascii="Times New Roman" w:hAnsi="Times New Roman" w:eastAsia="Times New Roman"/>
          <w:b w:val="0"/>
          <w:i w:val="0"/>
          <w:sz w:val="25"/>
        </w:rPr>
        <w:t xml:space="preserve">Формулировка: «Регулярные измерения информированности и поведенческих практик населения по вопросам ВИЧ-инфекции (включая оценку эффективности информационных кампаний) как подсистема социально-гигиенического мониторинга». </w:t>
      </w:r>
      <w:r>
        <w:rPr>
          <w:rFonts w:ascii="Times New Roman" w:hAnsi="Times New Roman" w:eastAsia="Times New Roman"/>
          <w:b w:val="0"/>
          <w:i/>
          <w:sz w:val="25"/>
        </w:rPr>
        <w:t>Примечание: при внесении в таблицу объединить с П-02/П-05 в одну строку «поведенческий надзор».</w:t>
      </w:r>
    </w:p>
    <w:p>
      <w:pPr>
        <w:spacing w:before="0" w:after="100"/>
        <w:jc w:val="both"/>
      </w:pPr>
      <w:r>
        <w:rPr>
          <w:rFonts w:ascii="Times New Roman" w:hAnsi="Times New Roman" w:eastAsia="Times New Roman"/>
          <w:b w:val="0"/>
          <w:i w:val="0"/>
          <w:sz w:val="25"/>
        </w:rPr>
        <w:t>Обоснование: преамбула проекта опирается на опросы ВЦИОМ как аргумент снижения информированности; систематизация таких измерений в контуре СГМ превращает разовые опросы в надзорный индикатор (принцип персонифицированных данных и индикаторов ВОЗ [13]). Организационное предложение.</w:t>
      </w:r>
    </w:p>
    <w:p>
      <w:pPr>
        <w:spacing w:before="0" w:after="100"/>
        <w:jc w:val="both"/>
      </w:pPr>
      <w:r>
        <w:rPr>
          <w:rFonts w:ascii="Times New Roman" w:hAnsi="Times New Roman" w:eastAsia="Times New Roman"/>
          <w:b/>
          <w:i w:val="0"/>
          <w:sz w:val="25"/>
        </w:rPr>
        <w:t>П-31 [В]. Постконтактная профилактика: расширение доступа (дополнение к R53).</w:t>
      </w:r>
    </w:p>
    <w:p>
      <w:pPr>
        <w:spacing w:before="0" w:after="100"/>
        <w:jc w:val="both"/>
      </w:pPr>
      <w:r>
        <w:rPr>
          <w:rFonts w:ascii="Times New Roman" w:hAnsi="Times New Roman" w:eastAsia="Times New Roman"/>
          <w:b w:val="0"/>
          <w:i w:val="0"/>
          <w:sz w:val="25"/>
        </w:rPr>
        <w:t>Куда: перспектива к R53 (обучение/ПКП) или новая строка раздела VI.</w:t>
      </w:r>
    </w:p>
    <w:p>
      <w:pPr>
        <w:spacing w:before="0" w:after="100"/>
        <w:jc w:val="both"/>
      </w:pPr>
      <w:r>
        <w:rPr>
          <w:rFonts w:ascii="Times New Roman" w:hAnsi="Times New Roman" w:eastAsia="Times New Roman"/>
          <w:b w:val="0"/>
          <w:i w:val="0"/>
          <w:sz w:val="25"/>
        </w:rPr>
        <w:t>Формулировка: «Научно-методическая оценка и подготовка предложений по расширению доступа к постконтактной профилактике ВИЧ в соответствии с обновлёнными рекомендациями ВОЗ (22.07.2024): модели организации доступа вне медицинских организаций (аптеки и иные доступные точки), распределение функций (task sharing) между специалистами, сокращение времени от контакта до начала химиопрофилактики (в идеале — до 24 часов, не позднее 72 часов)».</w:t>
      </w:r>
    </w:p>
    <w:p>
      <w:pPr>
        <w:spacing w:before="0" w:after="100"/>
        <w:jc w:val="both"/>
      </w:pPr>
      <w:r>
        <w:rPr>
          <w:rFonts w:ascii="Times New Roman" w:hAnsi="Times New Roman" w:eastAsia="Times New Roman"/>
          <w:b w:val="0"/>
          <w:i w:val="0"/>
          <w:sz w:val="25"/>
        </w:rPr>
        <w:t>Обоснование: ВОЗ (22.07.2024) дала сильные рекомендации по доставке ПКП в сообществе и распределению функций с участием нефармацевтических специалистов [33]; вопросы клинических регламентов ПКП уже включены в проект (R53 — обучение и доступ к химиопрофилактике профессионального заражения); расширение доступа вне профессиональных контактов в таблице проекта не рассмотрено. Клиническое регулирование — компетенция Минздрава России; вклад службы — эпидемиологическое обоснование, оценка готовности и методическое сопровождение.</w:t>
      </w:r>
    </w:p>
    <w:p>
      <w:pPr>
        <w:keepNext/>
        <w:spacing w:before="280" w:after="120"/>
      </w:pPr>
      <w:r>
        <w:rPr>
          <w:rFonts w:ascii="Times New Roman" w:hAnsi="Times New Roman" w:eastAsia="Times New Roman"/>
          <w:b/>
          <w:i w:val="0"/>
          <w:sz w:val="26"/>
        </w:rPr>
        <w:t>5. АКТУАЛЬНОСТЬ ДЕЯТЕЛЬНОСТИ РОСПОТРЕБНАДЗОРА В ПРОТИВОДЕЙСТВИИ ЭПИДЕМИИ ВИЧ (аргументационный блок)</w:t>
      </w:r>
    </w:p>
    <w:p>
      <w:pPr>
        <w:spacing w:before="0" w:after="80"/>
        <w:ind w:left="454"/>
        <w:jc w:val="both"/>
      </w:pPr>
      <w:r>
        <w:rPr>
          <w:rFonts w:ascii="Times New Roman" w:hAnsi="Times New Roman" w:eastAsia="Times New Roman"/>
          <w:b w:val="0"/>
          <w:i/>
          <w:sz w:val="25"/>
        </w:rPr>
        <w:t>Назначение: показать центральному аппарату, почему предлагаемые надзорные и исследовательские работы — именно службская зона ответственности. Может быть использован как вводная часть сопроводительного письма или преамбула ответа.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rPr>
          <w:tblHeader w:val="true"/>
        </w:trPr>
        <w:tc>
          <w:tcPr>
            <w:tcW w:type="dxa" w:w="3118"/>
            <w:shd w:val="clear" w:fill="D9D9D9"/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19"/>
              </w:rPr>
              <w:t>Тренд / угроза (факт)</w:t>
            </w:r>
          </w:p>
        </w:tc>
        <w:tc>
          <w:tcPr>
            <w:tcW w:type="dxa" w:w="3118"/>
            <w:shd w:val="clear" w:fill="D9D9D9"/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19"/>
              </w:rPr>
              <w:t>Незаменимая функция службы</w:t>
            </w:r>
          </w:p>
        </w:tc>
        <w:tc>
          <w:tcPr>
            <w:tcW w:type="dxa" w:w="3118"/>
            <w:shd w:val="clear" w:fill="D9D9D9"/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19"/>
              </w:rPr>
              <w:t>Где в таблице / предложения</w:t>
            </w:r>
          </w:p>
        </w:tc>
      </w:tr>
      <w:tr>
        <w:tc>
          <w:tcPr>
            <w:tcW w:type="dxa" w:w="3118"/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40–60 тыс. новых случаев ежегодно; за I полугодие 2026 г. кумулятивное число умерших выросло на 23 673 при 12 553 официально сообщённых (расхождение 11 120)¹</w:t>
            </w:r>
          </w:p>
        </w:tc>
        <w:tc>
          <w:tcPr>
            <w:tcW w:type="dxa" w:w="3118"/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Независимый государственный учёт и верификация полноты регистрации (форма № 4, АСОДОС, ежеквартальная сверка с Минздравом России) — основной механизм перекрёстной проверки данных</w:t>
            </w:r>
          </w:p>
        </w:tc>
        <w:tc>
          <w:tcPr>
            <w:tcW w:type="dxa" w:w="3118"/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R3, R4, R10, R63; П-25</w:t>
            </w:r>
          </w:p>
        </w:tc>
      </w:tr>
      <w:tr>
        <w:tc>
          <w:tcPr>
            <w:tcW w:type="dxa" w:w="3118"/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Ежегодные очаги подозрения на инфицирование при оказании медпомощи (16 за I полугодие 2026 г.)</w:t>
            </w:r>
          </w:p>
        </w:tc>
        <w:tc>
          <w:tcPr>
            <w:tcW w:type="dxa" w:w="3118"/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Только служба проводит эпидрасследования с генотипированием и филогенетическим анализом и контроль противоэпидемического режима в медицинских организациях</w:t>
            </w:r>
          </w:p>
        </w:tc>
        <w:tc>
          <w:tcPr>
            <w:tcW w:type="dxa" w:w="3118"/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R15, R48; П-18, П-28</w:t>
            </w:r>
          </w:p>
        </w:tc>
      </w:tr>
      <w:tr>
        <w:tc>
          <w:tcPr>
            <w:tcW w:type="dxa" w:w="3118"/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Резистентность ВИЧ: 19,0 % у пациентов без опыта АРТ; охват обследованием на резистентность 1,2 % и 5,8 % при целевых 10 % и 100 %</w:t>
            </w:r>
          </w:p>
        </w:tc>
        <w:tc>
          <w:tcPr>
            <w:tcW w:type="dxa" w:w="3118"/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Независимый мониторинг резистентности вне клинической системы: RuHIV/VGARus, Референс-центры, арбитражные исследования</w:t>
            </w:r>
          </w:p>
        </w:tc>
        <w:tc>
          <w:tcPr>
            <w:tcW w:type="dxa" w:w="3118"/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R12, R22, R50; П-29</w:t>
            </w:r>
          </w:p>
        </w:tc>
      </w:tr>
      <w:tr>
        <w:tc>
          <w:tcPr>
            <w:tcW w:type="dxa" w:w="3118"/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Смещение эпидемии в основное население, недообследованность уязвимых групп (2,1–2,2 % структуры обследованных)</w:t>
            </w:r>
          </w:p>
        </w:tc>
        <w:tc>
          <w:tcPr>
            <w:tcW w:type="dxa" w:w="3118"/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Выборочные сероэпидемиологические исследования в группах, недоступных клинической системе, с поведенческим компонентом</w:t>
            </w:r>
          </w:p>
        </w:tc>
        <w:tc>
          <w:tcPr>
            <w:tcW w:type="dxa" w:w="3118"/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R27; П-05, П-23, П-30</w:t>
            </w:r>
          </w:p>
        </w:tc>
      </w:tr>
      <w:tr>
        <w:tc>
          <w:tcPr>
            <w:tcW w:type="dxa" w:w="3118"/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Мировой тренд: появление высоковирулентных вариантов (описание VB-варианта, Нидерланды, Science 2022) и профилактики длительного действия (ленакапавир — ВОЗ 14.07.2025, FDA 18.06.2025)</w:t>
            </w:r>
          </w:p>
        </w:tc>
        <w:tc>
          <w:tcPr>
            <w:tcW w:type="dxa" w:w="3118"/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Геномный эпиднадзор и научно-методическая готовность диагностического звена к новым технологиям</w:t>
            </w:r>
          </w:p>
        </w:tc>
        <w:tc>
          <w:tcPr>
            <w:tcW w:type="dxa" w:w="3118"/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R21, R23, R33; П-03, П-06, П-15</w:t>
            </w:r>
          </w:p>
        </w:tc>
      </w:tr>
      <w:tr>
        <w:tc>
          <w:tcPr>
            <w:tcW w:type="dxa" w:w="3118"/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Международный прецедент элиминации вертикальной передачи: Дания — первая страна ЕС (валидация ВОЗ 27.02.2026), Беларусь — с 2016 г., всего 25 стран и территорий (на 10.09.2026); РФ в перечне отсутствует</w:t>
            </w:r>
          </w:p>
        </w:tc>
        <w:tc>
          <w:tcPr>
            <w:tcW w:type="dxa" w:w="3118"/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Информационное ядро валидационного досье — данные эпидемиологического надзора; служба способна подготовить аналитическую основу заявки (решение о подаче — государственное)</w:t>
            </w:r>
          </w:p>
        </w:tc>
        <w:tc>
          <w:tcPr>
            <w:tcW w:type="dxa" w:w="3118"/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П-26</w:t>
            </w:r>
          </w:p>
        </w:tc>
      </w:tr>
      <w:tr>
        <w:tc>
          <w:tcPr>
            <w:tcW w:type="dxa" w:w="3118"/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Нормативная база устаревает быстрее эпидемии (МУ 2016 г.; контингенты освидетельствования — редакция СанПиН 2021 г. с содержанием 2010-х)</w:t>
            </w:r>
          </w:p>
        </w:tc>
        <w:tc>
          <w:tcPr>
            <w:tcW w:type="dxa" w:w="3118"/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Государственное санитарно-эпидемиологическое нормирование и научно-методическое сопровождение — прямая функция службы</w:t>
            </w:r>
          </w:p>
        </w:tc>
        <w:tc>
          <w:tcPr>
            <w:tcW w:type="dxa" w:w="3118"/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R40–R44; П-18, П-22</w:t>
            </w:r>
          </w:p>
        </w:tc>
      </w:tr>
    </w:tbl>
    <w:p>
      <w:pPr>
        <w:spacing w:after="80"/>
      </w:pPr>
      <w:r>
        <w:rPr>
          <w:rFonts w:ascii="Times New Roman" w:hAnsi="Times New Roman" w:eastAsia="Times New Roman"/>
          <w:b w:val="0"/>
          <w:i w:val="0"/>
          <w:sz w:val="12"/>
        </w:rPr>
      </w:r>
    </w:p>
    <w:p>
      <w:pPr>
        <w:spacing w:before="0" w:after="100"/>
        <w:jc w:val="both"/>
      </w:pPr>
      <w:r>
        <w:rPr>
          <w:rFonts w:ascii="Times New Roman" w:hAnsi="Times New Roman" w:eastAsia="Times New Roman"/>
          <w:b w:val="0"/>
          <w:i w:val="0"/>
          <w:sz w:val="25"/>
        </w:rPr>
        <w:t>¹ Цифры, восходящие к преамбуле проекта (40–60 тыс., 23 673/12 553, 16 очагов, 19,0/1,2/5,8 %, 2,1–2,2 %), — данные ведомственного мониторинга; открытой верификации не подлежат и используются в матрице как справочные.</w:t>
      </w:r>
    </w:p>
    <w:p>
      <w:pPr>
        <w:spacing w:before="0" w:after="100"/>
        <w:jc w:val="both"/>
      </w:pPr>
      <w:r>
        <w:rPr>
          <w:rFonts w:ascii="Times New Roman" w:hAnsi="Times New Roman" w:eastAsia="Times New Roman"/>
          <w:b/>
          <w:i w:val="0"/>
          <w:sz w:val="25"/>
        </w:rPr>
        <w:t>Готовый абзац для сопроводительного письма (черновик):</w:t>
      </w:r>
    </w:p>
    <w:p>
      <w:pPr>
        <w:spacing w:before="0" w:after="100"/>
        <w:jc w:val="both"/>
      </w:pPr>
      <w:r>
        <w:rPr>
          <w:rFonts w:ascii="Times New Roman" w:hAnsi="Times New Roman" w:eastAsia="Times New Roman"/>
          <w:b w:val="0"/>
          <w:i w:val="0"/>
          <w:sz w:val="25"/>
        </w:rPr>
        <w:t>«Организации Роспотребнадзора сохраняют незаменимую роль в противодействии эпидемии ВИЧ-инфекции: только система государственной санитарно-эпидемиологической службы обеспечивает независимый государственный учёт и верификацию полноты регистрации случаев и летальных исходов ВИЧ-инфекции, эпидемиологические расследования случаев инфицирования при оказании медицинской помощи с применением генотипирования, независимый мониторинг лекарственной устойчивости ВИЧ, выборочные исследования в уязвимых группах населения, недоступных для клинической системы, геномный эпидемиологический надзор, санитарно-эпидемиологическое нормирование и научно-методическое сопровождение профилактики. Предлагаемые к включению в табличную часть перспективные надзорные и исследовательские работы (оценка недиагностированной инфекции, интегрированный надзор ВИЧ/туберкулёз/гепатиты/ИППП, аудит вертикальной передачи с подготовкой аналитической основы для возможной валидации ВОЗ, актуализация перечня контингентов освидетельствования, геоинформационный и молекулярно-сетевой анализ) соответствуют направлениям, установленным Государственной стратегией противодействия распространению ВИЧ-инфекции в Российской Федерации на период до 2030 года (перечень поручений Роспотребнадзору — приложение 2 проекта), и задачам по ВИЧ-инфекции в рамках национального проекта «Продолжительная и активная жизнь» [24]».</w:t>
      </w:r>
    </w:p>
    <w:p>
      <w:pPr>
        <w:keepNext/>
        <w:spacing w:before="280" w:after="120"/>
      </w:pPr>
      <w:r>
        <w:rPr>
          <w:rFonts w:ascii="Times New Roman" w:hAnsi="Times New Roman" w:eastAsia="Times New Roman"/>
          <w:b/>
          <w:i w:val="0"/>
          <w:sz w:val="26"/>
        </w:rPr>
        <w:t>6. ЗАМЕЧАНИЯ К ПРЕАМБУЛЕ И ПРИЛОЖЕНИЯМ (вне табличной части — кратко, для сведения)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rPr>
          <w:tblHeader w:val="true"/>
        </w:trPr>
        <w:tc>
          <w:tcPr>
            <w:tcW w:type="dxa" w:w="2339"/>
            <w:shd w:val="clear" w:fill="D9D9D9"/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19"/>
              </w:rPr>
              <w:t>№</w:t>
            </w:r>
          </w:p>
        </w:tc>
        <w:tc>
          <w:tcPr>
            <w:tcW w:type="dxa" w:w="2339"/>
            <w:shd w:val="clear" w:fill="D9D9D9"/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19"/>
              </w:rPr>
              <w:t>Где</w:t>
            </w:r>
          </w:p>
        </w:tc>
        <w:tc>
          <w:tcPr>
            <w:tcW w:type="dxa" w:w="2339"/>
            <w:shd w:val="clear" w:fill="D9D9D9"/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19"/>
              </w:rPr>
              <w:t>Суть</w:t>
            </w:r>
          </w:p>
        </w:tc>
        <w:tc>
          <w:tcPr>
            <w:tcW w:type="dxa" w:w="2339"/>
            <w:shd w:val="clear" w:fill="D9D9D9"/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19"/>
              </w:rPr>
              <w:t>Комментарий</w:t>
            </w:r>
          </w:p>
        </w:tc>
      </w:tr>
      <w:tr>
        <w:tc>
          <w:tcPr>
            <w:tcW w:type="dxa" w:w="2339"/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Б-01</w:t>
            </w:r>
          </w:p>
        </w:tc>
        <w:tc>
          <w:tcPr>
            <w:tcW w:type="dxa" w:w="2339"/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Абзац 2 преамбулы</w:t>
            </w:r>
          </w:p>
        </w:tc>
        <w:tc>
          <w:tcPr>
            <w:tcW w:type="dxa" w:w="2339"/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 xml:space="preserve">«…регистрируется значительное </w:t>
            </w:r>
            <w:r>
              <w:rPr>
                <w:rFonts w:ascii="Times New Roman" w:hAnsi="Times New Roman" w:eastAsia="Times New Roman"/>
                <w:b/>
                <w:i w:val="0"/>
                <w:sz w:val="19"/>
              </w:rPr>
              <w:t>новых случаев</w:t>
            </w:r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…»</w:t>
            </w:r>
          </w:p>
        </w:tc>
        <w:tc>
          <w:tcPr>
            <w:tcW w:type="dxa" w:w="2339"/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 xml:space="preserve">Пропущено слово: «значительное </w:t>
            </w:r>
            <w:r>
              <w:rPr>
                <w:rFonts w:ascii="Times New Roman" w:hAnsi="Times New Roman" w:eastAsia="Times New Roman"/>
                <w:b/>
                <w:i w:val="0"/>
                <w:sz w:val="19"/>
              </w:rPr>
              <w:t>число</w:t>
            </w:r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 xml:space="preserve"> новых случаев» ⚠️</w:t>
            </w:r>
          </w:p>
        </w:tc>
      </w:tr>
      <w:tr>
        <w:tc>
          <w:tcPr>
            <w:tcW w:type="dxa" w:w="2339"/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Б-02</w:t>
            </w:r>
          </w:p>
        </w:tc>
        <w:tc>
          <w:tcPr>
            <w:tcW w:type="dxa" w:w="2339"/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Абзац о проблемной комиссии</w:t>
            </w:r>
          </w:p>
        </w:tc>
        <w:tc>
          <w:tcPr>
            <w:tcW w:type="dxa" w:w="2339"/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 xml:space="preserve">«…в рамках деятельности которой </w:t>
            </w:r>
            <w:r>
              <w:rPr>
                <w:rFonts w:ascii="Times New Roman" w:hAnsi="Times New Roman" w:eastAsia="Times New Roman"/>
                <w:b/>
                <w:i w:val="0"/>
                <w:sz w:val="19"/>
              </w:rPr>
              <w:t>осуществляться</w:t>
            </w:r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 xml:space="preserve"> взаимодействие…»</w:t>
            </w:r>
          </w:p>
        </w:tc>
        <w:tc>
          <w:tcPr>
            <w:tcW w:type="dxa" w:w="2339"/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«осуществляется» ⚠️</w:t>
            </w:r>
          </w:p>
        </w:tc>
      </w:tr>
      <w:tr>
        <w:tc>
          <w:tcPr>
            <w:tcW w:type="dxa" w:w="2339"/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Б-03</w:t>
            </w:r>
          </w:p>
        </w:tc>
        <w:tc>
          <w:tcPr>
            <w:tcW w:type="dxa" w:w="2339"/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Абзац о Референс-центре ЦНИИЭ</w:t>
            </w:r>
          </w:p>
        </w:tc>
        <w:tc>
          <w:tcPr>
            <w:tcW w:type="dxa" w:w="2339"/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«…при проведении эпидемиологических    расследованиях»</w:t>
            </w:r>
          </w:p>
        </w:tc>
        <w:tc>
          <w:tcPr>
            <w:tcW w:type="dxa" w:w="2339"/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«при проведении эпидемиологических расследований» (падеж + разрыв строки) ⚠️</w:t>
            </w:r>
          </w:p>
        </w:tc>
      </w:tr>
      <w:tr>
        <w:tc>
          <w:tcPr>
            <w:tcW w:type="dxa" w:w="2339"/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Б-04</w:t>
            </w:r>
          </w:p>
        </w:tc>
        <w:tc>
          <w:tcPr>
            <w:tcW w:type="dxa" w:w="2339"/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Абзац о когорте ЛЖВ</w:t>
            </w:r>
          </w:p>
        </w:tc>
        <w:tc>
          <w:tcPr>
            <w:tcW w:type="dxa" w:w="2339"/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 xml:space="preserve">«Треть больных (591 991 – 32,5% </w:t>
            </w:r>
            <w:r>
              <w:rPr>
                <w:rFonts w:ascii="Times New Roman" w:hAnsi="Times New Roman" w:eastAsia="Times New Roman"/>
                <w:b/>
                <w:i w:val="0"/>
                <w:sz w:val="19"/>
              </w:rPr>
              <w:t>от числа диагностированных</w:t>
            </w:r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) умерли…» при 1 230 100 живущих</w:t>
            </w:r>
          </w:p>
        </w:tc>
        <w:tc>
          <w:tcPr>
            <w:tcW w:type="dxa" w:w="2339"/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 xml:space="preserve">Арифметически согласуется только если знаменатель — </w:t>
            </w:r>
            <w:r>
              <w:rPr>
                <w:rFonts w:ascii="Times New Roman" w:hAnsi="Times New Roman" w:eastAsia="Times New Roman"/>
                <w:b/>
                <w:i w:val="0"/>
                <w:sz w:val="19"/>
              </w:rPr>
              <w:t>кумулятивное</w:t>
            </w:r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 xml:space="preserve"> число диагностированных (1 230 100 живущих + 591 991 умерших = 1 822 091; 591 991/1 822 091 = 32,5 % ✅). Рекомендуем в тексте прямо указать: «32,5 % от кумулятивного числа диагностированных (включая умерших)», иначе читатель делит 591 991 на 1 230 100 и получает 48,1 % △</w:t>
            </w:r>
          </w:p>
        </w:tc>
      </w:tr>
      <w:tr>
        <w:tc>
          <w:tcPr>
            <w:tcW w:type="dxa" w:w="2339"/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Б-05</w:t>
            </w:r>
          </w:p>
        </w:tc>
        <w:tc>
          <w:tcPr>
            <w:tcW w:type="dxa" w:w="2339"/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Абзац о тестировании</w:t>
            </w:r>
          </w:p>
        </w:tc>
        <w:tc>
          <w:tcPr>
            <w:tcW w:type="dxa" w:w="2339"/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«…до 25% не состоит на медицинском наблюдении»</w:t>
            </w:r>
          </w:p>
        </w:tc>
        <w:tc>
          <w:tcPr>
            <w:tcW w:type="dxa" w:w="2339"/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Просим у авторов источник/методику оценки (внутренние данные, публично не проверяются) △</w:t>
            </w:r>
          </w:p>
        </w:tc>
      </w:tr>
      <w:tr>
        <w:tc>
          <w:tcPr>
            <w:tcW w:type="dxa" w:w="2339"/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Б-06</w:t>
            </w:r>
          </w:p>
        </w:tc>
        <w:tc>
          <w:tcPr>
            <w:tcW w:type="dxa" w:w="2339"/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Абзац о резистентности</w:t>
            </w:r>
          </w:p>
        </w:tc>
        <w:tc>
          <w:tcPr>
            <w:tcW w:type="dxa" w:w="2339"/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«…19,0% у пациентов без опыта АРТ»</w:t>
            </w:r>
          </w:p>
        </w:tc>
        <w:tc>
          <w:tcPr>
            <w:tcW w:type="dxa" w:w="2339"/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Просим указать методику (алгоритм интерпретации, объём выборки, регионы). Для контекста: в национальном исследовании Китая распространённость предтерапевтической резистентности к ингибиторам интегразы составила 0,95 % [26], во французской когорте доля линий, резистентных к ингибиторам интегразы, за 2008–2024 гг. не растёт [26] — цифра 19,0 % требует пояснения сопоставимости (класс, критерии) △</w:t>
            </w:r>
          </w:p>
        </w:tc>
      </w:tr>
      <w:tr>
        <w:tc>
          <w:tcPr>
            <w:tcW w:type="dxa" w:w="2339"/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Б-07</w:t>
            </w:r>
          </w:p>
        </w:tc>
        <w:tc>
          <w:tcPr>
            <w:tcW w:type="dxa" w:w="2339"/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Абзац о заболеваемости в регионе ВОЗ</w:t>
            </w:r>
          </w:p>
        </w:tc>
        <w:tc>
          <w:tcPr>
            <w:tcW w:type="dxa" w:w="2339"/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«…заболеваемость остается самой высокой среди стран европейского региона ВОЗ»</w:t>
            </w:r>
          </w:p>
        </w:tc>
        <w:tc>
          <w:tcPr>
            <w:tcW w:type="dxa" w:w="2339"/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Формулировка верна исторически, но для письма в центральный аппарат рекомендуем указать источник и год сравнения: в совместном отчёте ECDC/ВОЗ-Европа (данные 2024 г., опубликован 27.11.2025) данные РФ представлены без разбивки по путям передачи и по ряду индикаторов отсутствуют, прямые международные сопоставления ограничены [23] △</w:t>
            </w:r>
          </w:p>
        </w:tc>
      </w:tr>
    </w:tbl>
    <w:p>
      <w:pPr>
        <w:spacing w:after="80"/>
      </w:pPr>
      <w:r>
        <w:rPr>
          <w:rFonts w:ascii="Times New Roman" w:hAnsi="Times New Roman" w:eastAsia="Times New Roman"/>
          <w:b w:val="0"/>
          <w:i w:val="0"/>
          <w:sz w:val="12"/>
        </w:rPr>
      </w:r>
    </w:p>
    <w:p>
      <w:pPr>
        <w:keepNext/>
        <w:spacing w:before="280" w:after="120"/>
      </w:pPr>
      <w:r>
        <w:rPr>
          <w:rFonts w:ascii="Times New Roman" w:hAnsi="Times New Roman" w:eastAsia="Times New Roman"/>
          <w:b/>
          <w:i w:val="0"/>
          <w:sz w:val="26"/>
        </w:rPr>
        <w:t>7. ЧТО СОЗНАТЕЛЬНО НЕ ПРЕДЛАГАЕМ (и почему)</w:t>
      </w:r>
    </w:p>
    <w:p>
      <w:pPr>
        <w:spacing w:before="0" w:after="60"/>
        <w:ind w:left="397" w:hanging="397"/>
        <w:jc w:val="both"/>
      </w:pPr>
      <w:r>
        <w:rPr>
          <w:rFonts w:ascii="Times New Roman" w:hAnsi="Times New Roman" w:eastAsia="Times New Roman"/>
          <w:b w:val="0"/>
          <w:i w:val="0"/>
          <w:sz w:val="25"/>
        </w:rPr>
        <w:t xml:space="preserve">1. </w:t>
      </w:r>
      <w:r>
        <w:rPr>
          <w:rFonts w:ascii="Times New Roman" w:hAnsi="Times New Roman" w:eastAsia="Times New Roman"/>
          <w:b/>
          <w:i w:val="0"/>
          <w:sz w:val="25"/>
        </w:rPr>
        <w:t>Мероприятия по организации лечения и закупок АРВП</w:t>
      </w:r>
      <w:r>
        <w:rPr>
          <w:rFonts w:ascii="Times New Roman" w:hAnsi="Times New Roman" w:eastAsia="Times New Roman"/>
          <w:b w:val="0"/>
          <w:i w:val="0"/>
          <w:sz w:val="25"/>
        </w:rPr>
        <w:t xml:space="preserve"> — компетенция Минздрава России; участие НИО Роспотребнадзора ограничиваем научным сопровождением (см. С-07).</w:t>
      </w:r>
    </w:p>
    <w:p>
      <w:pPr>
        <w:spacing w:before="0" w:after="60"/>
        <w:ind w:left="397" w:hanging="397"/>
        <w:jc w:val="both"/>
      </w:pPr>
      <w:r>
        <w:rPr>
          <w:rFonts w:ascii="Times New Roman" w:hAnsi="Times New Roman" w:eastAsia="Times New Roman"/>
          <w:b w:val="0"/>
          <w:i w:val="0"/>
          <w:sz w:val="25"/>
        </w:rPr>
        <w:t xml:space="preserve">2. </w:t>
      </w:r>
      <w:r>
        <w:rPr>
          <w:rFonts w:ascii="Times New Roman" w:hAnsi="Times New Roman" w:eastAsia="Times New Roman"/>
          <w:b/>
          <w:i w:val="0"/>
          <w:sz w:val="25"/>
        </w:rPr>
        <w:t>Программы заместительной терапии опиоидами</w:t>
      </w:r>
      <w:r>
        <w:rPr>
          <w:rFonts w:ascii="Times New Roman" w:hAnsi="Times New Roman" w:eastAsia="Times New Roman"/>
          <w:b w:val="0"/>
          <w:i w:val="0"/>
          <w:sz w:val="25"/>
        </w:rPr>
        <w:t xml:space="preserve"> — не применяются в РФ законодательно; предложение о них в документ федерального уровня не вносим.</w:t>
      </w:r>
    </w:p>
    <w:p>
      <w:pPr>
        <w:spacing w:before="0" w:after="60"/>
        <w:ind w:left="397" w:hanging="397"/>
        <w:jc w:val="both"/>
      </w:pPr>
      <w:r>
        <w:rPr>
          <w:rFonts w:ascii="Times New Roman" w:hAnsi="Times New Roman" w:eastAsia="Times New Roman"/>
          <w:b w:val="0"/>
          <w:i w:val="0"/>
          <w:sz w:val="25"/>
        </w:rPr>
        <w:t xml:space="preserve">3. </w:t>
      </w:r>
      <w:r>
        <w:rPr>
          <w:rFonts w:ascii="Times New Roman" w:hAnsi="Times New Roman" w:eastAsia="Times New Roman"/>
          <w:b/>
          <w:i w:val="0"/>
          <w:sz w:val="25"/>
        </w:rPr>
        <w:t>Обещания создания профилактической вакцины в обозримой перспективе</w:t>
      </w:r>
      <w:r>
        <w:rPr>
          <w:rFonts w:ascii="Times New Roman" w:hAnsi="Times New Roman" w:eastAsia="Times New Roman"/>
          <w:b w:val="0"/>
          <w:i w:val="0"/>
          <w:sz w:val="25"/>
        </w:rPr>
        <w:t xml:space="preserve"> — не подтверждается итогами Imbokodo и Mosaico [11]; формулировки смягчены (С-01, С-02).</w:t>
      </w:r>
    </w:p>
    <w:p>
      <w:pPr>
        <w:spacing w:before="0" w:after="60"/>
        <w:ind w:left="397" w:hanging="397"/>
        <w:jc w:val="both"/>
      </w:pPr>
      <w:r>
        <w:rPr>
          <w:rFonts w:ascii="Times New Roman" w:hAnsi="Times New Roman" w:eastAsia="Times New Roman"/>
          <w:b w:val="0"/>
          <w:i w:val="0"/>
          <w:sz w:val="25"/>
        </w:rPr>
        <w:t xml:space="preserve">4. </w:t>
      </w:r>
      <w:r>
        <w:rPr>
          <w:rFonts w:ascii="Times New Roman" w:hAnsi="Times New Roman" w:eastAsia="Times New Roman"/>
          <w:b/>
          <w:i w:val="0"/>
          <w:sz w:val="25"/>
        </w:rPr>
        <w:t>Прямое тиражирование зарубежных правовых практик и моделей сервисов, несовместимых с законодательством РФ</w:t>
      </w:r>
      <w:r>
        <w:rPr>
          <w:rFonts w:ascii="Times New Roman" w:hAnsi="Times New Roman" w:eastAsia="Times New Roman"/>
          <w:b w:val="0"/>
          <w:i w:val="0"/>
          <w:sz w:val="25"/>
        </w:rPr>
        <w:t xml:space="preserve"> — ограничиваемся научно-обоснованными и юридически совместимыми формулировками.</w:t>
      </w:r>
    </w:p>
    <w:p>
      <w:pPr>
        <w:spacing w:before="0" w:after="60"/>
        <w:ind w:left="397" w:hanging="397"/>
        <w:jc w:val="both"/>
      </w:pPr>
      <w:r>
        <w:rPr>
          <w:rFonts w:ascii="Times New Roman" w:hAnsi="Times New Roman" w:eastAsia="Times New Roman"/>
          <w:b w:val="0"/>
          <w:i w:val="0"/>
          <w:sz w:val="25"/>
        </w:rPr>
        <w:t xml:space="preserve">5. </w:t>
      </w:r>
      <w:r>
        <w:rPr>
          <w:rFonts w:ascii="Times New Roman" w:hAnsi="Times New Roman" w:eastAsia="Times New Roman"/>
          <w:b/>
          <w:i w:val="0"/>
          <w:sz w:val="25"/>
        </w:rPr>
        <w:t>Конкретные объёмы финансирования и штатные решения</w:t>
      </w:r>
      <w:r>
        <w:rPr>
          <w:rFonts w:ascii="Times New Roman" w:hAnsi="Times New Roman" w:eastAsia="Times New Roman"/>
          <w:b w:val="0"/>
          <w:i w:val="0"/>
          <w:sz w:val="25"/>
        </w:rPr>
        <w:t xml:space="preserve"> — прерогатива плановых документов, не методической таблицы.</w:t>
      </w:r>
    </w:p>
    <w:p>
      <w:pPr>
        <w:keepNext/>
        <w:spacing w:before="280" w:after="120"/>
      </w:pPr>
      <w:r>
        <w:rPr>
          <w:rFonts w:ascii="Times New Roman" w:hAnsi="Times New Roman" w:eastAsia="Times New Roman"/>
          <w:b/>
          <w:i w:val="0"/>
          <w:sz w:val="26"/>
        </w:rPr>
        <w:t>8. ИСТОЧНИКИ (все проверены по прямым ссылкам, дата обращения 10.09.2026)</w:t>
      </w:r>
    </w:p>
    <w:p>
      <w:pPr>
        <w:spacing w:before="0" w:after="60"/>
        <w:ind w:left="397" w:hanging="397"/>
        <w:jc w:val="both"/>
      </w:pPr>
      <w:r>
        <w:rPr>
          <w:rFonts w:ascii="Times New Roman" w:hAnsi="Times New Roman" w:eastAsia="Times New Roman"/>
          <w:b w:val="0"/>
          <w:i w:val="0"/>
          <w:sz w:val="25"/>
        </w:rPr>
        <w:t>1. WHO. WHO recommends injectable lenacapavir for HIV prevention (новость, 14.07.2025, включает рекомендации по экспресс-тестированию при ДКП длительного действия и по CAB/RPV при терапии). https://www.who.int/news/item/14-07-2025-who-recommends-injectable-lenacapavir-for-hiv-prevention</w:t>
      </w:r>
    </w:p>
    <w:p>
      <w:pPr>
        <w:spacing w:before="0" w:after="60"/>
        <w:ind w:left="397" w:hanging="397"/>
        <w:jc w:val="both"/>
      </w:pPr>
      <w:r>
        <w:rPr>
          <w:rFonts w:ascii="Times New Roman" w:hAnsi="Times New Roman" w:eastAsia="Times New Roman"/>
          <w:b w:val="0"/>
          <w:i w:val="0"/>
          <w:sz w:val="25"/>
        </w:rPr>
        <w:t>2. WHO. Guidelines on lenacapavir for HIV prevention and testing strategies for long-acting injectable pre-exposure prophylaxis (2025). https://www.who.int/publications/i/item/9789240111608</w:t>
      </w:r>
    </w:p>
    <w:p>
      <w:pPr>
        <w:spacing w:before="0" w:after="60"/>
        <w:ind w:left="397" w:hanging="397"/>
        <w:jc w:val="both"/>
      </w:pPr>
      <w:r>
        <w:rPr>
          <w:rFonts w:ascii="Times New Roman" w:hAnsi="Times New Roman" w:eastAsia="Times New Roman"/>
          <w:b w:val="0"/>
          <w:i w:val="0"/>
          <w:sz w:val="25"/>
        </w:rPr>
        <w:t>2. WHO. Guidelines on lenacapavir for HIV prevention and testing strategies for long-acting injectable pre-exposure prophylaxis (2025). https://www.who.int/publications/i/item/9789240111608</w:t>
      </w:r>
    </w:p>
    <w:p>
      <w:pPr>
        <w:spacing w:before="0" w:after="60"/>
        <w:ind w:left="397" w:hanging="397"/>
        <w:jc w:val="both"/>
      </w:pPr>
      <w:r>
        <w:rPr>
          <w:rFonts w:ascii="Times New Roman" w:hAnsi="Times New Roman" w:eastAsia="Times New Roman"/>
          <w:b w:val="0"/>
          <w:i w:val="0"/>
          <w:sz w:val="25"/>
        </w:rPr>
        <w:t>3. FDA approves lenacapavir (Yeztugo) — first twice-yearly PrEP, 18.06.2025 (обзор с данными PURPOSE 1/2). https://www.hcplive.com/view/fda-approves-first-twice-yearly-hiv-prevention-option ; https://www.drugs.com/news/fda-approves-twice-yearly-yeztugo-preexposure-prophylaxis-cut-hiv-risk-125479.html</w:t>
      </w:r>
    </w:p>
    <w:p>
      <w:pPr>
        <w:spacing w:before="0" w:after="60"/>
        <w:ind w:left="397" w:hanging="397"/>
        <w:jc w:val="both"/>
      </w:pPr>
      <w:r>
        <w:rPr>
          <w:rFonts w:ascii="Times New Roman" w:hAnsi="Times New Roman" w:eastAsia="Times New Roman"/>
          <w:b w:val="0"/>
          <w:i w:val="0"/>
          <w:sz w:val="25"/>
        </w:rPr>
        <w:t>4. WHO. WHO recommends long-acting cabotegravir for HIV prevention (28.07.2022; CAB-LA — снижение риска на 79 % относительно оральной ДКП). https://www.who.int/news/item/28-07-2022-who-recommends-long-acting-cabotegravir-for-hiv-prevention</w:t>
      </w:r>
    </w:p>
    <w:p>
      <w:pPr>
        <w:spacing w:before="0" w:after="60"/>
        <w:ind w:left="397" w:hanging="397"/>
        <w:jc w:val="both"/>
      </w:pPr>
      <w:r>
        <w:rPr>
          <w:rFonts w:ascii="Times New Roman" w:hAnsi="Times New Roman" w:eastAsia="Times New Roman"/>
          <w:b w:val="0"/>
          <w:i w:val="0"/>
          <w:sz w:val="25"/>
        </w:rPr>
        <w:t>5. HIV-1 Recent Infection Testing Algorithm with ARV Drug Detection… (ВОЗ-алгоритм RITA: LAg-авидность + ВН ≥1000 коп/мл). https://pmc.ncbi.nlm.nih.gov/articles/PMC8630595/</w:t>
      </w:r>
    </w:p>
    <w:p>
      <w:pPr>
        <w:spacing w:before="0" w:after="60"/>
        <w:ind w:left="397" w:hanging="397"/>
        <w:jc w:val="both"/>
      </w:pPr>
      <w:r>
        <w:rPr>
          <w:rFonts w:ascii="Times New Roman" w:hAnsi="Times New Roman" w:eastAsia="Times New Roman"/>
          <w:b w:val="0"/>
          <w:i w:val="0"/>
          <w:sz w:val="25"/>
        </w:rPr>
        <w:t>6. WHO. HIV testing services (самотестирование: рекомендация 2016 г., обновление 2019 г.). https://www.who.int/teams/global-hiv-hepatitis-and-stis-programmes/hiv/testing-diagnostics/hiv-testing-services/2</w:t>
      </w:r>
    </w:p>
    <w:p>
      <w:pPr>
        <w:spacing w:before="0" w:after="60"/>
        <w:ind w:left="397" w:hanging="397"/>
        <w:jc w:val="both"/>
      </w:pPr>
      <w:r>
        <w:rPr>
          <w:rFonts w:ascii="Times New Roman" w:hAnsi="Times New Roman" w:eastAsia="Times New Roman"/>
          <w:b w:val="0"/>
          <w:i w:val="0"/>
          <w:sz w:val="25"/>
        </w:rPr>
        <w:t>7. UCL. The PARTNER studies (PARTNER1 — JAMA 2016; PARTNER2 — Lancet 2019: 782 пары, ~76 000 контактов, 0 связанных передач; HPTN 052 — 96 % снижение риска). https://www.ucl.ac.uk/population-health-sciences/partners-people-art-new-evaluation-risks-partner-study ; https://www.poz.com/article/partner2-undetectable</w:t>
      </w:r>
    </w:p>
    <w:p>
      <w:pPr>
        <w:spacing w:before="0" w:after="60"/>
        <w:ind w:left="397" w:hanging="397"/>
        <w:jc w:val="both"/>
      </w:pPr>
      <w:r>
        <w:rPr>
          <w:rFonts w:ascii="Times New Roman" w:hAnsi="Times New Roman" w:eastAsia="Times New Roman"/>
          <w:b w:val="0"/>
          <w:i w:val="0"/>
          <w:sz w:val="25"/>
        </w:rPr>
        <w:t>8. WHO. New clinical and service delivery recommendations (17.03.2021): POC-NAT детям &lt;18 мес. (сильная рекомендация), POC-вирусная нагрузка (условная), интеграция помощи при АГ/диабете. https://www.who.int/news/item/17-03-2021-who-publishes-new-clinical-recommendations-on-hiv-prevention-infant-diagnosis-antiretroviral-therapy-initiation-and-monitoring</w:t>
      </w:r>
    </w:p>
    <w:p>
      <w:pPr>
        <w:spacing w:before="0" w:after="60"/>
        <w:ind w:left="397" w:hanging="397"/>
        <w:jc w:val="both"/>
      </w:pPr>
      <w:r>
        <w:rPr>
          <w:rFonts w:ascii="Times New Roman" w:hAnsi="Times New Roman" w:eastAsia="Times New Roman"/>
          <w:b w:val="0"/>
          <w:i w:val="0"/>
          <w:sz w:val="25"/>
        </w:rPr>
        <w:t>9. Lancet Gastroenterol Hepatol. WHO 2024 hepatitis B guidelines… (показания к терапии вкл. ВИЧ-коинфекцию; 1,1 млн смертей от ГВ в 2022 г.; Global hepatitis report 2024). https://www.thelancet.com/journals/langas/article/PIIS2468-1253(24)00089-X/fulltext</w:t>
      </w:r>
    </w:p>
    <w:p>
      <w:pPr>
        <w:spacing w:before="0" w:after="60"/>
        <w:ind w:left="397" w:hanging="397"/>
        <w:jc w:val="both"/>
      </w:pPr>
      <w:r>
        <w:rPr>
          <w:rFonts w:ascii="Times New Roman" w:hAnsi="Times New Roman" w:eastAsia="Times New Roman"/>
          <w:b w:val="0"/>
          <w:i w:val="0"/>
          <w:sz w:val="25"/>
        </w:rPr>
        <w:t>10. Wymant C. et al. A highly virulent variant of HIV-1 circulating in the Netherlands. Science. 2022;375(6580):540–545. https://www.science.org/doi/10.1126/science.abk1688</w:t>
      </w:r>
    </w:p>
    <w:p>
      <w:pPr>
        <w:spacing w:before="0" w:after="60"/>
        <w:ind w:left="397" w:hanging="397"/>
        <w:jc w:val="both"/>
      </w:pPr>
      <w:r>
        <w:rPr>
          <w:rFonts w:ascii="Times New Roman" w:hAnsi="Times New Roman" w:eastAsia="Times New Roman"/>
          <w:b w:val="0"/>
          <w:i w:val="0"/>
          <w:sz w:val="25"/>
        </w:rPr>
        <w:t>11. IAVI statement on results from Mosaico (HVTN 706/HPX3002) — прекращение 18.01.2023 за неэффективностью; Imbokodo — прекращён в 2021 г.; перспективный подход — bnAbs (испытания AMP). https://www.iavi.org/features/iavi-statement-on-results-from-mosaico-hiv-vaccine-trial/ ; https://www.avac.org/press-release/hiv-vaccine-research-must-continue-following-disappointing-result-from-mosaico-trial/ ; https://www.aidsmap.com/news/feb-2023/mosaico-trial-closure-shifts-vaccine-focus-neutralising-antibodies</w:t>
      </w:r>
    </w:p>
    <w:p>
      <w:pPr>
        <w:spacing w:before="0" w:after="60"/>
        <w:ind w:left="397" w:hanging="397"/>
        <w:jc w:val="both"/>
      </w:pPr>
      <w:r>
        <w:rPr>
          <w:rFonts w:ascii="Times New Roman" w:hAnsi="Times New Roman" w:eastAsia="Times New Roman"/>
          <w:b w:val="0"/>
          <w:i w:val="0"/>
          <w:sz w:val="25"/>
        </w:rPr>
        <w:t>12. WHO. Consolidated guidelines on HIV, viral hepatitis and STI prevention, diagnosis, treatment and care for key populations (29.07.2022). https://www.who.int/news/item/29-07-2022-who-publishes-new-guidelines-on-hiv--hepatitis-and-sti-for-key-populations ; WHO. Guidelines for managing advanced HIV disease and rapid initiation of antiretroviral therapy (2017; CD4 &lt;200 — пакет помощи). https://www.ncbi.nlm.nih.gov/books/NBK572722/</w:t>
      </w:r>
    </w:p>
    <w:p>
      <w:pPr>
        <w:spacing w:before="0" w:after="60"/>
        <w:ind w:left="397" w:hanging="397"/>
        <w:jc w:val="both"/>
      </w:pPr>
      <w:r>
        <w:rPr>
          <w:rFonts w:ascii="Times New Roman" w:hAnsi="Times New Roman" w:eastAsia="Times New Roman"/>
          <w:b w:val="0"/>
          <w:i w:val="0"/>
          <w:sz w:val="25"/>
        </w:rPr>
        <w:t>13. WHO. Consolidated guidelines on person-centred HIV strategic information: strengthening routine data for impact (2022, ISBN 978-92-4-005531-5). https://www.who.int/publications/i/item/9789240055315</w:t>
      </w:r>
    </w:p>
    <w:p>
      <w:pPr>
        <w:spacing w:before="0" w:after="60"/>
        <w:ind w:left="397" w:hanging="397"/>
        <w:jc w:val="both"/>
      </w:pPr>
      <w:r>
        <w:rPr>
          <w:rFonts w:ascii="Times New Roman" w:hAnsi="Times New Roman" w:eastAsia="Times New Roman"/>
          <w:b w:val="0"/>
          <w:i w:val="0"/>
          <w:sz w:val="25"/>
        </w:rPr>
        <w:t>14. Islam FMA. et al. Risk of myocardial infarction among people living with HIV: updated systematic review and meta-analysis (RR 1,73; 95% CI 1,44–2,08). HIV Med. 2019. https://pmc.ncbi.nlm.nih.gov/articles/PMC6773316/</w:t>
      </w:r>
    </w:p>
    <w:p>
      <w:pPr>
        <w:spacing w:before="0" w:after="60"/>
        <w:ind w:left="397" w:hanging="397"/>
        <w:jc w:val="both"/>
      </w:pPr>
      <w:r>
        <w:rPr>
          <w:rFonts w:ascii="Times New Roman" w:hAnsi="Times New Roman" w:eastAsia="Times New Roman"/>
          <w:b w:val="0"/>
          <w:i w:val="0"/>
          <w:sz w:val="25"/>
        </w:rPr>
        <w:t>15. Global prevalence of depressive symptoms among PLWHA: systematic review and meta-analysis (35 %; 103 785 участников). AIDS Care. 2024. https://pubmed.ncbi.nlm.nih.gov/37995747/ ; Front. Public Health. 2026;14:1832557 (дистресс 40 %; низкая приверженность OR 4,55). https://www.frontiersin.org/journals/public-health/articles/10.3389/fpubh.2026.1832557/full</w:t>
      </w:r>
    </w:p>
    <w:p>
      <w:pPr>
        <w:spacing w:before="0" w:after="60"/>
        <w:ind w:left="397" w:hanging="397"/>
        <w:jc w:val="both"/>
      </w:pPr>
      <w:r>
        <w:rPr>
          <w:rFonts w:ascii="Times New Roman" w:hAnsi="Times New Roman" w:eastAsia="Times New Roman"/>
          <w:b w:val="0"/>
          <w:i w:val="0"/>
          <w:sz w:val="25"/>
        </w:rPr>
        <w:t>16. Poon A. et al. Near real-time monitoring of HIV transmission hotspots from routine HIV genotyping. Lancet HIV. 2016;3(6):e231–e238. https://www.thelancet.com/journals/lanhiv/article/PIIS2352-3018(16)00046-1/abstract</w:t>
      </w:r>
    </w:p>
    <w:p>
      <w:pPr>
        <w:spacing w:before="0" w:after="60"/>
        <w:ind w:left="397" w:hanging="397"/>
        <w:jc w:val="both"/>
      </w:pPr>
      <w:r>
        <w:rPr>
          <w:rFonts w:ascii="Times New Roman" w:hAnsi="Times New Roman" w:eastAsia="Times New Roman"/>
          <w:b w:val="0"/>
          <w:i w:val="0"/>
          <w:sz w:val="25"/>
        </w:rPr>
        <w:t>17. Oster A. et al. Identifying clusters of recent and rapid HIV transmission through analysis of molecular surveillance data. J Acquir Immune Defic Syndr. 2018. https://pmc.ncbi.nlm.nih.gov/articles/PMC6231979/</w:t>
      </w:r>
    </w:p>
    <w:p>
      <w:pPr>
        <w:spacing w:before="0" w:after="60"/>
        <w:ind w:left="397" w:hanging="397"/>
        <w:jc w:val="both"/>
      </w:pPr>
      <w:r>
        <w:rPr>
          <w:rFonts w:ascii="Times New Roman" w:hAnsi="Times New Roman" w:eastAsia="Times New Roman"/>
          <w:b w:val="0"/>
          <w:i w:val="0"/>
          <w:sz w:val="25"/>
        </w:rPr>
        <w:t>18. Reassessing the Ethics of Molecular HIV Surveillance… Am J Bioeth. 2020. https://www.tandfonline.com/doi/full/10.1080/15265161.2020.1806373</w:t>
      </w:r>
    </w:p>
    <w:p>
      <w:pPr>
        <w:spacing w:before="0" w:after="60"/>
        <w:ind w:left="397" w:hanging="397"/>
        <w:jc w:val="both"/>
      </w:pPr>
      <w:r>
        <w:rPr>
          <w:rFonts w:ascii="Times New Roman" w:hAnsi="Times New Roman" w:eastAsia="Times New Roman"/>
          <w:b w:val="0"/>
          <w:i w:val="0"/>
          <w:sz w:val="25"/>
        </w:rPr>
        <w:t>19. СанПиН 3.3686-21: раздел VI «Профилактика ВИЧ-инфекции» (структура подтверждена). http://docs.cntd.ru/document/573660140</w:t>
      </w:r>
    </w:p>
    <w:p>
      <w:pPr>
        <w:spacing w:before="0" w:after="60"/>
        <w:ind w:left="397" w:hanging="397"/>
        <w:jc w:val="both"/>
      </w:pPr>
      <w:r>
        <w:rPr>
          <w:rFonts w:ascii="Times New Roman" w:hAnsi="Times New Roman" w:eastAsia="Times New Roman"/>
          <w:b w:val="0"/>
          <w:i w:val="0"/>
          <w:sz w:val="25"/>
        </w:rPr>
        <w:t>20. МУ 3.1.3342-16 «Эпидемиологический надзор за ВИЧ-инфекцией» (в т.ч. генотипирование и филогенетический анализ при эпидрасследованиях). https://www.garant.ru/products/ipo/prime/doc/71263114/</w:t>
      </w:r>
    </w:p>
    <w:p>
      <w:pPr>
        <w:spacing w:before="0" w:after="60"/>
        <w:ind w:left="397" w:hanging="397"/>
        <w:jc w:val="both"/>
      </w:pPr>
      <w:r>
        <w:rPr>
          <w:rFonts w:ascii="Times New Roman" w:hAnsi="Times New Roman" w:eastAsia="Times New Roman"/>
          <w:b w:val="0"/>
          <w:i w:val="0"/>
          <w:sz w:val="25"/>
        </w:rPr>
        <w:t>21. Медуза. В России изымают из аптек популярные экспресс-тесты на ВИЧ (11.09.2020: регистрация только для профессионального использования). https://meduza.io/feature/2020/09/11/v-rossii-izymayut-iz-aptek-populyarnye-ekspress-testy-na-vich-eto-reshenie-roszdravnadzora-i-ono-mozhet-prinesti-vred</w:t>
      </w:r>
    </w:p>
    <w:p>
      <w:pPr>
        <w:spacing w:before="0" w:after="60"/>
        <w:ind w:left="397" w:hanging="397"/>
        <w:jc w:val="both"/>
      </w:pPr>
      <w:r>
        <w:rPr>
          <w:rFonts w:ascii="Times New Roman" w:hAnsi="Times New Roman" w:eastAsia="Times New Roman"/>
          <w:b w:val="0"/>
          <w:i w:val="0"/>
          <w:sz w:val="25"/>
        </w:rPr>
        <w:t>22. Российская база данных устойчивости ВИЧ (RuHIV, ЦНИИЭ, осн. 2009). https://www.hivresist.ru/ ; Кireev D. et al. The Russian database of HIV antiretroviral drug resistance. https://microbiol.crie.ru/jour/article/view/1336 ; регистрация БД платформы VGARus (Virus Genome Aggregator of Russia); также: диссертационное исследование ЦНИИЭ с формулировкой «Российская база данных устойчивости ВИЧ… (компонент Платформы агрегирования результатов расшифровок генома возбудителей инфекционных и паразитарных заболеваний «VGARus»)». https://www.crie.ru/scientific-work/sovet-molodykh-uchyenykh/nashi-dostizheniya/2023.php ; https://www.crie.ru/upload/iblock/ab9/0681zh1g6g3qtm90vpipinv2l8hkdwta/disser1(piterskiy).pdf</w:t>
      </w:r>
    </w:p>
    <w:p>
      <w:pPr>
        <w:spacing w:before="0" w:after="60"/>
        <w:ind w:left="397" w:hanging="397"/>
        <w:jc w:val="both"/>
      </w:pPr>
      <w:r>
        <w:rPr>
          <w:rFonts w:ascii="Times New Roman" w:hAnsi="Times New Roman" w:eastAsia="Times New Roman"/>
          <w:b w:val="0"/>
          <w:i w:val="0"/>
          <w:sz w:val="25"/>
        </w:rPr>
        <w:t>23. ECDC/WHO Regional Office for Europe. HIV/AIDS surveillance in Europe 2025 – 2024 data (27.11.2025; ограничения данных РФ). https://www.ecdc.europa.eu/sites/default/files/documents/2025-Annual_HIV_Report.pdf</w:t>
      </w:r>
    </w:p>
    <w:p>
      <w:pPr>
        <w:spacing w:before="0" w:after="60"/>
        <w:ind w:left="397" w:hanging="397"/>
        <w:jc w:val="both"/>
      </w:pPr>
      <w:r>
        <w:rPr>
          <w:rFonts w:ascii="Times New Roman" w:hAnsi="Times New Roman" w:eastAsia="Times New Roman"/>
          <w:b w:val="0"/>
          <w:i w:val="0"/>
          <w:sz w:val="25"/>
        </w:rPr>
        <w:t>24. Минздрав России. Итоговая коллегия 2025 и планы на 2026 (17.04.2026): задачи по ВИЧ в рамках нацпроекта «Продолжительная и активная жизнь». https://minzdrav.gov.ru/news/2026/04/17/30794-itogovaya-kollegiya-2025-i-plany-na-2026-tsifrovaya-transformatsiya-pronizyvaet-vse-zadachi-stoyaschie-pered-otraslyu-zdravoohraneniya</w:t>
      </w:r>
    </w:p>
    <w:p>
      <w:pPr>
        <w:spacing w:before="0" w:after="60"/>
        <w:ind w:left="397" w:hanging="397"/>
        <w:jc w:val="both"/>
      </w:pPr>
      <w:r>
        <w:rPr>
          <w:rFonts w:ascii="Times New Roman" w:hAnsi="Times New Roman" w:eastAsia="Times New Roman"/>
          <w:b w:val="0"/>
          <w:i w:val="0"/>
          <w:sz w:val="25"/>
        </w:rPr>
        <w:t>25. Публичное воспроизведение данных ЦНИИЭ за 2025 г. (45 638 новых случаев; 31,23/100 тыс.; −13,4 %). https://zdrav.expert/index.php/Статья:ВИЧ_и_СПИД_в_России ; https://zdravresource.ru/analitycs/epidemiologiya-vich-v-rossii-v-2025-godu/</w:t>
      </w:r>
    </w:p>
    <w:p>
      <w:pPr>
        <w:spacing w:before="0" w:after="60"/>
        <w:ind w:left="397" w:hanging="397"/>
        <w:jc w:val="both"/>
      </w:pPr>
      <w:r>
        <w:rPr>
          <w:rFonts w:ascii="Times New Roman" w:hAnsi="Times New Roman" w:eastAsia="Times New Roman"/>
          <w:b w:val="0"/>
          <w:i w:val="0"/>
          <w:sz w:val="25"/>
        </w:rPr>
        <w:t>26. Pretreatment HIV Drug Resistance to INSTIs Among Newly Diagnosed — China, 2018–2023 (0,95 %). https://pmc.ncbi.nlm.nih.gov/articles/PMC11754851/ ; Despite increasing use of integrase inhibitors…, resistance remains stable (когорта 2008–2024). https://pubmed.ncbi.nlm.nih.gov/41400828/</w:t>
      </w:r>
    </w:p>
    <w:p>
      <w:pPr>
        <w:spacing w:before="0" w:after="60"/>
        <w:ind w:left="397" w:hanging="397"/>
        <w:jc w:val="both"/>
      </w:pPr>
      <w:r>
        <w:rPr>
          <w:rFonts w:ascii="Times New Roman" w:hAnsi="Times New Roman" w:eastAsia="Times New Roman"/>
          <w:b w:val="0"/>
          <w:i w:val="0"/>
          <w:sz w:val="25"/>
        </w:rPr>
        <w:t>27. WHO STAG-HHS. Report and recommendations — 2024 meeting (долгодействующие АРВП, самотестирование/мультиплексное тестирование, стигма в здравоохранении). https://cdn.who.int/media/docs/default-source/hq-hiv-hepatitis-and-stis-library/stag-hhs_2024_report_final.pdf</w:t>
      </w:r>
    </w:p>
    <w:p>
      <w:pPr>
        <w:spacing w:before="0" w:after="60"/>
        <w:ind w:left="397" w:hanging="397"/>
        <w:jc w:val="both"/>
      </w:pPr>
      <w:r>
        <w:rPr>
          <w:rFonts w:ascii="Times New Roman" w:hAnsi="Times New Roman" w:eastAsia="Times New Roman"/>
          <w:b w:val="0"/>
          <w:i w:val="0"/>
          <w:sz w:val="25"/>
        </w:rPr>
        <w:t>28. Ведомости. Доконтактная профилактика ВИЧ не включена в клинические рекомендации Минздрава (03.04.2023); отчёт ITPC EECA «Доконтактная профилактика ВИЧ в России». https://www.vedomosti.ru/society/articles/2023/04/03/969172-dokontaktnaya-profilaktika-vich-ne-vklyuchena-v-klinicheskie-rekomendatsii-minzdrava ; https://itpc-eeca.org/wp-content/uploads/2023/04/otchet-po-dokontaktnoj-profilaktike-vich-v-rossii-1.pdf</w:t>
      </w:r>
    </w:p>
    <w:p>
      <w:pPr>
        <w:spacing w:before="0" w:after="60"/>
        <w:ind w:left="397" w:hanging="397"/>
        <w:jc w:val="both"/>
      </w:pPr>
      <w:r>
        <w:rPr>
          <w:rFonts w:ascii="Times New Roman" w:hAnsi="Times New Roman" w:eastAsia="Times New Roman"/>
          <w:b w:val="0"/>
          <w:i w:val="0"/>
          <w:sz w:val="25"/>
        </w:rPr>
        <w:t>29. WHO. Denmark becomes first country in the European Union to eliminate mother-to-child transmission of HIV and syphilis (27.02.2026; перечень валидированных стран и территорий). https://www.who.int/news/item/27-02-2026-denmark-becomes-first-country-in-the-european-union-to-eliminate-of-mother-to-child-transmission-of-hiv-and-syphilis</w:t>
      </w:r>
    </w:p>
    <w:p>
      <w:pPr>
        <w:spacing w:before="0" w:after="60"/>
        <w:ind w:left="397" w:hanging="397"/>
        <w:jc w:val="both"/>
      </w:pPr>
      <w:r>
        <w:rPr>
          <w:rFonts w:ascii="Times New Roman" w:hAnsi="Times New Roman" w:eastAsia="Times New Roman"/>
          <w:b w:val="0"/>
          <w:i w:val="0"/>
          <w:sz w:val="25"/>
        </w:rPr>
        <w:t>30. WHO. Validation of eliminating mother-to-child transmission of HIV, syphilis and hepatitis B (критерии, процедуры, хронология: Куба — 2015; Армения, Беларусь, Республика Молдова, Таиланд — 2016 и далее). https://www.who.int/initiatives/triple-elimination-initiative-of-mother-to-child-transmission-of-hiv-syphilis-and-hepatitis-b/validation</w:t>
      </w:r>
    </w:p>
    <w:p>
      <w:pPr>
        <w:spacing w:before="0" w:after="60"/>
        <w:ind w:left="397" w:hanging="397"/>
        <w:jc w:val="both"/>
      </w:pPr>
      <w:r>
        <w:rPr>
          <w:rFonts w:ascii="Times New Roman" w:hAnsi="Times New Roman" w:eastAsia="Times New Roman"/>
          <w:b w:val="0"/>
          <w:i w:val="0"/>
          <w:sz w:val="25"/>
        </w:rPr>
        <w:t>31. Приказ Минздрава России от 26.03.2020 № 240н «Об утверждении форм первичной учетной документации…» (карта персонального учёта пациента с ВИЧ-инфекцией; таблицы учёта обследований по контингентам с кодами 102 — ПИН, 103 — МСМ, 104 — лица с подозрением на ИППП, 105 — оказывающие сексуальные услуги, 106 — внутренние трудовые мигранты, 109 — беременные, 112 — находящиеся в местах лишения свободы и др.). https://www.consultant.ru/document/cons_doc_LAW_352356/90d9fe9d69e1b747a4c755c434f0ff3e707a8039/</w:t>
      </w:r>
    </w:p>
    <w:p>
      <w:pPr>
        <w:spacing w:before="0" w:after="60"/>
        <w:ind w:left="397" w:hanging="397"/>
        <w:jc w:val="both"/>
      </w:pPr>
      <w:r>
        <w:rPr>
          <w:rFonts w:ascii="Times New Roman" w:hAnsi="Times New Roman" w:eastAsia="Times New Roman"/>
          <w:b w:val="0"/>
          <w:i w:val="0"/>
          <w:sz w:val="25"/>
        </w:rPr>
        <w:t>32. Приложение 13 к СанПиН 3.3686-21 «Контингенты, подлежащие обязательному медицинскому освидетельствованию на ВИЧ-инфекцию и рекомендуемые для добровольного обследования на ВИЧ-инфекцию» (полный текст). https://mos-medsestra.ru/doc/sanpin-3.3686-21/prilozhenie_13_k_sp_3.3686-21.pdf</w:t>
      </w:r>
    </w:p>
    <w:p>
      <w:pPr>
        <w:spacing w:before="0" w:after="60"/>
        <w:ind w:left="397" w:hanging="397"/>
        <w:jc w:val="both"/>
      </w:pPr>
      <w:r>
        <w:rPr>
          <w:rFonts w:ascii="Times New Roman" w:hAnsi="Times New Roman" w:eastAsia="Times New Roman"/>
          <w:b w:val="0"/>
          <w:i w:val="0"/>
          <w:sz w:val="25"/>
        </w:rPr>
        <w:t>33. WHO. WHO updates guidelines to enhance access to HIV post-exposure prophylaxis (22.07.2024: рекомендации по доставке ПКП в сообществе и распределению функций (task sharing); ПКП — в идеале в течение 24 часов, не позднее 72 часов). https://www.who.int/news/item/22-07-2024-who-updates-guidelines-to-enhance-access-to-hiv-post-exposure-prophylaxis</w:t>
      </w:r>
    </w:p>
    <w:p>
      <w:pPr>
        <w:spacing w:before="0" w:after="60"/>
        <w:ind w:left="397" w:hanging="397"/>
        <w:jc w:val="both"/>
      </w:pPr>
      <w:r>
        <w:rPr>
          <w:rFonts w:ascii="Times New Roman" w:hAnsi="Times New Roman" w:eastAsia="Times New Roman"/>
          <w:b w:val="0"/>
          <w:i w:val="0"/>
          <w:sz w:val="25"/>
        </w:rPr>
        <w:t>34. Федеральный закон от 21.11.2011 № 323-ФЗ «Об основах охраны здоровья граждан в Российской Федерации», ст. 37 (клинические рекомендации разрабатываются и утверждаются медицинскими профессиональными некоммерческими организациями). https://www.consultant.ru/document/cons_doc_LAW_121895/f7964563436c4bb0aed73d388df1a95d9103b632/</w:t>
      </w:r>
    </w:p>
    <w:p>
      <w:pPr>
        <w:spacing w:before="0" w:after="100"/>
        <w:jc w:val="both"/>
      </w:pPr>
      <w:r>
        <w:rPr>
          <w:rFonts w:ascii="Times New Roman" w:hAnsi="Times New Roman" w:eastAsia="Times New Roman"/>
          <w:b w:val="0"/>
          <w:i/>
          <w:sz w:val="25"/>
        </w:rPr>
        <w:t>Конец редакции 3 (финальной). Верификация выполнена в два прохода: веб-верификация автора + стресс-аудит двух независимых агентов; все критические и важные находки учтены.</w:t>
      </w:r>
    </w:p>
    <w:sectPr w:rsidR="00FC693F" w:rsidRPr="0006063C" w:rsidSect="00034616">
      <w:footerReference w:type="default" r:id="rId9"/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/>
        <w:b w:val="0"/>
        <w:i w:val="0"/>
        <w:sz w:val="20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before="0" w:line="269" w:lineRule="auto"/>
      <w:jc w:val="both"/>
    </w:pPr>
    <w:rPr>
      <w:rFonts w:ascii="Times New Roman" w:hAnsi="Times New Roman" w:eastAsia="Times New Roman"/>
      <w:sz w:val="25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