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ПОСТАНОВЛЕНИЕ</w:t>
      </w:r>
    </w:p>
    <w:p>
      <w:pPr>
        <w:jc w:val="center"/>
      </w:pPr>
      <w:r>
        <w:rPr>
          <w:b/>
        </w:rPr>
        <w:t>о назначении дактилоскопической судебной экспертизы</w:t>
      </w:r>
    </w:p>
    <w:p>
      <w:r>
        <w:t>г. Азов Ростовской области</w:t>
      </w:r>
      <w:r>
        <w:rPr>
          <w:b w:val="0"/>
        </w:rPr>
        <w:tab/>
        <w:tab/>
        <w:tab/>
        <w:t>«11» сентября 2026 года</w:t>
      </w:r>
    </w:p>
    <w:p>
      <w:pPr>
        <w:ind w:firstLine="709"/>
      </w:pPr>
      <w:r>
        <w:rPr>
          <w:b w:val="0"/>
        </w:rPr>
        <w:t>12 час. 00 мин.</w:t>
      </w:r>
    </w:p>
    <w:p>
      <w:pPr>
        <w:ind w:firstLine="709"/>
      </w:pPr>
      <w:r>
        <w:rPr>
          <w:b w:val="0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Азову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r>
        <w:rPr>
          <w:b/>
        </w:rPr>
        <w:t>УСТАНОВИЛ:</w:t>
      </w:r>
    </w:p>
    <w:p>
      <w:pPr>
        <w:ind w:firstLine="709"/>
      </w:pPr>
      <w:r>
        <w:rPr>
          <w:b w:val="0"/>
        </w:rPr>
        <w:t>Так, 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15 час. 10 мин. по данному факту и в отношении Косенко С.Н. возбуждено уголовное дело по признакам преступления, предусмотренного ч. 1 ст. 105 УК РФ (дело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ссоры, возникшей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 При осмотре места происшествия 09.09.2026 (протокол от 09.09.2026, осмотр производился с 17 час. 22 мин. до 20 час. 31 мин.)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ind w:firstLine="709"/>
      </w:pPr>
      <w:r>
        <w:rPr>
          <w:b w:val="0"/>
        </w:rPr>
        <w:t>При осмотре места происшествия 09.09.2026 изъяты рюмки № 1 и № 2, мобильные телефоны «Huawei» и «Samsung», ружье. Дактилоскопические карты трупов Нестеровой Е.И. и Косенко С.Н. изготовлены при судебно-медицинском исследовании 10.09.2026; отпечатки пальцев рук Скрагленко К.В. и Матиевой А.С. получены 11.09.2026 на основании постановлений о получении образцов для сравнительного исследования (ст. 202 УПК РФ). Для установления принадлежности следов рук необходимо производство дактилоскопической судебной экспертизы.</w:t>
      </w:r>
    </w:p>
    <w:p>
      <w:pPr>
        <w:ind w:firstLine="709"/>
      </w:pPr>
      <w:r>
        <w:rPr>
          <w:b w:val="0"/>
        </w:rPr>
        <w:t>руководствуясь ст. ст. 195, 199 УПК РФ,</w:t>
      </w:r>
    </w:p>
    <w:p>
      <w:r>
        <w:rPr>
          <w:b/>
        </w:rPr>
        <w:t>ПОСТАНОВИЛ:</w:t>
      </w:r>
    </w:p>
    <w:p>
      <w:pPr>
        <w:ind w:firstLine="709"/>
      </w:pPr>
      <w:r>
        <w:rPr>
          <w:b w:val="0"/>
        </w:rPr>
        <w:t>1. Назначить дактилоскопическую судебную экспертизу, производство которой поручить экспертам дактилоскопического отдела ЭКЦ ГУ МВД России по Ростовской области.</w:t>
      </w:r>
    </w:p>
    <w:p>
      <w:pPr>
        <w:ind w:firstLine="709"/>
      </w:pPr>
      <w:r>
        <w:rPr>
          <w:b w:val="0"/>
        </w:rPr>
        <w:t>2. Предоставить в распоряжение экспертов следующие объекты: рюмка стеклянная № 1 и рюмка стеклянная № 2 (направляются после окончания судебной экспертизы тканей, выделений человека и животных (исследование ДНК); при исследовании применить цианакрилатный метод выявления невидимых и слабовидимых следов рук на гладких непористых поверхностях); мобильный телефон «Huawei»; мобильный телефон «Samsung»; охотничье ружье (направляется после производства баллистической судебной экспертизы; исследованию подлежат поверхности, не подвергшиеся необратимому изменению при экспериментальной стрельбе).</w:t>
      </w:r>
    </w:p>
    <w:p>
      <w:pPr>
        <w:ind w:firstLine="709"/>
      </w:pPr>
      <w:r>
        <w:rPr>
          <w:b w:val="0"/>
        </w:rPr>
        <w:t>3. Предоставить в распоряжение экспертов следующие сравнительные образцы: дактилоскопические карты трупов Нестеровой Е.И. и Косенко С.Н. (изготовлены при судебно-медицинском исследовании 10.09.2026, прилагаются); отпечатки пальцев рук Скрагленко К.В. и Матиевой А.С. (получены 11.09.2026 на основании постановлений о получении образцов для сравнительного исследования (ст. 202 УПК РФ), протоколы прилагаются).</w:t>
      </w:r>
    </w:p>
    <w:p>
      <w:pPr>
        <w:ind w:firstLine="709"/>
      </w:pPr>
      <w:r>
        <w:rPr>
          <w:b w:val="0"/>
        </w:rPr>
        <w:t>4. Поставить на разрешение экспертов следующие вопросы: 1) Имеются ли на представленных объектах следы рук, пригодные для идентификации личности? 2) Кому из названных лиц (Нестеровой Е.И., Косенко С.Н., Скрагленко К.В., Матиевой А.С.) принадлежат выявленные следы рук; следы, не совпадающие с образцами названных лиц, проверить по федеральной базе дактилоскопической информации (АДИС).</w:t>
      </w:r>
    </w:p>
    <w:p>
      <w:pPr>
        <w:ind w:firstLine="709"/>
      </w:pPr>
      <w:r>
        <w:rPr>
          <w:b w:val="0"/>
        </w:rPr>
        <w:t>5. Разрешить экспертам проводить исследования, могущие повлечь изменение внешнего вида объектов (в том числе цианакрилатную обработку рюмок), в соответствии с п. 3 ч. 4 ст. 57 УПК РФ.</w:t>
      </w:r>
    </w:p>
    <w:p>
      <w:pPr>
        <w:ind w:firstLine="709"/>
      </w:pPr>
      <w:r>
        <w:rPr>
          <w:b w:val="0"/>
        </w:rPr>
        <w:t>6. Настоящее постановление и материалы направить начальнику ЭКЦ ГУ МВД России по Ростовской области. Экспертам разъяснить права и обязанности, предусмотренные ст. 57 УПК РФ, и предупредить их об уголовной ответственности по ст. 307 УК РФ, о чем отметить в заключении эксперта.</w:t>
      </w:r>
    </w:p>
    <w:p>
      <w:r>
        <w:br/>
        <w:t>Следователь</w:t>
        <w:tab/>
        <w:tab/>
        <w:tab/>
        <w:t>С.А. Сукиасов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