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theme/themeOverride1.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C114E" w14:textId="77777777" w:rsidR="00812795" w:rsidRDefault="00812795" w:rsidP="00812795">
      <w:pPr>
        <w:pStyle w:val="Title"/>
      </w:pPr>
      <w:r>
        <w:t xml:space="preserve">Data Report </w:t>
      </w:r>
    </w:p>
    <w:p w14:paraId="2DA0CCFB" w14:textId="15D4A5B9" w:rsidR="00812795" w:rsidRDefault="00812795" w:rsidP="00812795">
      <w:pPr>
        <w:pStyle w:val="Heading1"/>
      </w:pPr>
      <w:bookmarkStart w:id="0" w:name="_GoBack"/>
      <w:bookmarkEnd w:id="0"/>
      <w:r>
        <w:t xml:space="preserve">Deliverable 3.3.2 – </w:t>
      </w:r>
      <w:r w:rsidR="00E2679E">
        <w:t xml:space="preserve">January </w:t>
      </w:r>
      <w:r w:rsidR="007055F9">
        <w:t>9</w:t>
      </w:r>
      <w:r w:rsidR="00C141D4">
        <w:t>, 201</w:t>
      </w:r>
      <w:r w:rsidR="00F81305">
        <w:t>7</w:t>
      </w:r>
    </w:p>
    <w:p w14:paraId="0CE48564" w14:textId="08DE701C" w:rsidR="00F73B6B" w:rsidRPr="00686E93" w:rsidRDefault="00F73B6B" w:rsidP="00F73B6B">
      <w:pPr>
        <w:pStyle w:val="Heading3"/>
        <w:jc w:val="both"/>
      </w:pPr>
      <w:bookmarkStart w:id="1" w:name="_Toc329857457"/>
      <w:r w:rsidRPr="00686E93">
        <w:t>State Participation</w:t>
      </w:r>
      <w:r w:rsidR="00F204C1">
        <w:t xml:space="preserve"> in 2016</w:t>
      </w:r>
      <w:r>
        <w:t xml:space="preserve"> State Reports</w:t>
      </w:r>
      <w:bookmarkEnd w:id="1"/>
    </w:p>
    <w:p w14:paraId="35DDF664" w14:textId="17D8C48A" w:rsidR="002D4F62" w:rsidRDefault="00F73B6B" w:rsidP="000C738D">
      <w:pPr>
        <w:jc w:val="both"/>
      </w:pPr>
      <w:r w:rsidRPr="00686E93">
        <w:t xml:space="preserve">Since 2001, the </w:t>
      </w:r>
      <w:r w:rsidRPr="00D831E9">
        <w:t>50 states, the District of Columbia, Guam</w:t>
      </w:r>
      <w:r>
        <w:t>,</w:t>
      </w:r>
      <w:r w:rsidRPr="00D831E9">
        <w:t xml:space="preserve"> and </w:t>
      </w:r>
      <w:r>
        <w:t xml:space="preserve">the Commonwealth of </w:t>
      </w:r>
      <w:r w:rsidRPr="00D831E9">
        <w:t>Puerto Rico</w:t>
      </w:r>
      <w:r>
        <w:t xml:space="preserve"> (Puerto Rico)</w:t>
      </w:r>
      <w:r w:rsidRPr="00D831E9">
        <w:t xml:space="preserve"> have participated in Title II reporting. The </w:t>
      </w:r>
      <w:r>
        <w:t xml:space="preserve">United States </w:t>
      </w:r>
      <w:r w:rsidRPr="00D831E9">
        <w:t>Virgin Islands</w:t>
      </w:r>
      <w:r>
        <w:t xml:space="preserve"> (Virgin Islands)</w:t>
      </w:r>
      <w:r w:rsidRPr="00D831E9">
        <w:t xml:space="preserve"> began reporting in 2002. American Samoa, the Federated States of Micronesia</w:t>
      </w:r>
      <w:r>
        <w:t xml:space="preserve"> (Micronesia)</w:t>
      </w:r>
      <w:r w:rsidRPr="00D831E9">
        <w:t xml:space="preserve">, the </w:t>
      </w:r>
      <w:r>
        <w:t xml:space="preserve">Republic of the </w:t>
      </w:r>
      <w:r w:rsidRPr="00D831E9">
        <w:t>Marshall Islands</w:t>
      </w:r>
      <w:r>
        <w:t xml:space="preserve"> (Marshall Islands)</w:t>
      </w:r>
      <w:r w:rsidRPr="00D831E9">
        <w:t xml:space="preserve">, the </w:t>
      </w:r>
      <w:r>
        <w:t xml:space="preserve">Commonwealth of the </w:t>
      </w:r>
      <w:r w:rsidRPr="00D831E9">
        <w:t>Northern Mariana Islands</w:t>
      </w:r>
      <w:r>
        <w:t xml:space="preserve"> (Northern Mariana Islands),</w:t>
      </w:r>
      <w:r w:rsidRPr="00D831E9">
        <w:t xml:space="preserve"> and </w:t>
      </w:r>
      <w:r>
        <w:t>the Republic of Palau (</w:t>
      </w:r>
      <w:r w:rsidRPr="00D831E9">
        <w:t>Palau</w:t>
      </w:r>
      <w:r>
        <w:t>)</w:t>
      </w:r>
      <w:r w:rsidRPr="00D831E9">
        <w:t xml:space="preserve"> began reporting in 2006. </w:t>
      </w:r>
      <w:r>
        <w:t xml:space="preserve">The </w:t>
      </w:r>
      <w:r w:rsidR="00CB7124" w:rsidRPr="00115C56">
        <w:rPr>
          <w:i/>
        </w:rPr>
        <w:t xml:space="preserve">Higher Education Act </w:t>
      </w:r>
      <w:r w:rsidR="00CB7124">
        <w:t>(</w:t>
      </w:r>
      <w:r w:rsidRPr="00431260">
        <w:rPr>
          <w:i/>
        </w:rPr>
        <w:t>HEA</w:t>
      </w:r>
      <w:r w:rsidR="00CB7124">
        <w:rPr>
          <w:i/>
        </w:rPr>
        <w:t>)</w:t>
      </w:r>
      <w:r>
        <w:t xml:space="preserve"> defines all of these jurisdictions as </w:t>
      </w:r>
      <w:r w:rsidRPr="00115C56">
        <w:rPr>
          <w:i/>
        </w:rPr>
        <w:t>states</w:t>
      </w:r>
      <w:r>
        <w:t xml:space="preserve">, and for the purposes of this report, the term </w:t>
      </w:r>
      <w:r w:rsidRPr="00115C56">
        <w:rPr>
          <w:i/>
        </w:rPr>
        <w:t>state</w:t>
      </w:r>
      <w:r>
        <w:t xml:space="preserve"> refers to all of these jurisdictions. </w:t>
      </w:r>
      <w:r w:rsidRPr="00D831E9">
        <w:t xml:space="preserve">Of the 59 </w:t>
      </w:r>
      <w:r>
        <w:t>states</w:t>
      </w:r>
      <w:r w:rsidRPr="00D831E9">
        <w:t xml:space="preserve"> r</w:t>
      </w:r>
      <w:r>
        <w:t>e</w:t>
      </w:r>
      <w:r w:rsidR="000C738D">
        <w:t xml:space="preserve">quired to report, all </w:t>
      </w:r>
      <w:r w:rsidR="00006152">
        <w:t xml:space="preserve">59 </w:t>
      </w:r>
      <w:r w:rsidRPr="00D831E9">
        <w:t xml:space="preserve">complied with </w:t>
      </w:r>
      <w:r>
        <w:t xml:space="preserve">the </w:t>
      </w:r>
      <w:r w:rsidRPr="00D831E9">
        <w:t xml:space="preserve">reporting requirements by submitting </w:t>
      </w:r>
      <w:r w:rsidR="000C738D">
        <w:t xml:space="preserve">State Report Cards </w:t>
      </w:r>
      <w:r>
        <w:t>in 201</w:t>
      </w:r>
      <w:r w:rsidR="00615A68">
        <w:t>6</w:t>
      </w:r>
      <w:r>
        <w:t xml:space="preserve">. </w:t>
      </w:r>
      <w:bookmarkStart w:id="2" w:name="_Toc329857458"/>
    </w:p>
    <w:p w14:paraId="3701900F" w14:textId="6488D215" w:rsidR="00206503" w:rsidRPr="00206503" w:rsidRDefault="002D4F62" w:rsidP="00206503">
      <w:pPr>
        <w:pStyle w:val="Heading3"/>
        <w:spacing w:before="360"/>
      </w:pPr>
      <w:r>
        <w:t>Selected</w:t>
      </w:r>
      <w:r w:rsidR="00F204C1">
        <w:t xml:space="preserve"> Findings from 2016</w:t>
      </w:r>
      <w:r w:rsidR="00F73B6B">
        <w:t xml:space="preserve"> State Reports</w:t>
      </w:r>
      <w:bookmarkEnd w:id="2"/>
      <w:r w:rsidR="00F73B6B">
        <w:t xml:space="preserve"> </w:t>
      </w:r>
    </w:p>
    <w:p w14:paraId="4394B700" w14:textId="77777777" w:rsidR="00206503" w:rsidRPr="00E752A2" w:rsidRDefault="00206503" w:rsidP="00206503">
      <w:pPr>
        <w:pStyle w:val="Heading4"/>
      </w:pPr>
      <w:r w:rsidRPr="00E752A2">
        <w:t xml:space="preserve">Teacher Preparation </w:t>
      </w:r>
      <w:r>
        <w:t>Providers and Programs</w:t>
      </w:r>
    </w:p>
    <w:p w14:paraId="3B3D5092" w14:textId="77777777" w:rsidR="00206503" w:rsidRPr="007B4C67" w:rsidRDefault="00206503" w:rsidP="00206503">
      <w:pPr>
        <w:pStyle w:val="ListParagraph"/>
        <w:numPr>
          <w:ilvl w:val="0"/>
          <w:numId w:val="5"/>
        </w:numPr>
        <w:jc w:val="both"/>
      </w:pPr>
      <w:r>
        <w:t xml:space="preserve">In 2016, states reported data on 2,139 teacher preparation providers. </w:t>
      </w:r>
    </w:p>
    <w:p w14:paraId="3A48B526" w14:textId="359047E5" w:rsidR="00206503" w:rsidRDefault="00206503" w:rsidP="00206503">
      <w:pPr>
        <w:pStyle w:val="ListParagraph"/>
        <w:numPr>
          <w:ilvl w:val="0"/>
          <w:numId w:val="5"/>
        </w:numPr>
        <w:jc w:val="both"/>
      </w:pPr>
      <w:r w:rsidRPr="005006C1">
        <w:t>States reported three types of teacher preparation providers</w:t>
      </w:r>
      <w:r>
        <w:t>: 1,</w:t>
      </w:r>
      <w:r w:rsidRPr="00384333">
        <w:t>480</w:t>
      </w:r>
      <w:r>
        <w:t xml:space="preserve"> (</w:t>
      </w:r>
      <w:r w:rsidRPr="00384333">
        <w:t>69</w:t>
      </w:r>
      <w:r>
        <w:t xml:space="preserve"> percent) </w:t>
      </w:r>
      <w:r w:rsidRPr="005006C1">
        <w:t>traditional te</w:t>
      </w:r>
      <w:r>
        <w:t xml:space="preserve">acher preparation providers, </w:t>
      </w:r>
      <w:r w:rsidRPr="00384333">
        <w:t>45</w:t>
      </w:r>
      <w:r>
        <w:t>5 (</w:t>
      </w:r>
      <w:r w:rsidRPr="00384333">
        <w:t>21</w:t>
      </w:r>
      <w:r>
        <w:t xml:space="preserve"> percent) </w:t>
      </w:r>
      <w:r w:rsidRPr="005006C1">
        <w:t xml:space="preserve">alternative teacher preparation providers based at </w:t>
      </w:r>
      <w:r w:rsidR="0031028B">
        <w:t>institutions of higher education (</w:t>
      </w:r>
      <w:r w:rsidRPr="005006C1">
        <w:t>IHEs</w:t>
      </w:r>
      <w:r w:rsidR="0031028B">
        <w:t>)</w:t>
      </w:r>
      <w:r>
        <w:t>,</w:t>
      </w:r>
      <w:r w:rsidRPr="005006C1">
        <w:t xml:space="preserve"> </w:t>
      </w:r>
      <w:r>
        <w:t xml:space="preserve">and </w:t>
      </w:r>
      <w:r w:rsidRPr="00384333">
        <w:t>20</w:t>
      </w:r>
      <w:r>
        <w:t>4 (</w:t>
      </w:r>
      <w:r w:rsidRPr="00384333">
        <w:t>10</w:t>
      </w:r>
      <w:r>
        <w:t xml:space="preserve"> percent) </w:t>
      </w:r>
      <w:r w:rsidRPr="005006C1">
        <w:t>alternative teacher preparation pro</w:t>
      </w:r>
      <w:r>
        <w:t>viders not based at IHEs</w:t>
      </w:r>
      <w:r w:rsidRPr="005006C1">
        <w:t xml:space="preserve">. </w:t>
      </w:r>
    </w:p>
    <w:p w14:paraId="125A50EB" w14:textId="6AE91850" w:rsidR="00206503" w:rsidRPr="00710E7C" w:rsidRDefault="00206503" w:rsidP="00206503">
      <w:pPr>
        <w:pStyle w:val="ListParagraph"/>
        <w:numPr>
          <w:ilvl w:val="0"/>
          <w:numId w:val="5"/>
        </w:numPr>
        <w:jc w:val="both"/>
      </w:pPr>
      <w:r w:rsidRPr="00710E7C">
        <w:t xml:space="preserve">States also reported the number of individual programs within each teacher preparation provider. Individual programs prepare prospective teachers for the specific level or content area in which they plan to teach, such as elementary education, special education, mathematics, English, or science. </w:t>
      </w:r>
      <w:r>
        <w:t xml:space="preserve">States reported 27,568 teacher preparation programs in 2016. </w:t>
      </w:r>
    </w:p>
    <w:p w14:paraId="2DDF003E" w14:textId="299154F1" w:rsidR="00206503" w:rsidRDefault="00206503" w:rsidP="00206503">
      <w:pPr>
        <w:pStyle w:val="ListParagraph"/>
        <w:numPr>
          <w:ilvl w:val="0"/>
          <w:numId w:val="5"/>
        </w:numPr>
        <w:jc w:val="both"/>
      </w:pPr>
      <w:r>
        <w:t>Of the 27,568</w:t>
      </w:r>
      <w:r w:rsidRPr="00710E7C">
        <w:t xml:space="preserve"> teacher prepa</w:t>
      </w:r>
      <w:r>
        <w:t>ration programs reported in 2016</w:t>
      </w:r>
      <w:r w:rsidR="00D86964">
        <w:t>,</w:t>
      </w:r>
      <w:r>
        <w:t xml:space="preserve"> </w:t>
      </w:r>
      <w:r w:rsidRPr="00384333">
        <w:t>19</w:t>
      </w:r>
      <w:r>
        <w:t>,</w:t>
      </w:r>
      <w:r w:rsidRPr="00384333">
        <w:t>2</w:t>
      </w:r>
      <w:r>
        <w:t>60 (</w:t>
      </w:r>
      <w:r w:rsidRPr="00384333">
        <w:t>70</w:t>
      </w:r>
      <w:r>
        <w:t xml:space="preserve"> percent) are </w:t>
      </w:r>
      <w:r w:rsidRPr="00710E7C">
        <w:t>based in traditional teac</w:t>
      </w:r>
      <w:r>
        <w:t>her preparation providers</w:t>
      </w:r>
      <w:r w:rsidR="00D86964">
        <w:t>,</w:t>
      </w:r>
      <w:r>
        <w:t xml:space="preserve"> </w:t>
      </w:r>
      <w:r w:rsidRPr="00384333">
        <w:t>5</w:t>
      </w:r>
      <w:r>
        <w:t>,</w:t>
      </w:r>
      <w:r w:rsidRPr="00384333">
        <w:t>158</w:t>
      </w:r>
      <w:r>
        <w:t xml:space="preserve"> (</w:t>
      </w:r>
      <w:r w:rsidRPr="00384333">
        <w:t>19</w:t>
      </w:r>
      <w:r>
        <w:t xml:space="preserve"> percent) are </w:t>
      </w:r>
      <w:r w:rsidRPr="00710E7C">
        <w:t>based in alternative teacher preparation providers base</w:t>
      </w:r>
      <w:r>
        <w:t>d at IHEs</w:t>
      </w:r>
      <w:r w:rsidR="00D86964">
        <w:t>,</w:t>
      </w:r>
      <w:r>
        <w:t xml:space="preserve"> and </w:t>
      </w:r>
      <w:r w:rsidRPr="00384333">
        <w:t>3</w:t>
      </w:r>
      <w:r>
        <w:t>,</w:t>
      </w:r>
      <w:r w:rsidRPr="00384333">
        <w:t>150</w:t>
      </w:r>
      <w:r>
        <w:t xml:space="preserve"> (</w:t>
      </w:r>
      <w:r w:rsidRPr="00384333">
        <w:t>11</w:t>
      </w:r>
      <w:r>
        <w:t xml:space="preserve"> percent) are </w:t>
      </w:r>
      <w:r w:rsidRPr="00710E7C">
        <w:t>based in alternative teacher preparation providers not based at IHEs.</w:t>
      </w:r>
      <w:r>
        <w:tab/>
      </w:r>
    </w:p>
    <w:p w14:paraId="5F191F31" w14:textId="77777777" w:rsidR="00206503" w:rsidRPr="009B3B92" w:rsidRDefault="00206503" w:rsidP="00206503">
      <w:r>
        <w:rPr>
          <w:noProof/>
        </w:rPr>
        <w:lastRenderedPageBreak/>
        <w:drawing>
          <wp:inline distT="0" distB="0" distL="0" distR="0" wp14:anchorId="61CE7E61" wp14:editId="2AC54575">
            <wp:extent cx="5919470" cy="3270250"/>
            <wp:effectExtent l="0" t="0" r="5080" b="6350"/>
            <wp:docPr id="6" name="Chart 6">
              <a:extLst xmlns:a="http://schemas.openxmlformats.org/drawingml/2006/main">
                <a:ext uri="{FF2B5EF4-FFF2-40B4-BE49-F238E27FC236}">
                  <a16:creationId xmlns:a16="http://schemas.microsoft.com/office/drawing/2014/main" id="{1FECEEFF-7A8E-4DDC-9C63-F6CEE20EFE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80FDC7" w14:textId="77777777" w:rsidR="00206503" w:rsidRDefault="00206503" w:rsidP="000C738D">
      <w:pPr>
        <w:spacing w:before="120" w:after="0"/>
        <w:rPr>
          <w:rFonts w:asciiTheme="majorHAnsi" w:hAnsiTheme="majorHAnsi"/>
          <w:b/>
          <w:bCs/>
          <w:i/>
          <w:color w:val="4F81BD" w:themeColor="accent1"/>
        </w:rPr>
      </w:pPr>
    </w:p>
    <w:p w14:paraId="4731C5D0" w14:textId="77777777" w:rsidR="00F44F4B" w:rsidRPr="004C69F7" w:rsidRDefault="000C738D" w:rsidP="000C738D">
      <w:pPr>
        <w:spacing w:before="120" w:after="0"/>
        <w:rPr>
          <w:b/>
          <w:bCs/>
          <w:i/>
          <w:iCs/>
        </w:rPr>
      </w:pPr>
      <w:r>
        <w:rPr>
          <w:rFonts w:asciiTheme="majorHAnsi" w:hAnsiTheme="majorHAnsi"/>
          <w:b/>
          <w:bCs/>
          <w:i/>
          <w:color w:val="4F81BD" w:themeColor="accent1"/>
        </w:rPr>
        <w:t xml:space="preserve">Teacher Preparation Program Enrollment </w:t>
      </w:r>
    </w:p>
    <w:p w14:paraId="5B7EA370" w14:textId="3AD829BE" w:rsidR="00DA5442" w:rsidRDefault="00F204C1" w:rsidP="00C5442C">
      <w:pPr>
        <w:numPr>
          <w:ilvl w:val="0"/>
          <w:numId w:val="2"/>
        </w:numPr>
        <w:spacing w:after="0"/>
      </w:pPr>
      <w:r>
        <w:t>For</w:t>
      </w:r>
      <w:r w:rsidR="00DA5442" w:rsidRPr="004C69F7">
        <w:t xml:space="preserve"> Title II reporting purposes,</w:t>
      </w:r>
      <w:r w:rsidR="002554F3">
        <w:t xml:space="preserve"> an</w:t>
      </w:r>
      <w:r w:rsidR="00DA5442" w:rsidRPr="004C69F7">
        <w:t xml:space="preserve"> </w:t>
      </w:r>
      <w:r w:rsidR="00DA5442" w:rsidRPr="00115C56">
        <w:rPr>
          <w:i/>
        </w:rPr>
        <w:t>enrolled student</w:t>
      </w:r>
      <w:r w:rsidR="00DA5442" w:rsidRPr="004C69F7">
        <w:t xml:space="preserve"> </w:t>
      </w:r>
      <w:r w:rsidR="00DB1789">
        <w:t xml:space="preserve">is </w:t>
      </w:r>
      <w:r w:rsidR="00DA5442" w:rsidRPr="004C69F7">
        <w:t xml:space="preserve">an individual </w:t>
      </w:r>
      <w:r w:rsidR="002554F3">
        <w:t>admitted</w:t>
      </w:r>
      <w:r w:rsidR="00DA5442" w:rsidRPr="004C69F7">
        <w:t xml:space="preserve"> into a teacher preparation program</w:t>
      </w:r>
      <w:r w:rsidR="002554F3">
        <w:t xml:space="preserve"> who</w:t>
      </w:r>
      <w:r w:rsidR="00DA5442" w:rsidRPr="004C69F7">
        <w:t xml:space="preserve"> has not yet completed the program. In applying this definition, individuals who completed the program within the academic year being reported are counted as program completers, and are not included in the enrollment count.</w:t>
      </w:r>
    </w:p>
    <w:p w14:paraId="2450E897" w14:textId="60AF5AC0" w:rsidR="00F44F4B" w:rsidRPr="00382FCE" w:rsidRDefault="00F44F4B" w:rsidP="00C5442C">
      <w:pPr>
        <w:numPr>
          <w:ilvl w:val="0"/>
          <w:numId w:val="2"/>
        </w:numPr>
        <w:spacing w:after="0"/>
      </w:pPr>
      <w:r w:rsidRPr="004C69F7">
        <w:t xml:space="preserve">During academic </w:t>
      </w:r>
      <w:r w:rsidRPr="00382FCE">
        <w:t xml:space="preserve">year (AY) </w:t>
      </w:r>
      <w:r w:rsidR="000C738D" w:rsidRPr="00382FCE">
        <w:t>201</w:t>
      </w:r>
      <w:r w:rsidR="00853D59" w:rsidRPr="00382FCE">
        <w:t>4</w:t>
      </w:r>
      <w:r w:rsidR="000C738D" w:rsidRPr="00382FCE">
        <w:t>–1</w:t>
      </w:r>
      <w:r w:rsidR="00853D59" w:rsidRPr="00382FCE">
        <w:t>5</w:t>
      </w:r>
      <w:r w:rsidRPr="00382FCE">
        <w:t>, teacher preparation programs</w:t>
      </w:r>
      <w:r w:rsidR="008804C7" w:rsidRPr="008804C7">
        <w:t xml:space="preserve"> </w:t>
      </w:r>
      <w:r w:rsidR="008804C7">
        <w:t xml:space="preserve">enrolled </w:t>
      </w:r>
      <w:r w:rsidR="008804C7" w:rsidRPr="00382FCE">
        <w:t>436,160 individuals</w:t>
      </w:r>
      <w:r w:rsidRPr="00382FCE">
        <w:t>, a</w:t>
      </w:r>
      <w:r w:rsidR="002D4F62" w:rsidRPr="00382FCE">
        <w:t xml:space="preserve"> </w:t>
      </w:r>
      <w:r w:rsidR="006A6CBB">
        <w:t>6</w:t>
      </w:r>
      <w:r w:rsidR="00BA0A1B">
        <w:t xml:space="preserve"> </w:t>
      </w:r>
      <w:r w:rsidRPr="00382FCE">
        <w:t xml:space="preserve">percent </w:t>
      </w:r>
      <w:r w:rsidR="00FF5C8D" w:rsidRPr="00382FCE">
        <w:t>decrease</w:t>
      </w:r>
      <w:r w:rsidRPr="00382FCE">
        <w:t xml:space="preserve"> from </w:t>
      </w:r>
      <w:r w:rsidR="00FF5C8D" w:rsidRPr="00382FCE">
        <w:t>465,189</w:t>
      </w:r>
      <w:r w:rsidRPr="00382FCE">
        <w:t xml:space="preserve"> individuals enrolled in AY </w:t>
      </w:r>
      <w:r w:rsidR="000C738D" w:rsidRPr="00382FCE">
        <w:t>201</w:t>
      </w:r>
      <w:r w:rsidR="00FC1E7F" w:rsidRPr="00382FCE">
        <w:t>3</w:t>
      </w:r>
      <w:r w:rsidR="000C738D" w:rsidRPr="00382FCE">
        <w:t>–1</w:t>
      </w:r>
      <w:r w:rsidR="00FC1E7F" w:rsidRPr="00382FCE">
        <w:t>4</w:t>
      </w:r>
      <w:r w:rsidRPr="00382FCE">
        <w:t>.</w:t>
      </w:r>
      <w:r w:rsidR="002D4F62" w:rsidRPr="00382FCE">
        <w:t xml:space="preserve"> </w:t>
      </w:r>
    </w:p>
    <w:p w14:paraId="4EF7A7B8" w14:textId="51055721" w:rsidR="00F44F4B" w:rsidRPr="00382FCE" w:rsidRDefault="004D1BD3" w:rsidP="00C5442C">
      <w:pPr>
        <w:numPr>
          <w:ilvl w:val="1"/>
          <w:numId w:val="2"/>
        </w:numPr>
        <w:spacing w:after="0"/>
      </w:pPr>
      <w:r>
        <w:t xml:space="preserve">Traditional teacher preparation programs enrolled </w:t>
      </w:r>
      <w:r w:rsidRPr="00382FCE">
        <w:t xml:space="preserve">357,449 individuals (82 percent) in AY 2014–15, a </w:t>
      </w:r>
      <w:r w:rsidR="00DB1789" w:rsidRPr="00382FCE">
        <w:t>1</w:t>
      </w:r>
      <w:r w:rsidR="00DB1789">
        <w:t>0</w:t>
      </w:r>
      <w:r w:rsidR="00DB1789" w:rsidRPr="00382FCE">
        <w:t xml:space="preserve"> </w:t>
      </w:r>
      <w:r w:rsidRPr="00382FCE">
        <w:t>percent decrease from 397,386 individuals enrolled in traditional programs in AY 2013–14.</w:t>
      </w:r>
    </w:p>
    <w:p w14:paraId="0DEA26E6" w14:textId="4058CBE6" w:rsidR="00F44F4B" w:rsidRPr="00382FCE" w:rsidRDefault="00D86964" w:rsidP="00C5442C">
      <w:pPr>
        <w:numPr>
          <w:ilvl w:val="1"/>
          <w:numId w:val="2"/>
        </w:numPr>
        <w:spacing w:after="0"/>
      </w:pPr>
      <w:r>
        <w:t>A</w:t>
      </w:r>
      <w:r w:rsidRPr="00382FCE">
        <w:t>lternative</w:t>
      </w:r>
      <w:r>
        <w:t>-</w:t>
      </w:r>
      <w:r w:rsidRPr="00382FCE">
        <w:t xml:space="preserve">route teacher preparation programs based at IHEs </w:t>
      </w:r>
      <w:r>
        <w:t xml:space="preserve">enrolled </w:t>
      </w:r>
      <w:r w:rsidR="00AD5899" w:rsidRPr="00382FCE">
        <w:t xml:space="preserve">25,941 </w:t>
      </w:r>
      <w:r w:rsidR="00F44F4B" w:rsidRPr="00382FCE">
        <w:t xml:space="preserve">individuals </w:t>
      </w:r>
      <w:r w:rsidR="00AD5899" w:rsidRPr="00382FCE">
        <w:t xml:space="preserve">(6 </w:t>
      </w:r>
      <w:r w:rsidR="00F44F4B" w:rsidRPr="00382FCE">
        <w:t xml:space="preserve">percent) in AY </w:t>
      </w:r>
      <w:r w:rsidR="000C738D" w:rsidRPr="00382FCE">
        <w:t>201</w:t>
      </w:r>
      <w:r w:rsidR="00AD5899" w:rsidRPr="00382FCE">
        <w:t>4</w:t>
      </w:r>
      <w:r w:rsidR="000C738D" w:rsidRPr="00382FCE">
        <w:t>–1</w:t>
      </w:r>
      <w:r w:rsidR="00AD5899" w:rsidRPr="00382FCE">
        <w:t>5</w:t>
      </w:r>
      <w:r w:rsidR="00F44F4B" w:rsidRPr="00382FCE">
        <w:t xml:space="preserve">, a </w:t>
      </w:r>
      <w:r w:rsidR="004E58CA" w:rsidRPr="00382FCE">
        <w:t>2</w:t>
      </w:r>
      <w:r w:rsidR="00AD5899" w:rsidRPr="00382FCE">
        <w:t xml:space="preserve"> </w:t>
      </w:r>
      <w:r w:rsidR="00F44F4B" w:rsidRPr="00382FCE">
        <w:t xml:space="preserve">percent </w:t>
      </w:r>
      <w:r w:rsidR="004E58CA" w:rsidRPr="00382FCE">
        <w:t>de</w:t>
      </w:r>
      <w:r w:rsidR="00F44F4B" w:rsidRPr="00382FCE">
        <w:t xml:space="preserve">crease from </w:t>
      </w:r>
      <w:r w:rsidR="004E58CA" w:rsidRPr="00382FCE">
        <w:t>26,362</w:t>
      </w:r>
      <w:r w:rsidR="00AD5899" w:rsidRPr="00382FCE">
        <w:t xml:space="preserve"> </w:t>
      </w:r>
      <w:r w:rsidR="00F44F4B" w:rsidRPr="00382FCE">
        <w:t xml:space="preserve">individuals enrolled in AY </w:t>
      </w:r>
      <w:r w:rsidR="000C738D" w:rsidRPr="00382FCE">
        <w:t>201</w:t>
      </w:r>
      <w:r w:rsidR="00AD5899" w:rsidRPr="00382FCE">
        <w:t>3</w:t>
      </w:r>
      <w:r w:rsidR="000C738D" w:rsidRPr="00382FCE">
        <w:t>–1</w:t>
      </w:r>
      <w:r w:rsidR="00AD5899" w:rsidRPr="00382FCE">
        <w:t>4</w:t>
      </w:r>
      <w:r w:rsidR="00F44F4B" w:rsidRPr="00382FCE">
        <w:t>.</w:t>
      </w:r>
    </w:p>
    <w:p w14:paraId="6AE2EBFE" w14:textId="69C1CE59" w:rsidR="00F73B6B" w:rsidRPr="00382FCE" w:rsidRDefault="00D86964" w:rsidP="000C738D">
      <w:pPr>
        <w:numPr>
          <w:ilvl w:val="1"/>
          <w:numId w:val="2"/>
        </w:numPr>
        <w:spacing w:after="0"/>
      </w:pPr>
      <w:r>
        <w:t>A</w:t>
      </w:r>
      <w:r w:rsidRPr="00382FCE">
        <w:t>lternative</w:t>
      </w:r>
      <w:r>
        <w:t>-</w:t>
      </w:r>
      <w:r w:rsidRPr="00382FCE">
        <w:t>route teacher preparation programs not based at IHEs</w:t>
      </w:r>
      <w:r>
        <w:t xml:space="preserve"> enrolled</w:t>
      </w:r>
      <w:r w:rsidRPr="00382FCE">
        <w:t xml:space="preserve"> </w:t>
      </w:r>
      <w:r w:rsidR="00AD5899" w:rsidRPr="00382FCE">
        <w:t>52,770 individuals</w:t>
      </w:r>
      <w:r w:rsidR="00F44F4B" w:rsidRPr="00382FCE">
        <w:t xml:space="preserve"> (1</w:t>
      </w:r>
      <w:r w:rsidR="00AD5899" w:rsidRPr="00382FCE">
        <w:t>2</w:t>
      </w:r>
      <w:r w:rsidR="00F44F4B" w:rsidRPr="00382FCE">
        <w:t xml:space="preserve"> percent) in AY </w:t>
      </w:r>
      <w:r w:rsidR="000C738D" w:rsidRPr="00382FCE">
        <w:t>201</w:t>
      </w:r>
      <w:r w:rsidR="00AD5899" w:rsidRPr="00382FCE">
        <w:t>4</w:t>
      </w:r>
      <w:r w:rsidR="000C738D" w:rsidRPr="00382FCE">
        <w:t>–1</w:t>
      </w:r>
      <w:r w:rsidR="00AD5899" w:rsidRPr="00382FCE">
        <w:t>5</w:t>
      </w:r>
      <w:r w:rsidR="00F44F4B" w:rsidRPr="00382FCE">
        <w:t xml:space="preserve">, a </w:t>
      </w:r>
      <w:r w:rsidR="00AD5899" w:rsidRPr="00382FCE">
        <w:t>2</w:t>
      </w:r>
      <w:r w:rsidR="004274DD">
        <w:t>7</w:t>
      </w:r>
      <w:r w:rsidR="00F44F4B" w:rsidRPr="00382FCE">
        <w:t xml:space="preserve"> percent increase from </w:t>
      </w:r>
      <w:r w:rsidR="00AD5899" w:rsidRPr="00382FCE">
        <w:t xml:space="preserve">41,441 </w:t>
      </w:r>
      <w:r w:rsidR="00F44F4B" w:rsidRPr="00382FCE">
        <w:t xml:space="preserve">individuals enrolled in AY </w:t>
      </w:r>
      <w:r w:rsidR="000C738D" w:rsidRPr="00382FCE">
        <w:t>201</w:t>
      </w:r>
      <w:r w:rsidR="00AD5899" w:rsidRPr="00382FCE">
        <w:t>3</w:t>
      </w:r>
      <w:r w:rsidR="000C738D" w:rsidRPr="00382FCE">
        <w:t>–1</w:t>
      </w:r>
      <w:r w:rsidR="00AD5899" w:rsidRPr="00382FCE">
        <w:t>4</w:t>
      </w:r>
      <w:r w:rsidR="00F44F4B" w:rsidRPr="00382FCE">
        <w:t>.</w:t>
      </w:r>
    </w:p>
    <w:p w14:paraId="1E845015" w14:textId="53C3F659" w:rsidR="002D4F62" w:rsidRDefault="0031028B" w:rsidP="00CD270E">
      <w:pPr>
        <w:numPr>
          <w:ilvl w:val="0"/>
          <w:numId w:val="2"/>
        </w:numPr>
        <w:spacing w:after="0"/>
      </w:pPr>
      <w:r>
        <w:t>Overall</w:t>
      </w:r>
      <w:r w:rsidR="001D56B6">
        <w:t>,</w:t>
      </w:r>
      <w:r>
        <w:t xml:space="preserve"> t</w:t>
      </w:r>
      <w:r w:rsidR="00CD270E" w:rsidRPr="00382FCE">
        <w:t>eacher preparation program enrollment has been decreasing since AY</w:t>
      </w:r>
      <w:r w:rsidR="00CD270E">
        <w:t xml:space="preserve"> 2009–10, with the most </w:t>
      </w:r>
      <w:r>
        <w:t xml:space="preserve">substantial </w:t>
      </w:r>
      <w:r w:rsidR="00CD270E">
        <w:t xml:space="preserve">decrease between </w:t>
      </w:r>
      <w:r w:rsidR="00CD270E" w:rsidRPr="004C69F7">
        <w:t xml:space="preserve">AY </w:t>
      </w:r>
      <w:r w:rsidR="00CD270E">
        <w:t>2011–12 and</w:t>
      </w:r>
      <w:r w:rsidR="00CD270E" w:rsidRPr="00CD270E">
        <w:t xml:space="preserve"> </w:t>
      </w:r>
      <w:r w:rsidR="00CD270E" w:rsidRPr="004C69F7">
        <w:t xml:space="preserve">AY </w:t>
      </w:r>
      <w:r w:rsidR="00CD270E">
        <w:t>2012–13.</w:t>
      </w:r>
      <w:r w:rsidR="004274DD">
        <w:t xml:space="preserve"> Appendix A </w:t>
      </w:r>
      <w:r w:rsidR="00A34189">
        <w:t>discusses the trend of decreasing</w:t>
      </w:r>
      <w:r w:rsidR="004274DD">
        <w:t xml:space="preserve"> enrollment. </w:t>
      </w:r>
    </w:p>
    <w:p w14:paraId="5501032E" w14:textId="538634AC" w:rsidR="00F44F4B" w:rsidRPr="004C69F7" w:rsidRDefault="002626F8" w:rsidP="00FE40ED">
      <w:r>
        <w:rPr>
          <w:noProof/>
        </w:rPr>
        <w:lastRenderedPageBreak/>
        <w:drawing>
          <wp:inline distT="0" distB="0" distL="0" distR="0" wp14:anchorId="5E9F9CAC" wp14:editId="453A7741">
            <wp:extent cx="6115050" cy="4914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578DAC" w14:textId="77777777" w:rsidR="00206503" w:rsidRPr="000C738D" w:rsidRDefault="00206503" w:rsidP="00206503">
      <w:pPr>
        <w:spacing w:after="0"/>
        <w:rPr>
          <w:rFonts w:asciiTheme="majorHAnsi" w:hAnsiTheme="majorHAnsi"/>
          <w:b/>
          <w:bCs/>
          <w:i/>
          <w:color w:val="4F81BD" w:themeColor="accent1"/>
        </w:rPr>
      </w:pPr>
      <w:r>
        <w:rPr>
          <w:rFonts w:asciiTheme="majorHAnsi" w:hAnsiTheme="majorHAnsi"/>
          <w:b/>
          <w:bCs/>
          <w:i/>
          <w:color w:val="4F81BD" w:themeColor="accent1"/>
        </w:rPr>
        <w:t xml:space="preserve">Teacher Preparation Program </w:t>
      </w:r>
      <w:r w:rsidRPr="00F73B6B">
        <w:rPr>
          <w:rFonts w:asciiTheme="majorHAnsi" w:hAnsiTheme="majorHAnsi"/>
          <w:b/>
          <w:bCs/>
          <w:i/>
          <w:color w:val="4F81BD" w:themeColor="accent1"/>
        </w:rPr>
        <w:t>Completers</w:t>
      </w:r>
    </w:p>
    <w:p w14:paraId="50E2B1E9" w14:textId="057BCC78" w:rsidR="00206503" w:rsidRPr="00F204C1" w:rsidRDefault="00206503" w:rsidP="00206503">
      <w:pPr>
        <w:numPr>
          <w:ilvl w:val="0"/>
          <w:numId w:val="3"/>
        </w:numPr>
        <w:spacing w:after="0"/>
      </w:pPr>
      <w:r w:rsidRPr="004C69F7">
        <w:t xml:space="preserve">Teacher preparation </w:t>
      </w:r>
      <w:r w:rsidRPr="00F204C1">
        <w:t>programs prepared a total of 172,150 completers in AY 2014–15. This</w:t>
      </w:r>
      <w:r w:rsidR="001D56B6">
        <w:t xml:space="preserve"> completion rate</w:t>
      </w:r>
      <w:r w:rsidRPr="00F204C1">
        <w:t xml:space="preserve"> represented a decrease of 5 percent from the previous academic year (180,481</w:t>
      </w:r>
      <w:r w:rsidRPr="00F204C1" w:rsidDel="0025063B">
        <w:t xml:space="preserve"> </w:t>
      </w:r>
      <w:r w:rsidRPr="00F204C1">
        <w:t>in AY 2013–14).</w:t>
      </w:r>
    </w:p>
    <w:p w14:paraId="23D01ADA" w14:textId="6D76C140" w:rsidR="00206503" w:rsidRPr="00F204C1" w:rsidRDefault="00206503" w:rsidP="00206503">
      <w:pPr>
        <w:numPr>
          <w:ilvl w:val="1"/>
          <w:numId w:val="3"/>
        </w:numPr>
        <w:spacing w:after="0"/>
      </w:pPr>
      <w:r w:rsidRPr="00F204C1">
        <w:t>Traditional teacher preparation programs prepared 139,443 completers in AY 2014–15</w:t>
      </w:r>
      <w:r w:rsidR="008804C7">
        <w:t>, representing a</w:t>
      </w:r>
      <w:r w:rsidRPr="00F204C1">
        <w:t xml:space="preserve"> 7 percent </w:t>
      </w:r>
      <w:r w:rsidR="00752AD1">
        <w:t xml:space="preserve">decrease </w:t>
      </w:r>
      <w:r w:rsidRPr="00F204C1">
        <w:t>from the previous academic year (149,331</w:t>
      </w:r>
      <w:r w:rsidRPr="00F204C1" w:rsidDel="0025063B">
        <w:t xml:space="preserve"> </w:t>
      </w:r>
      <w:r w:rsidRPr="00F204C1">
        <w:t>in AY 2013–14).</w:t>
      </w:r>
    </w:p>
    <w:p w14:paraId="01A2E38F" w14:textId="321E1737" w:rsidR="00206503" w:rsidRPr="00F204C1" w:rsidRDefault="00206503" w:rsidP="00206503">
      <w:pPr>
        <w:numPr>
          <w:ilvl w:val="1"/>
          <w:numId w:val="3"/>
        </w:numPr>
        <w:spacing w:after="0"/>
      </w:pPr>
      <w:r w:rsidRPr="00F204C1">
        <w:t>Alternative</w:t>
      </w:r>
      <w:r w:rsidR="001D56B6">
        <w:t>-</w:t>
      </w:r>
      <w:r w:rsidRPr="00F204C1">
        <w:t>route teacher preparation programs based at IHEs prepared 12,689 completers in AY 2014–15</w:t>
      </w:r>
      <w:r w:rsidR="008804C7">
        <w:t>, representing a</w:t>
      </w:r>
      <w:r w:rsidRPr="00F204C1">
        <w:t xml:space="preserve"> 2 percent </w:t>
      </w:r>
      <w:r w:rsidR="008804C7">
        <w:t xml:space="preserve">decrease </w:t>
      </w:r>
      <w:r w:rsidRPr="00F204C1">
        <w:t>from the previous academic year (12,927</w:t>
      </w:r>
      <w:r w:rsidRPr="00F204C1" w:rsidDel="003B7A91">
        <w:t xml:space="preserve"> </w:t>
      </w:r>
      <w:r w:rsidRPr="00F204C1">
        <w:t>in AY 2013–14).</w:t>
      </w:r>
    </w:p>
    <w:p w14:paraId="61008790" w14:textId="6738C06C" w:rsidR="00206503" w:rsidRPr="00F204C1" w:rsidRDefault="00206503" w:rsidP="00206503">
      <w:pPr>
        <w:numPr>
          <w:ilvl w:val="1"/>
          <w:numId w:val="3"/>
        </w:numPr>
        <w:spacing w:after="0"/>
      </w:pPr>
      <w:r w:rsidRPr="00F204C1">
        <w:t>Alternativ</w:t>
      </w:r>
      <w:r w:rsidR="00F968F2">
        <w:t>e</w:t>
      </w:r>
      <w:r w:rsidR="001D56B6">
        <w:t>-</w:t>
      </w:r>
      <w:r w:rsidRPr="00F204C1">
        <w:t>route teacher preparation programs not based at IHEs prepared 20,018 completers in AY 2014–15</w:t>
      </w:r>
      <w:r w:rsidR="008804C7">
        <w:t>, representing a</w:t>
      </w:r>
      <w:r w:rsidRPr="00F204C1">
        <w:t xml:space="preserve"> </w:t>
      </w:r>
      <w:r w:rsidR="004B1109">
        <w:t>10</w:t>
      </w:r>
      <w:r w:rsidR="004B1109" w:rsidRPr="00F204C1">
        <w:t xml:space="preserve"> </w:t>
      </w:r>
      <w:r w:rsidRPr="00F204C1">
        <w:t>percent</w:t>
      </w:r>
      <w:r w:rsidR="008804C7">
        <w:t xml:space="preserve"> increase</w:t>
      </w:r>
      <w:r w:rsidRPr="00F204C1">
        <w:t xml:space="preserve"> from the previous academic year (18,223</w:t>
      </w:r>
      <w:r w:rsidRPr="00F204C1" w:rsidDel="003B7A91">
        <w:t xml:space="preserve"> </w:t>
      </w:r>
      <w:r w:rsidRPr="00F204C1">
        <w:t>in AY 2013–14).</w:t>
      </w:r>
    </w:p>
    <w:p w14:paraId="5E44AD85" w14:textId="77777777" w:rsidR="00206503" w:rsidRDefault="00206503" w:rsidP="00206503">
      <w:pPr>
        <w:spacing w:after="0"/>
      </w:pPr>
      <w:r>
        <w:rPr>
          <w:noProof/>
        </w:rPr>
        <w:lastRenderedPageBreak/>
        <w:drawing>
          <wp:inline distT="0" distB="0" distL="0" distR="0" wp14:anchorId="49B43E59" wp14:editId="45192563">
            <wp:extent cx="5943600" cy="48006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C1AC66" w14:textId="77777777" w:rsidR="00206503" w:rsidRDefault="00206503" w:rsidP="00432BDC">
      <w:pPr>
        <w:spacing w:after="120"/>
        <w:ind w:left="720"/>
        <w:jc w:val="center"/>
      </w:pPr>
    </w:p>
    <w:p w14:paraId="1FFF79CE" w14:textId="60D24A22" w:rsidR="00206503" w:rsidRPr="00057573" w:rsidRDefault="001E7256" w:rsidP="00206503">
      <w:pPr>
        <w:pStyle w:val="Heading4"/>
        <w:spacing w:before="0"/>
      </w:pPr>
      <w:r>
        <w:t>Individuals Earning an Initial Teaching Credential</w:t>
      </w:r>
    </w:p>
    <w:p w14:paraId="26F0A8E2" w14:textId="5EB68ABD" w:rsidR="00206503" w:rsidRPr="00F204C1" w:rsidRDefault="00206503" w:rsidP="00206503">
      <w:pPr>
        <w:pStyle w:val="ListParagraph"/>
        <w:numPr>
          <w:ilvl w:val="0"/>
          <w:numId w:val="1"/>
        </w:numPr>
        <w:spacing w:after="0"/>
        <w:jc w:val="both"/>
        <w:rPr>
          <w:i/>
        </w:rPr>
      </w:pPr>
      <w:r w:rsidRPr="008C433B">
        <w:t xml:space="preserve">States reported </w:t>
      </w:r>
      <w:r w:rsidRPr="00F204C1">
        <w:t xml:space="preserve">the total number of </w:t>
      </w:r>
      <w:r w:rsidR="001D56B6">
        <w:t>individuals</w:t>
      </w:r>
      <w:r w:rsidR="001D56B6" w:rsidRPr="00F204C1">
        <w:t xml:space="preserve"> </w:t>
      </w:r>
      <w:r w:rsidRPr="00F204C1">
        <w:t xml:space="preserve">receiving an initial teaching credential in the state and the subset of those </w:t>
      </w:r>
      <w:r w:rsidR="001D56B6">
        <w:t>individuals</w:t>
      </w:r>
      <w:r w:rsidR="001D56B6" w:rsidRPr="00F204C1">
        <w:t xml:space="preserve"> </w:t>
      </w:r>
      <w:r w:rsidRPr="00F204C1">
        <w:t>who completed their teacher preparation in another state.</w:t>
      </w:r>
    </w:p>
    <w:p w14:paraId="798B9FCB" w14:textId="77777777" w:rsidR="00206503" w:rsidRPr="00F204C1" w:rsidRDefault="00206503" w:rsidP="00206503">
      <w:pPr>
        <w:numPr>
          <w:ilvl w:val="0"/>
          <w:numId w:val="1"/>
        </w:numPr>
        <w:spacing w:after="0"/>
      </w:pPr>
      <w:r w:rsidRPr="00F204C1">
        <w:t>In AY 2014–15, states reported a total of 248,499 individuals receiving initial teaching credentials, which represented a 3 percent decrease from the previous academic year (254,963 in AY 2013–14).</w:t>
      </w:r>
    </w:p>
    <w:p w14:paraId="7C7E29B3" w14:textId="2097B624" w:rsidR="00206503" w:rsidRPr="00F204C1" w:rsidRDefault="00206503" w:rsidP="00115C56">
      <w:pPr>
        <w:pStyle w:val="ListParagraph"/>
        <w:numPr>
          <w:ilvl w:val="1"/>
          <w:numId w:val="1"/>
        </w:numPr>
        <w:spacing w:after="0"/>
      </w:pPr>
      <w:r w:rsidRPr="00F204C1">
        <w:t xml:space="preserve">In AY 2014–15, 79 percent (196,330) of </w:t>
      </w:r>
      <w:r w:rsidR="001D56B6">
        <w:t>individuals</w:t>
      </w:r>
      <w:r w:rsidR="001D56B6" w:rsidRPr="00F204C1">
        <w:t xml:space="preserve"> </w:t>
      </w:r>
      <w:r w:rsidRPr="00F204C1">
        <w:t>receiving an initial credential completed their teacher preparation in the same state in which they earned their credential</w:t>
      </w:r>
      <w:r w:rsidR="00CB4DFB">
        <w:t>;</w:t>
      </w:r>
      <w:r w:rsidRPr="00F204C1">
        <w:t xml:space="preserve"> 21 percent (52,169) completed their teacher preparation in another state. This distribution </w:t>
      </w:r>
      <w:r w:rsidR="009E5059">
        <w:t>was similar to</w:t>
      </w:r>
      <w:r w:rsidRPr="00F204C1">
        <w:t xml:space="preserve"> AY 2013–14, when 78 percent (198,482) of </w:t>
      </w:r>
      <w:r w:rsidR="001D56B6">
        <w:t>individuals</w:t>
      </w:r>
      <w:r w:rsidR="001D56B6" w:rsidRPr="00F204C1">
        <w:t xml:space="preserve"> </w:t>
      </w:r>
      <w:r w:rsidRPr="00F204C1">
        <w:t>receiving an initial teaching credential completed their teacher preparation in the same state in which they earned their credential, and 22 percent (56,481) completed their teacher preparation in another state.</w:t>
      </w:r>
    </w:p>
    <w:p w14:paraId="0F12BB15" w14:textId="77777777" w:rsidR="00206503" w:rsidRDefault="00206503" w:rsidP="00206503">
      <w:pPr>
        <w:pStyle w:val="ListParagraph"/>
        <w:spacing w:after="0"/>
        <w:ind w:left="1440"/>
        <w:jc w:val="both"/>
      </w:pPr>
    </w:p>
    <w:p w14:paraId="770659E9" w14:textId="4B4123B1" w:rsidR="00206503" w:rsidRDefault="00206503" w:rsidP="001E7256">
      <w:r w:rsidRPr="00BA3C97">
        <w:rPr>
          <w:rFonts w:asciiTheme="majorHAnsi" w:eastAsiaTheme="majorEastAsia" w:hAnsiTheme="majorHAnsi" w:cstheme="majorBidi"/>
          <w:noProof/>
          <w:color w:val="4F81BD" w:themeColor="accent1"/>
          <w:sz w:val="26"/>
          <w:szCs w:val="26"/>
        </w:rPr>
        <w:lastRenderedPageBreak/>
        <w:drawing>
          <wp:inline distT="0" distB="0" distL="0" distR="0" wp14:anchorId="09E77D50" wp14:editId="70AF5844">
            <wp:extent cx="6048375" cy="30956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30A41" w14:textId="77777777" w:rsidR="001E7256" w:rsidRPr="001E7256" w:rsidRDefault="001E7256" w:rsidP="004B3BAC">
      <w:pPr>
        <w:spacing w:after="120"/>
        <w:jc w:val="center"/>
        <w:rPr>
          <w:sz w:val="16"/>
          <w:szCs w:val="16"/>
        </w:rPr>
      </w:pPr>
    </w:p>
    <w:p w14:paraId="22E3D57A" w14:textId="7DA084BD" w:rsidR="00F44F4B" w:rsidRPr="00206503" w:rsidRDefault="001E7256" w:rsidP="00206503">
      <w:pPr>
        <w:pStyle w:val="Heading4"/>
      </w:pPr>
      <w:r>
        <w:t>Demographics of Individuals Enrolled in Teacher Preparation Programs</w:t>
      </w:r>
    </w:p>
    <w:p w14:paraId="19817407" w14:textId="77777777" w:rsidR="00912B7D" w:rsidRPr="004C69F7" w:rsidRDefault="00912B7D" w:rsidP="00912B7D">
      <w:pPr>
        <w:spacing w:after="0"/>
        <w:jc w:val="center"/>
      </w:pPr>
    </w:p>
    <w:p w14:paraId="164CE7B1" w14:textId="02E8F574" w:rsidR="00F44F4B" w:rsidRPr="00CD270E" w:rsidRDefault="00F44F4B" w:rsidP="00CD270E">
      <w:pPr>
        <w:numPr>
          <w:ilvl w:val="0"/>
          <w:numId w:val="2"/>
        </w:numPr>
      </w:pPr>
      <w:r w:rsidRPr="007A72D7">
        <w:rPr>
          <w:bCs/>
        </w:rPr>
        <w:t xml:space="preserve">In </w:t>
      </w:r>
      <w:r w:rsidRPr="00F204C1">
        <w:rPr>
          <w:bCs/>
        </w:rPr>
        <w:t xml:space="preserve">AY </w:t>
      </w:r>
      <w:r w:rsidR="000C738D" w:rsidRPr="00F204C1">
        <w:rPr>
          <w:bCs/>
        </w:rPr>
        <w:t>201</w:t>
      </w:r>
      <w:r w:rsidR="00775C2B" w:rsidRPr="00F204C1">
        <w:rPr>
          <w:bCs/>
        </w:rPr>
        <w:t>4</w:t>
      </w:r>
      <w:r w:rsidR="000C738D" w:rsidRPr="00F204C1">
        <w:rPr>
          <w:bCs/>
        </w:rPr>
        <w:t>–1</w:t>
      </w:r>
      <w:r w:rsidR="00775C2B" w:rsidRPr="00F204C1">
        <w:rPr>
          <w:bCs/>
        </w:rPr>
        <w:t>5</w:t>
      </w:r>
      <w:r w:rsidRPr="00F204C1">
        <w:rPr>
          <w:bCs/>
        </w:rPr>
        <w:t>, 7</w:t>
      </w:r>
      <w:r w:rsidR="00E82A44" w:rsidRPr="00F204C1">
        <w:rPr>
          <w:bCs/>
        </w:rPr>
        <w:t>6</w:t>
      </w:r>
      <w:r w:rsidRPr="00F204C1">
        <w:rPr>
          <w:bCs/>
        </w:rPr>
        <w:t xml:space="preserve"> percent of individuals enrolled in teacher preparati</w:t>
      </w:r>
      <w:r w:rsidR="00CD270E" w:rsidRPr="00F204C1">
        <w:rPr>
          <w:bCs/>
        </w:rPr>
        <w:t xml:space="preserve">on programs </w:t>
      </w:r>
      <w:r w:rsidR="001926DE">
        <w:rPr>
          <w:bCs/>
        </w:rPr>
        <w:t>who reported their gender</w:t>
      </w:r>
      <w:r w:rsidR="001926DE">
        <w:rPr>
          <w:rStyle w:val="FootnoteReference"/>
          <w:bCs/>
        </w:rPr>
        <w:footnoteReference w:id="1"/>
      </w:r>
      <w:r w:rsidR="001926DE">
        <w:rPr>
          <w:bCs/>
        </w:rPr>
        <w:t xml:space="preserve"> </w:t>
      </w:r>
      <w:r w:rsidR="00CD270E" w:rsidRPr="00F204C1">
        <w:rPr>
          <w:bCs/>
        </w:rPr>
        <w:t>were female (</w:t>
      </w:r>
      <w:r w:rsidR="00775C2B" w:rsidRPr="00F204C1">
        <w:rPr>
          <w:bCs/>
        </w:rPr>
        <w:t>325,242</w:t>
      </w:r>
      <w:r w:rsidRPr="00F204C1">
        <w:rPr>
          <w:bCs/>
        </w:rPr>
        <w:t xml:space="preserve">) </w:t>
      </w:r>
      <w:r w:rsidR="00CD270E" w:rsidRPr="00F204C1">
        <w:rPr>
          <w:bCs/>
        </w:rPr>
        <w:t>and 2</w:t>
      </w:r>
      <w:r w:rsidR="00E82A44" w:rsidRPr="00F204C1">
        <w:rPr>
          <w:bCs/>
        </w:rPr>
        <w:t>4</w:t>
      </w:r>
      <w:r w:rsidR="00CD270E" w:rsidRPr="00F204C1">
        <w:rPr>
          <w:bCs/>
        </w:rPr>
        <w:t xml:space="preserve"> percent were male (</w:t>
      </w:r>
      <w:r w:rsidR="00775C2B" w:rsidRPr="00F204C1">
        <w:rPr>
          <w:bCs/>
        </w:rPr>
        <w:t>105,444</w:t>
      </w:r>
      <w:r w:rsidRPr="00F204C1">
        <w:rPr>
          <w:bCs/>
        </w:rPr>
        <w:t xml:space="preserve">). This distribution </w:t>
      </w:r>
      <w:r w:rsidR="005A0391" w:rsidRPr="00F204C1">
        <w:rPr>
          <w:bCs/>
        </w:rPr>
        <w:t xml:space="preserve">was </w:t>
      </w:r>
      <w:r w:rsidR="009E5059">
        <w:rPr>
          <w:bCs/>
        </w:rPr>
        <w:t xml:space="preserve">similar </w:t>
      </w:r>
      <w:r w:rsidRPr="00F204C1">
        <w:rPr>
          <w:bCs/>
        </w:rPr>
        <w:t xml:space="preserve">to AY </w:t>
      </w:r>
      <w:r w:rsidR="000C738D" w:rsidRPr="00F204C1">
        <w:rPr>
          <w:bCs/>
        </w:rPr>
        <w:t>201</w:t>
      </w:r>
      <w:r w:rsidR="00775C2B" w:rsidRPr="00F204C1">
        <w:rPr>
          <w:bCs/>
        </w:rPr>
        <w:t>3</w:t>
      </w:r>
      <w:r w:rsidR="000C738D" w:rsidRPr="00F204C1">
        <w:rPr>
          <w:bCs/>
        </w:rPr>
        <w:t>–1</w:t>
      </w:r>
      <w:r w:rsidR="00775C2B" w:rsidRPr="00F204C1">
        <w:rPr>
          <w:bCs/>
        </w:rPr>
        <w:t>4</w:t>
      </w:r>
      <w:r w:rsidRPr="00F204C1">
        <w:rPr>
          <w:bCs/>
        </w:rPr>
        <w:t>, when 76 percent of individuals enrolled in teacher preparati</w:t>
      </w:r>
      <w:r w:rsidR="00CD270E" w:rsidRPr="00F204C1">
        <w:rPr>
          <w:bCs/>
        </w:rPr>
        <w:t xml:space="preserve">on programs </w:t>
      </w:r>
      <w:r w:rsidR="001926DE">
        <w:rPr>
          <w:bCs/>
        </w:rPr>
        <w:t>who reported their gender</w:t>
      </w:r>
      <w:r w:rsidR="001926DE">
        <w:rPr>
          <w:rStyle w:val="FootnoteReference"/>
          <w:bCs/>
        </w:rPr>
        <w:footnoteReference w:id="2"/>
      </w:r>
      <w:r w:rsidR="001926DE">
        <w:rPr>
          <w:bCs/>
        </w:rPr>
        <w:t xml:space="preserve"> </w:t>
      </w:r>
      <w:r w:rsidR="00CD270E" w:rsidRPr="00F204C1">
        <w:rPr>
          <w:bCs/>
        </w:rPr>
        <w:t>were female (</w:t>
      </w:r>
      <w:r w:rsidR="00775C2B" w:rsidRPr="00F204C1">
        <w:rPr>
          <w:bCs/>
        </w:rPr>
        <w:t>3</w:t>
      </w:r>
      <w:r w:rsidR="001D4C9A" w:rsidRPr="00F204C1">
        <w:rPr>
          <w:bCs/>
        </w:rPr>
        <w:t>47</w:t>
      </w:r>
      <w:r w:rsidR="00775C2B" w:rsidRPr="00F204C1">
        <w:rPr>
          <w:bCs/>
        </w:rPr>
        <w:t>,</w:t>
      </w:r>
      <w:r w:rsidR="001D4C9A" w:rsidRPr="00F204C1">
        <w:rPr>
          <w:bCs/>
        </w:rPr>
        <w:t>210</w:t>
      </w:r>
      <w:r w:rsidRPr="00F204C1">
        <w:rPr>
          <w:bCs/>
        </w:rPr>
        <w:t>) a</w:t>
      </w:r>
      <w:r w:rsidR="00CD270E" w:rsidRPr="00F204C1">
        <w:rPr>
          <w:bCs/>
        </w:rPr>
        <w:t>nd 24 percent were male (</w:t>
      </w:r>
      <w:r w:rsidR="001D4C9A" w:rsidRPr="00F204C1">
        <w:rPr>
          <w:bCs/>
        </w:rPr>
        <w:t>109,622</w:t>
      </w:r>
      <w:r w:rsidRPr="00F204C1">
        <w:rPr>
          <w:bCs/>
        </w:rPr>
        <w:t>).</w:t>
      </w:r>
    </w:p>
    <w:p w14:paraId="1F613F27" w14:textId="77777777" w:rsidR="00F44F4B" w:rsidRDefault="00E82A44" w:rsidP="00CD270E">
      <w:pPr>
        <w:ind w:left="720"/>
        <w:jc w:val="center"/>
      </w:pPr>
      <w:r>
        <w:rPr>
          <w:noProof/>
        </w:rPr>
        <w:drawing>
          <wp:inline distT="0" distB="0" distL="0" distR="0" wp14:anchorId="41C916AD" wp14:editId="67D75710">
            <wp:extent cx="4572000" cy="2305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1C0F1A" w14:textId="4FCCCA59" w:rsidR="001926DE" w:rsidRPr="004B3BAC" w:rsidRDefault="001926DE" w:rsidP="004B3BAC">
      <w:pPr>
        <w:spacing w:line="240" w:lineRule="auto"/>
        <w:ind w:left="720"/>
        <w:rPr>
          <w:sz w:val="16"/>
          <w:szCs w:val="16"/>
        </w:rPr>
      </w:pPr>
      <w:r w:rsidRPr="004B3BAC">
        <w:rPr>
          <w:sz w:val="16"/>
          <w:szCs w:val="16"/>
        </w:rPr>
        <w:lastRenderedPageBreak/>
        <w:t xml:space="preserve">Note: This figure presents data on the </w:t>
      </w:r>
      <w:r w:rsidR="004A4EED">
        <w:rPr>
          <w:sz w:val="16"/>
          <w:szCs w:val="16"/>
        </w:rPr>
        <w:t>430,686</w:t>
      </w:r>
      <w:r w:rsidR="007055F9">
        <w:rPr>
          <w:sz w:val="16"/>
          <w:szCs w:val="16"/>
        </w:rPr>
        <w:t xml:space="preserve"> </w:t>
      </w:r>
      <w:r w:rsidRPr="004B3BAC">
        <w:rPr>
          <w:sz w:val="16"/>
          <w:szCs w:val="16"/>
        </w:rPr>
        <w:t xml:space="preserve">individuals who were enrolled in teacher preparation programs and who reported their gender in AY 2014 – 15. </w:t>
      </w:r>
      <w:r w:rsidR="00E2679E">
        <w:rPr>
          <w:sz w:val="16"/>
          <w:szCs w:val="16"/>
        </w:rPr>
        <w:t>The 1 percent of i</w:t>
      </w:r>
      <w:r w:rsidRPr="004B3BAC">
        <w:rPr>
          <w:sz w:val="16"/>
          <w:szCs w:val="16"/>
        </w:rPr>
        <w:t>ndividuals enrolled in teacher preparation programs who did not report their gender were excluded from the calculations.</w:t>
      </w:r>
    </w:p>
    <w:p w14:paraId="4C50089D" w14:textId="58FFE42C" w:rsidR="00F827E5" w:rsidRPr="00F827E5" w:rsidRDefault="00F827E5" w:rsidP="00D011D1">
      <w:pPr>
        <w:numPr>
          <w:ilvl w:val="0"/>
          <w:numId w:val="2"/>
        </w:numPr>
        <w:spacing w:after="120"/>
      </w:pPr>
      <w:r w:rsidRPr="00F827E5">
        <w:rPr>
          <w:bCs/>
        </w:rPr>
        <w:t xml:space="preserve">There </w:t>
      </w:r>
      <w:r w:rsidRPr="00F827E5">
        <w:rPr>
          <w:rFonts w:cs="Times New Roman"/>
        </w:rPr>
        <w:t xml:space="preserve">has been little change in the gender distribution </w:t>
      </w:r>
      <w:r>
        <w:rPr>
          <w:rFonts w:cs="Times New Roman"/>
        </w:rPr>
        <w:t xml:space="preserve">of individuals enrolled </w:t>
      </w:r>
      <w:r w:rsidRPr="00F827E5">
        <w:rPr>
          <w:rFonts w:cs="Times New Roman"/>
        </w:rPr>
        <w:t xml:space="preserve">in teacher preparation programs </w:t>
      </w:r>
      <w:r w:rsidR="000E1F2D">
        <w:rPr>
          <w:rFonts w:cs="Times New Roman"/>
        </w:rPr>
        <w:t>during</w:t>
      </w:r>
      <w:r w:rsidR="000E1F2D" w:rsidRPr="00F827E5">
        <w:rPr>
          <w:rFonts w:cs="Times New Roman"/>
        </w:rPr>
        <w:t xml:space="preserve"> </w:t>
      </w:r>
      <w:r w:rsidRPr="00F827E5">
        <w:rPr>
          <w:rFonts w:cs="Times New Roman"/>
        </w:rPr>
        <w:t xml:space="preserve">the last </w:t>
      </w:r>
      <w:r w:rsidR="000E1F2D">
        <w:rPr>
          <w:rFonts w:cs="Times New Roman"/>
        </w:rPr>
        <w:t>5</w:t>
      </w:r>
      <w:r w:rsidR="000E1F2D" w:rsidRPr="00F827E5">
        <w:rPr>
          <w:rFonts w:cs="Times New Roman"/>
        </w:rPr>
        <w:t xml:space="preserve"> </w:t>
      </w:r>
      <w:r w:rsidRPr="00F827E5">
        <w:rPr>
          <w:rFonts w:cs="Times New Roman"/>
        </w:rPr>
        <w:t xml:space="preserve">years. The enrollment of females and males has remained relatively constant since </w:t>
      </w:r>
      <w:r>
        <w:rPr>
          <w:rFonts w:cs="Times New Roman"/>
        </w:rPr>
        <w:t xml:space="preserve">AY </w:t>
      </w:r>
      <w:r w:rsidRPr="00F827E5">
        <w:rPr>
          <w:rFonts w:cs="Times New Roman"/>
        </w:rPr>
        <w:t>2011</w:t>
      </w:r>
      <w:r w:rsidR="000E1F2D">
        <w:rPr>
          <w:rFonts w:cs="Times New Roman"/>
        </w:rPr>
        <w:t>–</w:t>
      </w:r>
      <w:r w:rsidRPr="00F827E5">
        <w:rPr>
          <w:rFonts w:cs="Times New Roman"/>
        </w:rPr>
        <w:t>12 at 76</w:t>
      </w:r>
      <w:r>
        <w:rPr>
          <w:rFonts w:cs="Times New Roman"/>
        </w:rPr>
        <w:t xml:space="preserve"> percent</w:t>
      </w:r>
      <w:r w:rsidRPr="00F827E5">
        <w:rPr>
          <w:rFonts w:cs="Times New Roman"/>
        </w:rPr>
        <w:t xml:space="preserve"> and 24</w:t>
      </w:r>
      <w:r>
        <w:rPr>
          <w:rFonts w:cs="Times New Roman"/>
        </w:rPr>
        <w:t xml:space="preserve"> percent</w:t>
      </w:r>
      <w:r w:rsidRPr="00F827E5">
        <w:rPr>
          <w:rFonts w:cs="Times New Roman"/>
        </w:rPr>
        <w:t>, respectively</w:t>
      </w:r>
      <w:r>
        <w:rPr>
          <w:rFonts w:cs="Times New Roman"/>
        </w:rPr>
        <w:t>.</w:t>
      </w:r>
    </w:p>
    <w:p w14:paraId="2B6DE9F9" w14:textId="32B5CF5F" w:rsidR="00F827E5" w:rsidRDefault="00F827E5" w:rsidP="00F827E5">
      <w:pPr>
        <w:ind w:left="360"/>
      </w:pPr>
      <w:r>
        <w:rPr>
          <w:noProof/>
        </w:rPr>
        <w:drawing>
          <wp:inline distT="0" distB="0" distL="0" distR="0" wp14:anchorId="03E14828" wp14:editId="336D72F3">
            <wp:extent cx="5514975" cy="227647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1B5553" w14:textId="76D160BC" w:rsidR="001926DE" w:rsidRDefault="001926DE" w:rsidP="00D011D1">
      <w:pPr>
        <w:spacing w:after="120" w:line="240" w:lineRule="auto"/>
        <w:ind w:left="720"/>
        <w:rPr>
          <w:sz w:val="16"/>
          <w:szCs w:val="16"/>
        </w:rPr>
      </w:pPr>
      <w:r w:rsidRPr="00D9761D">
        <w:rPr>
          <w:sz w:val="16"/>
          <w:szCs w:val="16"/>
        </w:rPr>
        <w:t xml:space="preserve">Note: </w:t>
      </w:r>
      <w:r w:rsidR="004E654E" w:rsidRPr="004E654E">
        <w:rPr>
          <w:sz w:val="16"/>
          <w:szCs w:val="16"/>
        </w:rPr>
        <w:t>This figure presents data on the individuals who were enrolled in teacher preparation programs and who reported their gender. Individuals enrolled in teacher preparation programs who did not report their gender were excluded from the calculations. In AY 2014 – 15, states did not report gender data for 5,474 individuals, or 1 percent of all individuals enrolled in teacher preparation programs. In AY 2013 – 14, states did not report gender data for 8,357 individuals, or 2 percent of all individuals enrolled in teacher preparation programs. In AY 2012 – 13, states did not report gender data for 5,847 individuals, or 1 percent of all individuals enrolled in teacher preparation programs. In AY 2011 – 12, states did not report gender data for 4,719 individuals, or 1 percent of all individuals enrolled in teacher</w:t>
      </w:r>
      <w:r w:rsidR="004E654E">
        <w:rPr>
          <w:sz w:val="16"/>
          <w:szCs w:val="16"/>
        </w:rPr>
        <w:t xml:space="preserve"> preparation programs. In AY 2010</w:t>
      </w:r>
      <w:r w:rsidR="004E654E" w:rsidRPr="004E654E">
        <w:rPr>
          <w:sz w:val="16"/>
          <w:szCs w:val="16"/>
        </w:rPr>
        <w:t xml:space="preserve"> – 1</w:t>
      </w:r>
      <w:r w:rsidR="004E654E">
        <w:rPr>
          <w:sz w:val="16"/>
          <w:szCs w:val="16"/>
        </w:rPr>
        <w:t>1</w:t>
      </w:r>
      <w:r w:rsidR="004E654E" w:rsidRPr="004E654E">
        <w:rPr>
          <w:sz w:val="16"/>
          <w:szCs w:val="16"/>
        </w:rPr>
        <w:t xml:space="preserve">, states did not report gender data for </w:t>
      </w:r>
      <w:r w:rsidR="004E654E">
        <w:rPr>
          <w:sz w:val="16"/>
          <w:szCs w:val="16"/>
        </w:rPr>
        <w:t>4,385</w:t>
      </w:r>
      <w:r w:rsidR="004E654E" w:rsidRPr="004E654E">
        <w:rPr>
          <w:sz w:val="16"/>
          <w:szCs w:val="16"/>
        </w:rPr>
        <w:t xml:space="preserve"> individuals, or 1 percent of all individuals enrolled in teacher preparation programs.</w:t>
      </w:r>
    </w:p>
    <w:p w14:paraId="4BFD634C" w14:textId="77777777" w:rsidR="00D9761D" w:rsidRPr="00D9761D" w:rsidRDefault="00D9761D" w:rsidP="00D011D1">
      <w:pPr>
        <w:spacing w:after="0" w:line="240" w:lineRule="auto"/>
        <w:ind w:left="720"/>
        <w:rPr>
          <w:sz w:val="16"/>
          <w:szCs w:val="16"/>
        </w:rPr>
      </w:pPr>
    </w:p>
    <w:p w14:paraId="2801810F" w14:textId="721D0D0C" w:rsidR="006200C5" w:rsidRPr="008A01CA" w:rsidRDefault="00CB4DFB" w:rsidP="00DA5442">
      <w:pPr>
        <w:numPr>
          <w:ilvl w:val="0"/>
          <w:numId w:val="2"/>
        </w:numPr>
      </w:pPr>
      <w:r>
        <w:rPr>
          <w:bCs/>
        </w:rPr>
        <w:t xml:space="preserve">Although </w:t>
      </w:r>
      <w:r w:rsidR="006200C5" w:rsidRPr="00126429">
        <w:rPr>
          <w:bCs/>
        </w:rPr>
        <w:t>enrollees in teacher preparation programs are overwhelmingly female, alternative teacher preparation programs tend to attract a higher proportion of males</w:t>
      </w:r>
      <w:r w:rsidR="00233252">
        <w:rPr>
          <w:bCs/>
        </w:rPr>
        <w:t xml:space="preserve"> than do traditional programs</w:t>
      </w:r>
      <w:r w:rsidR="006200C5" w:rsidRPr="00126429">
        <w:rPr>
          <w:bCs/>
        </w:rPr>
        <w:t xml:space="preserve">. </w:t>
      </w:r>
      <w:r w:rsidR="00126429" w:rsidRPr="00126429">
        <w:rPr>
          <w:bCs/>
        </w:rPr>
        <w:t>The percent</w:t>
      </w:r>
      <w:r>
        <w:rPr>
          <w:bCs/>
        </w:rPr>
        <w:t>age</w:t>
      </w:r>
      <w:r w:rsidR="00126429" w:rsidRPr="00126429">
        <w:rPr>
          <w:bCs/>
        </w:rPr>
        <w:t xml:space="preserve"> of males enrolled in alternative teacher prepa</w:t>
      </w:r>
      <w:r w:rsidR="00126429">
        <w:rPr>
          <w:bCs/>
        </w:rPr>
        <w:t xml:space="preserve">ration programs is </w:t>
      </w:r>
      <w:r w:rsidR="004D1BD3">
        <w:rPr>
          <w:bCs/>
        </w:rPr>
        <w:t xml:space="preserve">9 </w:t>
      </w:r>
      <w:r w:rsidR="00126429">
        <w:rPr>
          <w:bCs/>
        </w:rPr>
        <w:t>percent</w:t>
      </w:r>
      <w:r w:rsidR="00126429" w:rsidRPr="00126429">
        <w:rPr>
          <w:bCs/>
        </w:rPr>
        <w:t xml:space="preserve"> </w:t>
      </w:r>
      <w:r w:rsidR="00233252">
        <w:rPr>
          <w:bCs/>
        </w:rPr>
        <w:t xml:space="preserve">points </w:t>
      </w:r>
      <w:r w:rsidR="00126429" w:rsidRPr="00126429">
        <w:rPr>
          <w:bCs/>
        </w:rPr>
        <w:t>greater than those enrolled in traditional programs</w:t>
      </w:r>
      <w:r w:rsidR="00126429" w:rsidRPr="00126429">
        <w:rPr>
          <w:rFonts w:cs="Times New Roman"/>
        </w:rPr>
        <w:t>.</w:t>
      </w:r>
    </w:p>
    <w:p w14:paraId="2EE00330" w14:textId="0EF9EB94" w:rsidR="00126429" w:rsidRDefault="008A01CA" w:rsidP="00D011D1">
      <w:pPr>
        <w:spacing w:after="0"/>
        <w:ind w:left="360"/>
      </w:pPr>
      <w:r>
        <w:rPr>
          <w:noProof/>
        </w:rPr>
        <w:lastRenderedPageBreak/>
        <w:drawing>
          <wp:inline distT="0" distB="0" distL="0" distR="0" wp14:anchorId="1B35705A" wp14:editId="0097EC45">
            <wp:extent cx="5486400" cy="25146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7C5E63" w14:textId="383C9DDE" w:rsidR="00115901" w:rsidRPr="00D9761D" w:rsidRDefault="00115901" w:rsidP="001513F1">
      <w:pPr>
        <w:spacing w:after="120" w:line="240" w:lineRule="auto"/>
        <w:ind w:left="720"/>
        <w:rPr>
          <w:sz w:val="16"/>
          <w:szCs w:val="16"/>
        </w:rPr>
      </w:pPr>
      <w:r w:rsidRPr="00D9761D">
        <w:rPr>
          <w:sz w:val="16"/>
          <w:szCs w:val="16"/>
        </w:rPr>
        <w:t xml:space="preserve">Note: This figure presents data on the </w:t>
      </w:r>
      <w:r w:rsidR="006B1007">
        <w:rPr>
          <w:sz w:val="16"/>
          <w:szCs w:val="16"/>
        </w:rPr>
        <w:t>430,686</w:t>
      </w:r>
      <w:r w:rsidR="007055F9">
        <w:rPr>
          <w:sz w:val="16"/>
          <w:szCs w:val="16"/>
        </w:rPr>
        <w:t xml:space="preserve"> </w:t>
      </w:r>
      <w:r w:rsidRPr="00D9761D">
        <w:rPr>
          <w:sz w:val="16"/>
          <w:szCs w:val="16"/>
        </w:rPr>
        <w:t>individuals who were enrolled in teacher preparation programs and</w:t>
      </w:r>
      <w:r w:rsidR="004174E3" w:rsidRPr="00D9761D">
        <w:rPr>
          <w:sz w:val="16"/>
          <w:szCs w:val="16"/>
        </w:rPr>
        <w:t xml:space="preserve"> who reported their gender. The 1 percent of i</w:t>
      </w:r>
      <w:r w:rsidRPr="00D9761D">
        <w:rPr>
          <w:sz w:val="16"/>
          <w:szCs w:val="16"/>
        </w:rPr>
        <w:t>ndividuals enrolled in teacher preparation programs who did not report their gender were excluded from the calculations.</w:t>
      </w:r>
    </w:p>
    <w:p w14:paraId="70C08A70" w14:textId="026EC296" w:rsidR="00F44F4B" w:rsidRPr="00DA5442" w:rsidRDefault="00F44F4B" w:rsidP="00DA5442">
      <w:pPr>
        <w:numPr>
          <w:ilvl w:val="0"/>
          <w:numId w:val="2"/>
        </w:numPr>
      </w:pPr>
      <w:r w:rsidRPr="00F827E5">
        <w:rPr>
          <w:bCs/>
        </w:rPr>
        <w:t xml:space="preserve">In AY </w:t>
      </w:r>
      <w:r w:rsidR="000C738D" w:rsidRPr="00F827E5">
        <w:rPr>
          <w:bCs/>
        </w:rPr>
        <w:t>201</w:t>
      </w:r>
      <w:r w:rsidR="004B5333" w:rsidRPr="00F827E5">
        <w:rPr>
          <w:bCs/>
        </w:rPr>
        <w:t>4</w:t>
      </w:r>
      <w:r w:rsidR="000C738D" w:rsidRPr="00F827E5">
        <w:rPr>
          <w:bCs/>
        </w:rPr>
        <w:t>–1</w:t>
      </w:r>
      <w:r w:rsidR="004B5333" w:rsidRPr="00F827E5">
        <w:rPr>
          <w:bCs/>
        </w:rPr>
        <w:t>5</w:t>
      </w:r>
      <w:r w:rsidR="00B906FF">
        <w:rPr>
          <w:bCs/>
        </w:rPr>
        <w:t>, among</w:t>
      </w:r>
      <w:r w:rsidR="00B906FF" w:rsidRPr="00B906FF">
        <w:rPr>
          <w:bCs/>
        </w:rPr>
        <w:t xml:space="preserve"> </w:t>
      </w:r>
      <w:r w:rsidR="00B906FF" w:rsidRPr="00F827E5">
        <w:rPr>
          <w:bCs/>
        </w:rPr>
        <w:t>individuals enrolled in teacher preparation programs</w:t>
      </w:r>
      <w:r w:rsidR="00115901">
        <w:rPr>
          <w:bCs/>
        </w:rPr>
        <w:t xml:space="preserve"> who reported their race/ethnicity</w:t>
      </w:r>
      <w:r w:rsidR="00115901">
        <w:rPr>
          <w:rStyle w:val="FootnoteReference"/>
          <w:bCs/>
        </w:rPr>
        <w:footnoteReference w:id="3"/>
      </w:r>
      <w:r w:rsidRPr="00F827E5">
        <w:rPr>
          <w:bCs/>
        </w:rPr>
        <w:t>, 7</w:t>
      </w:r>
      <w:r w:rsidR="004B5333" w:rsidRPr="00F827E5">
        <w:rPr>
          <w:bCs/>
        </w:rPr>
        <w:t xml:space="preserve">0 </w:t>
      </w:r>
      <w:r w:rsidRPr="00F827E5">
        <w:rPr>
          <w:bCs/>
        </w:rPr>
        <w:t>percent (2</w:t>
      </w:r>
      <w:r w:rsidR="004B5333" w:rsidRPr="00F827E5">
        <w:rPr>
          <w:bCs/>
        </w:rPr>
        <w:t>77,156</w:t>
      </w:r>
      <w:r w:rsidRPr="00F827E5">
        <w:rPr>
          <w:bCs/>
        </w:rPr>
        <w:t>) identified as White, 1</w:t>
      </w:r>
      <w:r w:rsidR="004B5333" w:rsidRPr="00F827E5">
        <w:rPr>
          <w:bCs/>
        </w:rPr>
        <w:t xml:space="preserve">3 </w:t>
      </w:r>
      <w:r w:rsidRPr="00F827E5">
        <w:rPr>
          <w:bCs/>
        </w:rPr>
        <w:t>percent (</w:t>
      </w:r>
      <w:r w:rsidR="004B5333" w:rsidRPr="00F827E5">
        <w:rPr>
          <w:bCs/>
        </w:rPr>
        <w:t>53,292</w:t>
      </w:r>
      <w:r w:rsidRPr="00F827E5">
        <w:rPr>
          <w:bCs/>
        </w:rPr>
        <w:t xml:space="preserve">) identified as Hispanic, and </w:t>
      </w:r>
      <w:r w:rsidR="004B5333" w:rsidRPr="00F827E5">
        <w:rPr>
          <w:bCs/>
        </w:rPr>
        <w:t>9</w:t>
      </w:r>
      <w:r w:rsidRPr="00F827E5">
        <w:rPr>
          <w:bCs/>
        </w:rPr>
        <w:t xml:space="preserve"> percent (</w:t>
      </w:r>
      <w:r w:rsidR="004B5333" w:rsidRPr="00F827E5">
        <w:rPr>
          <w:bCs/>
        </w:rPr>
        <w:t>36,589</w:t>
      </w:r>
      <w:r w:rsidR="00FE40ED">
        <w:rPr>
          <w:bCs/>
        </w:rPr>
        <w:t>) identified as Black</w:t>
      </w:r>
      <w:r w:rsidRPr="00F204C1">
        <w:rPr>
          <w:bCs/>
        </w:rPr>
        <w:t xml:space="preserve">. </w:t>
      </w:r>
      <w:r w:rsidR="00115901">
        <w:rPr>
          <w:bCs/>
        </w:rPr>
        <w:t>In</w:t>
      </w:r>
      <w:r w:rsidR="004B5333" w:rsidRPr="00F204C1">
        <w:rPr>
          <w:bCs/>
        </w:rPr>
        <w:t xml:space="preserve"> </w:t>
      </w:r>
      <w:r w:rsidRPr="00F204C1">
        <w:rPr>
          <w:bCs/>
        </w:rPr>
        <w:t xml:space="preserve">AY </w:t>
      </w:r>
      <w:r w:rsidR="000C738D" w:rsidRPr="00F204C1">
        <w:rPr>
          <w:bCs/>
        </w:rPr>
        <w:t>201</w:t>
      </w:r>
      <w:r w:rsidR="004B5333" w:rsidRPr="00F204C1">
        <w:rPr>
          <w:bCs/>
        </w:rPr>
        <w:t>3</w:t>
      </w:r>
      <w:r w:rsidR="000C738D" w:rsidRPr="00F204C1">
        <w:rPr>
          <w:bCs/>
        </w:rPr>
        <w:t>–1</w:t>
      </w:r>
      <w:r w:rsidR="004B5333" w:rsidRPr="00F204C1">
        <w:rPr>
          <w:bCs/>
        </w:rPr>
        <w:t>4</w:t>
      </w:r>
      <w:r w:rsidRPr="00F204C1">
        <w:rPr>
          <w:bCs/>
        </w:rPr>
        <w:t>, 7</w:t>
      </w:r>
      <w:r w:rsidR="00500862" w:rsidRPr="00F204C1">
        <w:rPr>
          <w:bCs/>
        </w:rPr>
        <w:t>1</w:t>
      </w:r>
      <w:r w:rsidRPr="00F204C1">
        <w:rPr>
          <w:bCs/>
        </w:rPr>
        <w:t xml:space="preserve"> percent (</w:t>
      </w:r>
      <w:r w:rsidR="00D06B79" w:rsidRPr="00F204C1">
        <w:rPr>
          <w:bCs/>
        </w:rPr>
        <w:t>307,067</w:t>
      </w:r>
      <w:r w:rsidRPr="00F204C1">
        <w:rPr>
          <w:bCs/>
        </w:rPr>
        <w:t>) of individuals enrolled in teacher preparation programs</w:t>
      </w:r>
      <w:r w:rsidR="003250E5">
        <w:rPr>
          <w:bCs/>
        </w:rPr>
        <w:t xml:space="preserve"> </w:t>
      </w:r>
      <w:r w:rsidR="00115901">
        <w:rPr>
          <w:bCs/>
        </w:rPr>
        <w:t>who reported their race/ethnicity</w:t>
      </w:r>
      <w:r w:rsidR="00115901">
        <w:rPr>
          <w:rStyle w:val="FootnoteReference"/>
          <w:bCs/>
        </w:rPr>
        <w:footnoteReference w:id="4"/>
      </w:r>
      <w:r w:rsidR="00115901">
        <w:rPr>
          <w:bCs/>
        </w:rPr>
        <w:t xml:space="preserve"> </w:t>
      </w:r>
      <w:r w:rsidRPr="00F204C1">
        <w:rPr>
          <w:bCs/>
        </w:rPr>
        <w:t xml:space="preserve">identified as White, </w:t>
      </w:r>
      <w:r w:rsidR="004B5333" w:rsidRPr="00F204C1">
        <w:rPr>
          <w:bCs/>
        </w:rPr>
        <w:t>12</w:t>
      </w:r>
      <w:r w:rsidRPr="00F204C1">
        <w:rPr>
          <w:bCs/>
        </w:rPr>
        <w:t xml:space="preserve"> percent (</w:t>
      </w:r>
      <w:r w:rsidR="00D06B79" w:rsidRPr="00F204C1">
        <w:rPr>
          <w:bCs/>
        </w:rPr>
        <w:t>51,536</w:t>
      </w:r>
      <w:r w:rsidRPr="00F204C1">
        <w:rPr>
          <w:bCs/>
        </w:rPr>
        <w:t>) identified as Hispanic, and 1</w:t>
      </w:r>
      <w:r w:rsidR="00500862" w:rsidRPr="00F204C1">
        <w:rPr>
          <w:bCs/>
        </w:rPr>
        <w:t>0</w:t>
      </w:r>
      <w:r w:rsidRPr="00F204C1">
        <w:rPr>
          <w:bCs/>
        </w:rPr>
        <w:t xml:space="preserve"> percent (4</w:t>
      </w:r>
      <w:r w:rsidR="00D06B79" w:rsidRPr="00F204C1">
        <w:rPr>
          <w:bCs/>
        </w:rPr>
        <w:t>4,632</w:t>
      </w:r>
      <w:r w:rsidRPr="00F204C1">
        <w:rPr>
          <w:bCs/>
        </w:rPr>
        <w:t>) identified as Black.</w:t>
      </w:r>
    </w:p>
    <w:p w14:paraId="258BF1A3" w14:textId="77777777" w:rsidR="00F44F4B" w:rsidRDefault="004B5333" w:rsidP="00F44F4B">
      <w:pPr>
        <w:ind w:left="360"/>
        <w:jc w:val="center"/>
      </w:pPr>
      <w:r>
        <w:rPr>
          <w:noProof/>
        </w:rPr>
        <w:lastRenderedPageBreak/>
        <w:drawing>
          <wp:inline distT="0" distB="0" distL="0" distR="0" wp14:anchorId="407C3D34" wp14:editId="02A31992">
            <wp:extent cx="5713046" cy="3141785"/>
            <wp:effectExtent l="0" t="0" r="25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16054CA" w14:textId="784A0C9A" w:rsidR="00115901" w:rsidRPr="00D9761D" w:rsidRDefault="00115901" w:rsidP="00D9761D">
      <w:pPr>
        <w:spacing w:after="120" w:line="240" w:lineRule="auto"/>
        <w:ind w:left="720"/>
        <w:rPr>
          <w:sz w:val="16"/>
          <w:szCs w:val="16"/>
        </w:rPr>
      </w:pPr>
      <w:r w:rsidRPr="00D9761D">
        <w:rPr>
          <w:sz w:val="16"/>
          <w:szCs w:val="16"/>
        </w:rPr>
        <w:t>Note: This figure presents data on the</w:t>
      </w:r>
      <w:r w:rsidR="007055F9">
        <w:rPr>
          <w:sz w:val="16"/>
          <w:szCs w:val="16"/>
        </w:rPr>
        <w:t xml:space="preserve"> </w:t>
      </w:r>
      <w:r w:rsidR="006B1007">
        <w:rPr>
          <w:sz w:val="16"/>
          <w:szCs w:val="16"/>
        </w:rPr>
        <w:t>394,842</w:t>
      </w:r>
      <w:r w:rsidRPr="00D9761D">
        <w:rPr>
          <w:sz w:val="16"/>
          <w:szCs w:val="16"/>
        </w:rPr>
        <w:t xml:space="preserve"> individuals who were enrolled in teacher preparation programs and who reported their race/ethnicity</w:t>
      </w:r>
      <w:r w:rsidR="004174E3" w:rsidRPr="00D9761D">
        <w:rPr>
          <w:sz w:val="16"/>
          <w:szCs w:val="16"/>
        </w:rPr>
        <w:t>. The 9 percent of i</w:t>
      </w:r>
      <w:r w:rsidRPr="00D9761D">
        <w:rPr>
          <w:sz w:val="16"/>
          <w:szCs w:val="16"/>
        </w:rPr>
        <w:t>ndividuals enrolled in teacher preparation programs who did not report their race/ethnicity were excluded from the calculations.</w:t>
      </w:r>
    </w:p>
    <w:p w14:paraId="757129DF" w14:textId="77777777" w:rsidR="00115901" w:rsidRDefault="00115901" w:rsidP="00F81305">
      <w:pPr>
        <w:spacing w:after="0"/>
        <w:ind w:left="360"/>
        <w:jc w:val="center"/>
      </w:pPr>
    </w:p>
    <w:p w14:paraId="46189A9B" w14:textId="3AE7634F" w:rsidR="006200C5" w:rsidRPr="006200C5" w:rsidRDefault="00F81305" w:rsidP="006200C5">
      <w:pPr>
        <w:pStyle w:val="ListParagraph"/>
        <w:numPr>
          <w:ilvl w:val="0"/>
          <w:numId w:val="2"/>
        </w:numPr>
      </w:pPr>
      <w:r>
        <w:t>Based on the individuals enrolled in teacher preparation programs who reported their race/ethnicity,</w:t>
      </w:r>
      <w:r>
        <w:rPr>
          <w:rStyle w:val="FootnoteReference"/>
        </w:rPr>
        <w:footnoteReference w:id="5"/>
      </w:r>
      <w:r>
        <w:t xml:space="preserve"> it appears the</w:t>
      </w:r>
      <w:r w:rsidR="006200C5">
        <w:t xml:space="preserve"> </w:t>
      </w:r>
      <w:r w:rsidR="006200C5" w:rsidRPr="006200C5">
        <w:t xml:space="preserve">field of prospective teachers has become increasingly more diverse </w:t>
      </w:r>
      <w:r w:rsidR="000E1F2D">
        <w:t>in</w:t>
      </w:r>
      <w:r w:rsidR="000E1F2D" w:rsidRPr="006200C5">
        <w:t xml:space="preserve"> </w:t>
      </w:r>
      <w:r w:rsidR="006200C5" w:rsidRPr="006200C5">
        <w:t xml:space="preserve">the past </w:t>
      </w:r>
      <w:r w:rsidR="000E1F2D">
        <w:t>5</w:t>
      </w:r>
      <w:r w:rsidR="000E1F2D" w:rsidRPr="006200C5">
        <w:t xml:space="preserve"> </w:t>
      </w:r>
      <w:r w:rsidR="006200C5" w:rsidRPr="006200C5">
        <w:t xml:space="preserve">years. The </w:t>
      </w:r>
      <w:r w:rsidR="006200C5" w:rsidRPr="006200C5">
        <w:rPr>
          <w:rFonts w:cs="Times New Roman"/>
        </w:rPr>
        <w:t>percentage of minority enrollment in teacher preparation programs has increased every year since AY 2010</w:t>
      </w:r>
      <w:r w:rsidR="000E1F2D">
        <w:rPr>
          <w:rFonts w:cs="Times New Roman"/>
        </w:rPr>
        <w:t>–</w:t>
      </w:r>
      <w:r w:rsidR="006200C5" w:rsidRPr="006200C5">
        <w:rPr>
          <w:rFonts w:cs="Times New Roman"/>
        </w:rPr>
        <w:t>11. The highest percentage of minority enrollment in teacher preparation programs occurred in AY 2014</w:t>
      </w:r>
      <w:r w:rsidR="000E1F2D">
        <w:rPr>
          <w:rFonts w:cs="Times New Roman"/>
        </w:rPr>
        <w:t>–</w:t>
      </w:r>
      <w:r w:rsidR="006200C5" w:rsidRPr="006200C5">
        <w:rPr>
          <w:rFonts w:cs="Times New Roman"/>
        </w:rPr>
        <w:t>15 at 30 percent.</w:t>
      </w:r>
    </w:p>
    <w:p w14:paraId="7E49C7F6" w14:textId="6F8934A1" w:rsidR="006200C5" w:rsidRDefault="006200C5" w:rsidP="00D011D1">
      <w:pPr>
        <w:pStyle w:val="ListParagraph"/>
        <w:ind w:left="180"/>
      </w:pPr>
      <w:r>
        <w:rPr>
          <w:noProof/>
        </w:rPr>
        <w:lastRenderedPageBreak/>
        <w:drawing>
          <wp:inline distT="0" distB="0" distL="0" distR="0" wp14:anchorId="7DB505E3" wp14:editId="4304ADF0">
            <wp:extent cx="5767388" cy="2771775"/>
            <wp:effectExtent l="0" t="0" r="508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8EBF95" w14:textId="4F3032BC" w:rsidR="00F81305" w:rsidRPr="006B1007" w:rsidRDefault="00F81305" w:rsidP="00D011D1">
      <w:pPr>
        <w:spacing w:after="120" w:line="240" w:lineRule="auto"/>
        <w:ind w:left="180"/>
        <w:rPr>
          <w:sz w:val="16"/>
          <w:szCs w:val="16"/>
        </w:rPr>
      </w:pPr>
      <w:r w:rsidRPr="00D9761D">
        <w:rPr>
          <w:sz w:val="16"/>
          <w:szCs w:val="16"/>
        </w:rPr>
        <w:t xml:space="preserve">Note: </w:t>
      </w:r>
      <w:r w:rsidRPr="006B1007">
        <w:rPr>
          <w:sz w:val="16"/>
          <w:szCs w:val="16"/>
        </w:rPr>
        <w:t xml:space="preserve">This figure presents data on the individuals who were enrolled in teacher preparation programs and who reported their race/ethnicity. Individuals enrolled in teacher preparation programs who did not report their race/ethnicity </w:t>
      </w:r>
      <w:r w:rsidRPr="00EF1FB2">
        <w:rPr>
          <w:sz w:val="16"/>
          <w:szCs w:val="16"/>
        </w:rPr>
        <w:t>were excluded from the calculations.</w:t>
      </w:r>
      <w:r w:rsidR="004A4EED" w:rsidRPr="00EF1FB2">
        <w:rPr>
          <w:sz w:val="16"/>
          <w:szCs w:val="16"/>
        </w:rPr>
        <w:t xml:space="preserve"> </w:t>
      </w:r>
      <w:r w:rsidR="006B1007" w:rsidRPr="006B1007">
        <w:rPr>
          <w:sz w:val="16"/>
          <w:szCs w:val="16"/>
        </w:rPr>
        <w:t>In AY 2014 – 15, states did not report race/ethnicity data for 41,318 individuals, or 9 percent of all individuals enrolled in teacher preparation programs. In AY 2013 – 14, states did not report race/ethnicity data for 34,867 individuals, or 7 percent of all individuals enrolled in teacher preparation programs. In AY 2012 – 13, states did not report race/ethnicity data for 28,259 individuals, or 6 percent of all individuals enrolled in teacher preparation programs. In AY 2011 – 12, states did not report race/ethnicity data for 25,950 individuals, or 4 percent of all individuals enrolled in teacher preparation programs. In AY 2010 – 11, states did not report race/ethnicity data for 28,502 individuals, or 4 percent of all individuals enrolled in teacher preparation programs.</w:t>
      </w:r>
    </w:p>
    <w:p w14:paraId="02D431FF" w14:textId="77777777" w:rsidR="00F81305" w:rsidRPr="00EE76AD" w:rsidRDefault="00F81305" w:rsidP="00D9761D">
      <w:pPr>
        <w:pStyle w:val="ListParagraph"/>
        <w:spacing w:after="120"/>
      </w:pPr>
    </w:p>
    <w:p w14:paraId="3B33E52A" w14:textId="77777777" w:rsidR="001E7256" w:rsidRPr="00EF6A98" w:rsidRDefault="001E7256" w:rsidP="001E7256">
      <w:pPr>
        <w:pStyle w:val="Heading4"/>
      </w:pPr>
      <w:r w:rsidRPr="00EF6A98">
        <w:t>Evaluation of Teacher Preparation Programs</w:t>
      </w:r>
    </w:p>
    <w:p w14:paraId="3CEB26B0" w14:textId="77777777" w:rsidR="009F02E7" w:rsidRDefault="009F02E7" w:rsidP="009F02E7">
      <w:pPr>
        <w:pStyle w:val="NoSpacing"/>
        <w:numPr>
          <w:ilvl w:val="0"/>
          <w:numId w:val="1"/>
        </w:numPr>
        <w:spacing w:line="276" w:lineRule="auto"/>
        <w:rPr>
          <w:rFonts w:cs="Calibri"/>
        </w:rPr>
      </w:pPr>
      <w:r>
        <w:rPr>
          <w:rFonts w:cs="Calibri"/>
        </w:rPr>
        <w:t xml:space="preserve">Fourteen </w:t>
      </w:r>
      <w:r w:rsidRPr="002A779B">
        <w:rPr>
          <w:rFonts w:cs="Calibri"/>
        </w:rPr>
        <w:t>states and Puerto Rico reported teacher preparation programs that were low performing or at risk of low performance (</w:t>
      </w:r>
      <w:r w:rsidRPr="00DD3F43">
        <w:rPr>
          <w:rFonts w:cs="Calibri"/>
        </w:rPr>
        <w:t>at</w:t>
      </w:r>
      <w:r>
        <w:rPr>
          <w:rFonts w:cs="Calibri"/>
        </w:rPr>
        <w:t xml:space="preserve"> </w:t>
      </w:r>
      <w:r w:rsidRPr="00DD3F43">
        <w:rPr>
          <w:rFonts w:cs="Calibri"/>
        </w:rPr>
        <w:t xml:space="preserve">risk) in </w:t>
      </w:r>
      <w:r w:rsidRPr="003779A9">
        <w:t>AY 2014</w:t>
      </w:r>
      <w:r>
        <w:t>–</w:t>
      </w:r>
      <w:r w:rsidRPr="003779A9">
        <w:t>15</w:t>
      </w:r>
      <w:r w:rsidRPr="00DD3F43">
        <w:rPr>
          <w:rFonts w:cs="Calibri"/>
        </w:rPr>
        <w:t xml:space="preserve">. </w:t>
      </w:r>
    </w:p>
    <w:p w14:paraId="2437F173" w14:textId="77777777" w:rsidR="009F02E7" w:rsidRPr="00063E71" w:rsidRDefault="009F02E7" w:rsidP="009F02E7">
      <w:pPr>
        <w:pStyle w:val="ListParagraph"/>
        <w:numPr>
          <w:ilvl w:val="0"/>
          <w:numId w:val="1"/>
        </w:numPr>
      </w:pPr>
      <w:r>
        <w:t>Nineteen teacher preparation providers in six states (</w:t>
      </w:r>
      <w:r w:rsidRPr="002A779B">
        <w:t>C</w:t>
      </w:r>
      <w:r>
        <w:t>alifornia</w:t>
      </w:r>
      <w:r w:rsidRPr="002A779B">
        <w:t>,</w:t>
      </w:r>
      <w:r>
        <w:t xml:space="preserve"> Connecticut,</w:t>
      </w:r>
      <w:r w:rsidRPr="002A779B">
        <w:t xml:space="preserve"> M</w:t>
      </w:r>
      <w:r>
        <w:t>aryland</w:t>
      </w:r>
      <w:r w:rsidRPr="002A779B">
        <w:t>, M</w:t>
      </w:r>
      <w:r>
        <w:t>ichigan</w:t>
      </w:r>
      <w:r w:rsidRPr="002A779B">
        <w:t>, N</w:t>
      </w:r>
      <w:r>
        <w:t xml:space="preserve">ew </w:t>
      </w:r>
      <w:r w:rsidRPr="002A779B">
        <w:t>Y</w:t>
      </w:r>
      <w:r>
        <w:t>ork,</w:t>
      </w:r>
      <w:r w:rsidRPr="002A779B">
        <w:t xml:space="preserve"> </w:t>
      </w:r>
      <w:r>
        <w:t xml:space="preserve">and </w:t>
      </w:r>
      <w:r w:rsidRPr="002A779B">
        <w:t>O</w:t>
      </w:r>
      <w:r>
        <w:t>hio) and</w:t>
      </w:r>
      <w:r w:rsidRPr="002A779B">
        <w:t xml:space="preserve"> P</w:t>
      </w:r>
      <w:r>
        <w:t xml:space="preserve">uerto </w:t>
      </w:r>
      <w:r w:rsidRPr="002A779B">
        <w:t>R</w:t>
      </w:r>
      <w:r>
        <w:t xml:space="preserve">ico reported low-performing teacher preparation </w:t>
      </w:r>
      <w:r w:rsidRPr="00063E71">
        <w:t xml:space="preserve">programs in AY </w:t>
      </w:r>
      <w:r>
        <w:t>2014–</w:t>
      </w:r>
      <w:r w:rsidRPr="003779A9">
        <w:t>15</w:t>
      </w:r>
      <w:r>
        <w:t xml:space="preserve">. </w:t>
      </w:r>
    </w:p>
    <w:p w14:paraId="11369582" w14:textId="77777777" w:rsidR="009F02E7" w:rsidRPr="009B3B92" w:rsidRDefault="009F02E7" w:rsidP="009F02E7">
      <w:pPr>
        <w:pStyle w:val="ListParagraph"/>
        <w:numPr>
          <w:ilvl w:val="0"/>
          <w:numId w:val="1"/>
        </w:numPr>
      </w:pPr>
      <w:r>
        <w:t>Thirty-three teacher preparation providers in 10 states (</w:t>
      </w:r>
      <w:r w:rsidRPr="002A779B">
        <w:t>C</w:t>
      </w:r>
      <w:r>
        <w:t>alifornia</w:t>
      </w:r>
      <w:r w:rsidRPr="002A779B">
        <w:t xml:space="preserve">, </w:t>
      </w:r>
      <w:r>
        <w:t xml:space="preserve">Idaho, </w:t>
      </w:r>
      <w:r w:rsidRPr="002A779B">
        <w:t>I</w:t>
      </w:r>
      <w:r>
        <w:t>owa</w:t>
      </w:r>
      <w:r w:rsidRPr="002A779B">
        <w:t>,</w:t>
      </w:r>
      <w:r>
        <w:t xml:space="preserve"> Kansas, </w:t>
      </w:r>
      <w:r w:rsidRPr="002A779B">
        <w:t>K</w:t>
      </w:r>
      <w:r>
        <w:t>entucky</w:t>
      </w:r>
      <w:r w:rsidRPr="002A779B">
        <w:t xml:space="preserve">, </w:t>
      </w:r>
      <w:r>
        <w:t>Michigan,</w:t>
      </w:r>
      <w:r w:rsidRPr="002A779B">
        <w:t xml:space="preserve"> O</w:t>
      </w:r>
      <w:r>
        <w:t>klahoma</w:t>
      </w:r>
      <w:r w:rsidRPr="002A779B">
        <w:t>, S</w:t>
      </w:r>
      <w:r>
        <w:t xml:space="preserve">outh </w:t>
      </w:r>
      <w:r w:rsidRPr="002A779B">
        <w:t>C</w:t>
      </w:r>
      <w:r>
        <w:t>arolina</w:t>
      </w:r>
      <w:r w:rsidRPr="002A779B">
        <w:t>,</w:t>
      </w:r>
      <w:r>
        <w:t xml:space="preserve"> </w:t>
      </w:r>
      <w:r w:rsidRPr="002A779B">
        <w:t>T</w:t>
      </w:r>
      <w:r>
        <w:t xml:space="preserve">exas, and Virginia) and </w:t>
      </w:r>
      <w:r w:rsidRPr="002A779B">
        <w:t>P</w:t>
      </w:r>
      <w:r>
        <w:t xml:space="preserve">uerto </w:t>
      </w:r>
      <w:r w:rsidRPr="002A779B">
        <w:t>R</w:t>
      </w:r>
      <w:r>
        <w:t xml:space="preserve">ico reported </w:t>
      </w:r>
      <w:r w:rsidRPr="00063E71">
        <w:t>at</w:t>
      </w:r>
      <w:r>
        <w:t>-</w:t>
      </w:r>
      <w:r w:rsidRPr="00063E71">
        <w:t xml:space="preserve">risk </w:t>
      </w:r>
      <w:r>
        <w:t xml:space="preserve">teacher preparation programs </w:t>
      </w:r>
      <w:r w:rsidRPr="00063E71">
        <w:t xml:space="preserve">in </w:t>
      </w:r>
      <w:r>
        <w:t>AY 2014–</w:t>
      </w:r>
      <w:r w:rsidRPr="003779A9">
        <w:t>15</w:t>
      </w:r>
      <w:r>
        <w:t xml:space="preserve">. </w:t>
      </w:r>
    </w:p>
    <w:p w14:paraId="76124FB3" w14:textId="77777777" w:rsidR="009F02E7" w:rsidRPr="001E7256" w:rsidRDefault="009F02E7" w:rsidP="009F02E7">
      <w:pPr>
        <w:pStyle w:val="ListParagraph"/>
        <w:numPr>
          <w:ilvl w:val="0"/>
          <w:numId w:val="1"/>
        </w:numPr>
      </w:pPr>
      <w:r>
        <w:rPr>
          <w:rFonts w:cs="Calibri"/>
        </w:rPr>
        <w:t xml:space="preserve">Of the 19 teacher preparation </w:t>
      </w:r>
      <w:r w:rsidRPr="007626DE">
        <w:rPr>
          <w:rFonts w:cs="Calibri"/>
        </w:rPr>
        <w:t>providers with programs designated as low</w:t>
      </w:r>
      <w:r>
        <w:rPr>
          <w:rFonts w:cs="Calibri"/>
        </w:rPr>
        <w:t xml:space="preserve"> </w:t>
      </w:r>
      <w:r w:rsidRPr="007626DE">
        <w:rPr>
          <w:rFonts w:cs="Calibri"/>
        </w:rPr>
        <w:t>performing in AY 201</w:t>
      </w:r>
      <w:r>
        <w:rPr>
          <w:rFonts w:cs="Calibri"/>
        </w:rPr>
        <w:t>4–</w:t>
      </w:r>
      <w:r w:rsidRPr="007626DE">
        <w:rPr>
          <w:rFonts w:cs="Calibri"/>
        </w:rPr>
        <w:t>1</w:t>
      </w:r>
      <w:r>
        <w:rPr>
          <w:rFonts w:cs="Calibri"/>
        </w:rPr>
        <w:t xml:space="preserve">5, 16 </w:t>
      </w:r>
      <w:r w:rsidRPr="007626DE">
        <w:rPr>
          <w:rFonts w:cs="Calibri"/>
        </w:rPr>
        <w:t>were traditional teacher preparation providers</w:t>
      </w:r>
      <w:r>
        <w:rPr>
          <w:rFonts w:cs="Calibri"/>
        </w:rPr>
        <w:t xml:space="preserve"> and three were alternative</w:t>
      </w:r>
      <w:r w:rsidRPr="005006C1">
        <w:t xml:space="preserve"> teacher preparation provider</w:t>
      </w:r>
      <w:r>
        <w:t>s</w:t>
      </w:r>
      <w:r w:rsidRPr="005006C1">
        <w:t xml:space="preserve"> based at IHEs</w:t>
      </w:r>
      <w:r w:rsidRPr="007626DE">
        <w:rPr>
          <w:rFonts w:cs="Calibri"/>
        </w:rPr>
        <w:t>.</w:t>
      </w:r>
      <w:r>
        <w:rPr>
          <w:rFonts w:cs="Calibri"/>
        </w:rPr>
        <w:t xml:space="preserve"> </w:t>
      </w:r>
    </w:p>
    <w:p w14:paraId="37887E10" w14:textId="77777777" w:rsidR="009F02E7" w:rsidRPr="001513F1" w:rsidRDefault="009F02E7" w:rsidP="009F02E7">
      <w:pPr>
        <w:pStyle w:val="ListParagraph"/>
        <w:numPr>
          <w:ilvl w:val="0"/>
          <w:numId w:val="1"/>
        </w:numPr>
        <w:rPr>
          <w:u w:val="single"/>
        </w:rPr>
      </w:pPr>
      <w:r w:rsidRPr="007626DE">
        <w:rPr>
          <w:rFonts w:cs="Calibri"/>
        </w:rPr>
        <w:t xml:space="preserve">Of the </w:t>
      </w:r>
      <w:r>
        <w:rPr>
          <w:rFonts w:cs="Calibri"/>
        </w:rPr>
        <w:t>33 teacher preparation</w:t>
      </w:r>
      <w:r w:rsidRPr="007626DE">
        <w:rPr>
          <w:rFonts w:cs="Calibri"/>
        </w:rPr>
        <w:t xml:space="preserve"> providers with programs designated as at</w:t>
      </w:r>
      <w:r>
        <w:rPr>
          <w:rFonts w:cs="Calibri"/>
        </w:rPr>
        <w:t>-</w:t>
      </w:r>
      <w:r w:rsidRPr="007626DE">
        <w:rPr>
          <w:rFonts w:cs="Calibri"/>
        </w:rPr>
        <w:t>risk in AY 201</w:t>
      </w:r>
      <w:r>
        <w:rPr>
          <w:rFonts w:cs="Calibri"/>
        </w:rPr>
        <w:t>4–</w:t>
      </w:r>
      <w:r w:rsidRPr="007626DE">
        <w:rPr>
          <w:rFonts w:cs="Calibri"/>
        </w:rPr>
        <w:t>1</w:t>
      </w:r>
      <w:r>
        <w:rPr>
          <w:rFonts w:cs="Calibri"/>
        </w:rPr>
        <w:t>5</w:t>
      </w:r>
      <w:r w:rsidRPr="007626DE">
        <w:rPr>
          <w:rFonts w:cs="Calibri"/>
        </w:rPr>
        <w:t xml:space="preserve">, </w:t>
      </w:r>
      <w:r>
        <w:rPr>
          <w:rFonts w:cs="Calibri"/>
        </w:rPr>
        <w:t xml:space="preserve">31 </w:t>
      </w:r>
      <w:r w:rsidRPr="007626DE">
        <w:rPr>
          <w:rFonts w:cs="Calibri"/>
        </w:rPr>
        <w:t xml:space="preserve">were traditional teacher preparation providers, </w:t>
      </w:r>
      <w:r>
        <w:rPr>
          <w:rFonts w:cs="Calibri"/>
        </w:rPr>
        <w:t xml:space="preserve">one was an alternative teacher preparation provider based at an IHE, </w:t>
      </w:r>
      <w:r w:rsidRPr="007626DE">
        <w:rPr>
          <w:rFonts w:cs="Calibri"/>
        </w:rPr>
        <w:t xml:space="preserve">and </w:t>
      </w:r>
      <w:r>
        <w:rPr>
          <w:rFonts w:cs="Calibri"/>
        </w:rPr>
        <w:t xml:space="preserve">one </w:t>
      </w:r>
      <w:r w:rsidRPr="00656C1C">
        <w:rPr>
          <w:rFonts w:cs="Calibri"/>
        </w:rPr>
        <w:t>was an alternative teacher preparat</w:t>
      </w:r>
      <w:r>
        <w:rPr>
          <w:rFonts w:cs="Calibri"/>
        </w:rPr>
        <w:t xml:space="preserve">ion provider not based at an </w:t>
      </w:r>
      <w:r w:rsidRPr="008A63E0">
        <w:rPr>
          <w:rFonts w:cs="Calibri"/>
        </w:rPr>
        <w:t>IHE.</w:t>
      </w:r>
    </w:p>
    <w:p w14:paraId="0A590535" w14:textId="77777777" w:rsidR="009F02E7" w:rsidRPr="001513F1" w:rsidRDefault="009F02E7" w:rsidP="009F02E7">
      <w:pPr>
        <w:rPr>
          <w:u w:val="single"/>
        </w:rPr>
      </w:pPr>
    </w:p>
    <w:p w14:paraId="14296A1E" w14:textId="77777777" w:rsidR="009F02E7" w:rsidRDefault="009F02E7" w:rsidP="009F02E7">
      <w:pPr>
        <w:pStyle w:val="ListParagraph"/>
        <w:numPr>
          <w:ilvl w:val="0"/>
          <w:numId w:val="1"/>
        </w:numPr>
        <w:spacing w:after="0"/>
      </w:pPr>
      <w:r w:rsidRPr="008A63E0">
        <w:rPr>
          <w:rFonts w:cs="Calibri"/>
        </w:rPr>
        <w:lastRenderedPageBreak/>
        <w:t xml:space="preserve">Of the states and jurisdictions that did not identify any programs as low performing or at risk in AY 2014–15, 29 have never identified any programs as being low performing or at risk: </w:t>
      </w:r>
      <w:r w:rsidRPr="008A63E0">
        <w:t>Alaska, Arizona, Arkansas, Colorado, Delaware, Hawaii, Massachusetts, Minnesota, Montana, Nebraska, Nevada, New Hampshire, New Jersey, New Mexico, North Dakota, Pennsylvania, South Dakota, Utah, Vermont, West Virginia, Wisconsin, the District of Columbia, American Samoa, Guam, Marshall Islands, Micronesia, Northern Mariana Islands, Palau, and Virgin Islands.</w:t>
      </w:r>
    </w:p>
    <w:p w14:paraId="5EE09303" w14:textId="77777777" w:rsidR="00550D1A" w:rsidRDefault="00550D1A" w:rsidP="00115C56">
      <w:pPr>
        <w:pStyle w:val="ListParagraph"/>
        <w:spacing w:after="0"/>
      </w:pPr>
    </w:p>
    <w:p w14:paraId="24E22E8B" w14:textId="77777777" w:rsidR="001513F1" w:rsidRPr="008A63E0" w:rsidRDefault="001513F1" w:rsidP="00115C56">
      <w:pPr>
        <w:pStyle w:val="ListParagraph"/>
        <w:spacing w:after="0"/>
      </w:pPr>
    </w:p>
    <w:p w14:paraId="6874B234" w14:textId="2B425181" w:rsidR="00550D1A" w:rsidRPr="004B117A" w:rsidRDefault="008A63E0" w:rsidP="00550D1A">
      <w:pPr>
        <w:pStyle w:val="Heading2"/>
        <w:spacing w:before="0" w:after="120"/>
        <w:jc w:val="center"/>
        <w:rPr>
          <w:rFonts w:asciiTheme="minorHAnsi" w:hAnsiTheme="minorHAnsi"/>
          <w:b w:val="0"/>
          <w:color w:val="808080" w:themeColor="background1" w:themeShade="80"/>
          <w:sz w:val="28"/>
          <w:szCs w:val="28"/>
        </w:rPr>
      </w:pPr>
      <w:r w:rsidRPr="008A63E0">
        <w:rPr>
          <w:rFonts w:asciiTheme="minorHAnsi" w:hAnsiTheme="minorHAnsi"/>
          <w:b w:val="0"/>
          <w:color w:val="808080" w:themeColor="background1" w:themeShade="80"/>
          <w:sz w:val="28"/>
          <w:szCs w:val="28"/>
        </w:rPr>
        <w:t>Twenty-nine</w:t>
      </w:r>
      <w:r w:rsidR="00550D1A" w:rsidRPr="008A63E0">
        <w:rPr>
          <w:rFonts w:asciiTheme="minorHAnsi" w:hAnsiTheme="minorHAnsi"/>
          <w:b w:val="0"/>
          <w:color w:val="808080" w:themeColor="background1" w:themeShade="80"/>
          <w:sz w:val="28"/>
          <w:szCs w:val="28"/>
        </w:rPr>
        <w:t xml:space="preserve"> states have never i</w:t>
      </w:r>
      <w:r w:rsidR="00F44F4B" w:rsidRPr="008A63E0">
        <w:rPr>
          <w:rFonts w:asciiTheme="minorHAnsi" w:hAnsiTheme="minorHAnsi"/>
          <w:b w:val="0"/>
          <w:color w:val="808080" w:themeColor="background1" w:themeShade="80"/>
          <w:sz w:val="28"/>
          <w:szCs w:val="28"/>
        </w:rPr>
        <w:t xml:space="preserve">dentified </w:t>
      </w:r>
      <w:r w:rsidR="00550D1A" w:rsidRPr="008A63E0">
        <w:rPr>
          <w:rFonts w:asciiTheme="minorHAnsi" w:hAnsiTheme="minorHAnsi"/>
          <w:b w:val="0"/>
          <w:color w:val="808080" w:themeColor="background1" w:themeShade="80"/>
          <w:sz w:val="28"/>
          <w:szCs w:val="28"/>
        </w:rPr>
        <w:t xml:space="preserve">at-risk or low-performing </w:t>
      </w:r>
      <w:r w:rsidR="00550D1A" w:rsidRPr="00404536">
        <w:rPr>
          <w:rFonts w:asciiTheme="minorHAnsi" w:hAnsiTheme="minorHAnsi"/>
          <w:b w:val="0"/>
          <w:color w:val="808080" w:themeColor="background1" w:themeShade="80"/>
          <w:sz w:val="28"/>
          <w:szCs w:val="28"/>
        </w:rPr>
        <w:t>programs</w:t>
      </w:r>
      <w:r w:rsidR="004B117A" w:rsidRPr="00404536">
        <w:rPr>
          <w:rFonts w:asciiTheme="minorHAnsi" w:hAnsiTheme="minorHAnsi"/>
          <w:b w:val="0"/>
          <w:color w:val="808080" w:themeColor="background1" w:themeShade="80"/>
          <w:sz w:val="28"/>
          <w:szCs w:val="28"/>
        </w:rPr>
        <w:t>.</w:t>
      </w:r>
    </w:p>
    <w:p w14:paraId="5C725A0D" w14:textId="40756530" w:rsidR="004274DD" w:rsidRDefault="00E64174" w:rsidP="00FD68EC">
      <w:pPr>
        <w:pStyle w:val="NoSpacing"/>
        <w:spacing w:line="276" w:lineRule="auto"/>
        <w:ind w:left="360"/>
        <w:jc w:val="center"/>
        <w:rPr>
          <w:rFonts w:cs="Calibri"/>
        </w:rPr>
        <w:sectPr w:rsidR="004274DD" w:rsidSect="0007514D">
          <w:footerReference w:type="default" r:id="rId17"/>
          <w:pgSz w:w="12240" w:h="15840"/>
          <w:pgMar w:top="1440" w:right="1440" w:bottom="1440" w:left="1440" w:header="720" w:footer="720" w:gutter="0"/>
          <w:cols w:space="720"/>
          <w:docGrid w:linePitch="360"/>
        </w:sectPr>
      </w:pPr>
      <w:r>
        <w:rPr>
          <w:rFonts w:cs="Calibri"/>
          <w:noProof/>
        </w:rPr>
        <w:drawing>
          <wp:inline distT="0" distB="0" distL="0" distR="0" wp14:anchorId="4337D5A8" wp14:editId="07B8327C">
            <wp:extent cx="5876925" cy="3371850"/>
            <wp:effectExtent l="0" t="0" r="9525" b="0"/>
            <wp:docPr id="7" name="Picture 7" descr="C:\Users\murthy_c\AppData\Local\Microsoft\Windows\Temporary Internet Files\Content.Outlook\G038ULJQ\Figure_1.10_nongreen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thy_c\AppData\Local\Microsoft\Windows\Temporary Internet Files\Content.Outlook\G038ULJQ\Figure_1.10_nongreen_I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925" cy="3371850"/>
                    </a:xfrm>
                    <a:prstGeom prst="rect">
                      <a:avLst/>
                    </a:prstGeom>
                    <a:noFill/>
                    <a:ln>
                      <a:noFill/>
                    </a:ln>
                  </pic:spPr>
                </pic:pic>
              </a:graphicData>
            </a:graphic>
          </wp:inline>
        </w:drawing>
      </w:r>
    </w:p>
    <w:p w14:paraId="585EE766" w14:textId="77777777" w:rsidR="00A34189" w:rsidRDefault="004274DD" w:rsidP="00A34189">
      <w:pPr>
        <w:pStyle w:val="Heading2"/>
      </w:pPr>
      <w:r>
        <w:lastRenderedPageBreak/>
        <w:t>Appendix A</w:t>
      </w:r>
      <w:r w:rsidR="00A34189">
        <w:t xml:space="preserve">: </w:t>
      </w:r>
    </w:p>
    <w:p w14:paraId="0416CEAF" w14:textId="002440D4" w:rsidR="00BA3549" w:rsidRDefault="00A34189" w:rsidP="00A34189">
      <w:pPr>
        <w:pStyle w:val="Heading2"/>
      </w:pPr>
      <w:r>
        <w:t xml:space="preserve">A Discussion on </w:t>
      </w:r>
      <w:r w:rsidR="00803203">
        <w:t xml:space="preserve">the Decreasing </w:t>
      </w:r>
      <w:r>
        <w:t>Enrollment in Teacher Preparation Programs</w:t>
      </w:r>
    </w:p>
    <w:p w14:paraId="086765E7" w14:textId="77777777" w:rsidR="004274DD" w:rsidRDefault="004274DD" w:rsidP="004274DD">
      <w:pPr>
        <w:pStyle w:val="NoSpacing"/>
        <w:spacing w:line="276" w:lineRule="auto"/>
        <w:ind w:left="360"/>
      </w:pPr>
    </w:p>
    <w:p w14:paraId="01BCF237" w14:textId="01AFDC71" w:rsidR="004274DD" w:rsidRDefault="004274DD" w:rsidP="004274DD">
      <w:pPr>
        <w:pStyle w:val="NoSpacing"/>
        <w:spacing w:line="276" w:lineRule="auto"/>
      </w:pPr>
      <w:r w:rsidRPr="004274DD">
        <w:t>The decrease in teacher preparation program enrollment follows a larger trend of declining enrollment in postsecondary education between AY 2010 – 11 and AY 2013 – 14. However, teacher preparation program enrollment declined at a faster rate than overall postsecondary education enrollment. The disparity between the rate of decline in overall postsecondary education enrollment and teacher preparation program enrollment suggests that, proportionate to the overall college-going population, fewer individuals are choosing to pursue a career in teaching. According to an</w:t>
      </w:r>
      <w:r w:rsidR="00EF1FB2">
        <w:t xml:space="preserve"> American College Testing</w:t>
      </w:r>
      <w:r w:rsidRPr="004274DD">
        <w:t xml:space="preserve"> </w:t>
      </w:r>
      <w:r w:rsidR="00EF1FB2">
        <w:t>(</w:t>
      </w:r>
      <w:r w:rsidRPr="004274DD">
        <w:t>ACT</w:t>
      </w:r>
      <w:r w:rsidR="00EF1FB2">
        <w:t>)</w:t>
      </w:r>
      <w:r w:rsidRPr="004274DD">
        <w:t xml:space="preserve"> report, 16 percent fewer high school students during the past 4 years say they are pursuing a career in teaching (Higgins, 2015). </w:t>
      </w:r>
    </w:p>
    <w:p w14:paraId="74F1A6CA" w14:textId="77777777" w:rsidR="004274DD" w:rsidRDefault="004274DD" w:rsidP="004274DD">
      <w:pPr>
        <w:pStyle w:val="NoSpacing"/>
        <w:spacing w:line="276" w:lineRule="auto"/>
      </w:pPr>
    </w:p>
    <w:p w14:paraId="75989AC6" w14:textId="77777777" w:rsidR="004274DD" w:rsidRDefault="004274DD" w:rsidP="004274DD">
      <w:pPr>
        <w:pStyle w:val="NoSpacing"/>
        <w:spacing w:line="276" w:lineRule="auto"/>
      </w:pPr>
      <w:r w:rsidRPr="004274DD">
        <w:t xml:space="preserve">Research suggests that declining morale and job satisfaction among current teachers may contribute to the decrease in individuals pursuing teaching as a career. The MetLife Survey of the American Teacher reported that teacher job satisfaction had declined to its lowest point in 25 years, after having dropped from 62 percent in 2008 to only 39 percent in 2012. The report also described that more than half of all teachers report feeling a great amount of stress and that budget decreases have led to lower morale for teachers (MetLife, Inc., 2013). In a 2015 interview with National Public Radio, Bill McDiarmid, the dean of the University of North Carolina School of Education, pointed to a growing sense that “teachers simply have less control over their professional lives in an increasingly bitter, politicized environment” (Westervelt, 2015). </w:t>
      </w:r>
    </w:p>
    <w:p w14:paraId="34EAC119" w14:textId="77777777" w:rsidR="004274DD" w:rsidRDefault="004274DD" w:rsidP="004274DD">
      <w:pPr>
        <w:pStyle w:val="NoSpacing"/>
        <w:spacing w:line="276" w:lineRule="auto"/>
      </w:pPr>
    </w:p>
    <w:p w14:paraId="7882A3CE" w14:textId="0D116D3B" w:rsidR="004274DD" w:rsidRDefault="004274DD" w:rsidP="004274DD">
      <w:pPr>
        <w:pStyle w:val="NoSpacing"/>
        <w:spacing w:line="276" w:lineRule="auto"/>
      </w:pPr>
      <w:r w:rsidRPr="004274DD">
        <w:t>Some also point to the economy as a factor for the decline in teacher preparation program enrollment, which began to drop following the 2008 recession. A 2015 study shows that when there is a recession in the economy, both men and women are less likely to pursue teaching, instead turning to fields like accounting and engineering (Blom, Cadena, &amp; Keys, 2015). According to a report from the Center for American Progress (CAP), fewer people enroll in teacher preparation programs in states that have lower teacher salaries and have more layoffs (Partelow and Baumgardner, 2016). The “last-hired, first-fired” practice that many districts follow for staff reductions due to budget cuts may also dissuade young students from becoming teachers (Gordon, 2011).</w:t>
      </w:r>
    </w:p>
    <w:p w14:paraId="63622985" w14:textId="77777777" w:rsidR="00A34189" w:rsidRDefault="00A34189" w:rsidP="004274DD">
      <w:pPr>
        <w:pStyle w:val="NoSpacing"/>
        <w:spacing w:line="276" w:lineRule="auto"/>
      </w:pPr>
    </w:p>
    <w:p w14:paraId="6F626AC9" w14:textId="77777777" w:rsidR="006C267E" w:rsidRDefault="00A34189" w:rsidP="004274DD">
      <w:pPr>
        <w:pStyle w:val="NoSpacing"/>
        <w:spacing w:line="276" w:lineRule="auto"/>
      </w:pPr>
      <w:r>
        <w:t>The downward trend in teacher preparation program enrollment was present across all three teacher preparation program types since AY 2009 – 10 through AY 2012 – 13. Although enrollment in traditional teacher preparation programs has continued to decline through AY 2014 – 15, enrollment in alternative, IHE-based programs and in alternative, not IHE-based programs both reversed their downward trend, with both alternative program types seeing an increase in AY 2013 – 14. In AY 2014 – 15, enrollment in alternative, not IHE-based programs continued to increase, while enrollment in alternative, not IHE-based programs decreased. Alternative programs tend to attract individuals that are switching careers</w:t>
      </w:r>
      <w:r w:rsidR="006C267E">
        <w:t xml:space="preserve"> or other types of non-traditional students. </w:t>
      </w:r>
    </w:p>
    <w:p w14:paraId="6BDA3F80" w14:textId="6569AB53" w:rsidR="00A34189" w:rsidRDefault="006C267E" w:rsidP="004274DD">
      <w:pPr>
        <w:pStyle w:val="NoSpacing"/>
        <w:spacing w:line="276" w:lineRule="auto"/>
        <w:sectPr w:rsidR="00A34189" w:rsidSect="0007514D">
          <w:pgSz w:w="12240" w:h="15840"/>
          <w:pgMar w:top="1440" w:right="1440" w:bottom="1440" w:left="1440" w:header="720" w:footer="720" w:gutter="0"/>
          <w:cols w:space="720"/>
          <w:docGrid w:linePitch="360"/>
        </w:sectPr>
      </w:pPr>
      <w:r>
        <w:lastRenderedPageBreak/>
        <w:t xml:space="preserve">Research is thin on reasons for the differing trends in enrollment for traditional versus alternative teacher preparation programs. The economy may play a factor in the types of prospective teachers drawn to teaching during a recession. Although </w:t>
      </w:r>
      <w:r w:rsidR="00E2679E">
        <w:t>college students</w:t>
      </w:r>
      <w:r>
        <w:t xml:space="preserve"> are less likely to pursue teaching during an economic recession, it is possible that the same economic factors that deter young college students from selecting education as a career path (and thus enrolling in a traditional teacher preparation program) could lead non-traditional students</w:t>
      </w:r>
      <w:r w:rsidR="00E2679E">
        <w:t>/career-changers</w:t>
      </w:r>
      <w:r>
        <w:t xml:space="preserve"> to enroll in an alternative teacher preparation program (for example, a former journalist for a print newspaper that has shut its doors).</w:t>
      </w:r>
    </w:p>
    <w:p w14:paraId="4E9B056C" w14:textId="77777777" w:rsidR="00A34189" w:rsidRDefault="00A34189" w:rsidP="00A34189">
      <w:pPr>
        <w:pStyle w:val="Heading2"/>
      </w:pPr>
      <w:r>
        <w:t xml:space="preserve">Appendix B: </w:t>
      </w:r>
    </w:p>
    <w:p w14:paraId="29F5854F" w14:textId="2C2BE1DE" w:rsidR="004274DD" w:rsidRDefault="004274DD" w:rsidP="00A34189">
      <w:pPr>
        <w:pStyle w:val="Heading2"/>
      </w:pPr>
      <w:r>
        <w:t>Works Cited</w:t>
      </w:r>
    </w:p>
    <w:p w14:paraId="0C4E839E" w14:textId="77777777" w:rsidR="004274DD" w:rsidRDefault="004274DD" w:rsidP="004274DD">
      <w:pPr>
        <w:pStyle w:val="NoSpacing"/>
        <w:spacing w:line="276" w:lineRule="auto"/>
        <w:ind w:left="360"/>
      </w:pPr>
    </w:p>
    <w:p w14:paraId="5AC5B948" w14:textId="109A638F" w:rsidR="004274DD" w:rsidRPr="004274DD" w:rsidRDefault="004274DD" w:rsidP="004274DD">
      <w:pPr>
        <w:pStyle w:val="NoSpacing"/>
        <w:ind w:left="720" w:hanging="720"/>
      </w:pPr>
      <w:r w:rsidRPr="004274DD">
        <w:t xml:space="preserve">Blom, E., Cadena, B., &amp; Keys, B. (2015). </w:t>
      </w:r>
      <w:r w:rsidRPr="004274DD">
        <w:rPr>
          <w:i/>
        </w:rPr>
        <w:t>Investment over the Business Cycle: Insights from College Major Choice</w:t>
      </w:r>
      <w:r w:rsidRPr="004274DD">
        <w:t>. IZA Discussion Paper No. 9167. Germany: Ins</w:t>
      </w:r>
      <w:r w:rsidR="006A594C">
        <w:t>t</w:t>
      </w:r>
      <w:r w:rsidRPr="004274DD">
        <w:t xml:space="preserve">itute for the Study of Labor (IZA). Retrieved from </w:t>
      </w:r>
      <w:hyperlink r:id="rId19" w:history="1">
        <w:r w:rsidRPr="004274DD">
          <w:rPr>
            <w:rStyle w:val="Hyperlink"/>
          </w:rPr>
          <w:t>http://ftp.iza.org/dp9167.pdf</w:t>
        </w:r>
      </w:hyperlink>
      <w:r w:rsidRPr="004274DD">
        <w:t xml:space="preserve">. </w:t>
      </w:r>
    </w:p>
    <w:p w14:paraId="6E61EC54" w14:textId="77777777" w:rsidR="004274DD" w:rsidRPr="004274DD" w:rsidRDefault="004274DD" w:rsidP="004274DD">
      <w:pPr>
        <w:pStyle w:val="NoSpacing"/>
        <w:ind w:left="720" w:hanging="720"/>
      </w:pPr>
    </w:p>
    <w:p w14:paraId="3DB435F2" w14:textId="77777777" w:rsidR="004274DD" w:rsidRPr="004274DD" w:rsidRDefault="004274DD" w:rsidP="004274DD">
      <w:pPr>
        <w:pStyle w:val="NoSpacing"/>
        <w:ind w:left="720" w:hanging="720"/>
      </w:pPr>
      <w:r w:rsidRPr="004274DD">
        <w:t xml:space="preserve">Gordon, L. (2011, April 3). Today’s teacher layoffs threaten tomorrow’s college classrooms. </w:t>
      </w:r>
      <w:r w:rsidRPr="004274DD">
        <w:rPr>
          <w:i/>
        </w:rPr>
        <w:t>Los Angeles Times</w:t>
      </w:r>
      <w:r w:rsidRPr="004274DD">
        <w:t>.</w:t>
      </w:r>
    </w:p>
    <w:p w14:paraId="45866040" w14:textId="77777777" w:rsidR="004274DD" w:rsidRPr="004274DD" w:rsidRDefault="004274DD" w:rsidP="004274DD">
      <w:pPr>
        <w:pStyle w:val="NoSpacing"/>
        <w:ind w:left="720" w:hanging="720"/>
      </w:pPr>
    </w:p>
    <w:p w14:paraId="7C5E6D90" w14:textId="77777777" w:rsidR="002B7388" w:rsidRDefault="004274DD" w:rsidP="004274DD">
      <w:pPr>
        <w:spacing w:line="240" w:lineRule="auto"/>
        <w:ind w:left="720" w:hanging="720"/>
        <w:rPr>
          <w:i/>
        </w:rPr>
      </w:pPr>
      <w:r w:rsidRPr="004274DD">
        <w:t xml:space="preserve">Higgins, L. (2015, April 25). Who wants to teach? Prep program numbers declining. </w:t>
      </w:r>
      <w:r w:rsidRPr="004274DD">
        <w:rPr>
          <w:i/>
        </w:rPr>
        <w:t>Detroit Free Press.</w:t>
      </w:r>
    </w:p>
    <w:p w14:paraId="4F276133" w14:textId="4D9E1949" w:rsidR="004274DD" w:rsidRPr="004274DD" w:rsidRDefault="004274DD" w:rsidP="004274DD">
      <w:pPr>
        <w:spacing w:line="240" w:lineRule="auto"/>
        <w:ind w:left="720" w:hanging="720"/>
      </w:pPr>
      <w:r w:rsidRPr="004274DD">
        <w:t xml:space="preserve">MetLife, Inc. (2013). </w:t>
      </w:r>
      <w:r w:rsidRPr="004274DD">
        <w:rPr>
          <w:i/>
        </w:rPr>
        <w:t>The MetLife Survey of the American Teacher: Challenges for School Leadership</w:t>
      </w:r>
      <w:r w:rsidRPr="004274DD">
        <w:t xml:space="preserve">. Retrieved from </w:t>
      </w:r>
      <w:hyperlink r:id="rId20" w:history="1">
        <w:r w:rsidRPr="004274DD">
          <w:rPr>
            <w:rStyle w:val="Hyperlink"/>
          </w:rPr>
          <w:t>https://www.metlife.com/assets/cao/foundation/MetLife-Teacher-Survey-2012.pdf</w:t>
        </w:r>
      </w:hyperlink>
      <w:r w:rsidRPr="004274DD">
        <w:t>.</w:t>
      </w:r>
    </w:p>
    <w:p w14:paraId="34C8B539" w14:textId="15691253" w:rsidR="004274DD" w:rsidRPr="004274DD" w:rsidRDefault="004274DD" w:rsidP="004274DD">
      <w:pPr>
        <w:spacing w:line="240" w:lineRule="auto"/>
        <w:ind w:left="720" w:hanging="720"/>
      </w:pPr>
      <w:r w:rsidRPr="004274DD">
        <w:t xml:space="preserve">Partelow, L. and Baumgardner, C. (2016). </w:t>
      </w:r>
      <w:r w:rsidRPr="004274DD">
        <w:rPr>
          <w:i/>
        </w:rPr>
        <w:t>Educator Pipeline at Risk: Teacher Labor Markets After the Great Recession</w:t>
      </w:r>
      <w:r w:rsidRPr="004274DD">
        <w:t xml:space="preserve">. Center for American Progress. Retrieved from: </w:t>
      </w:r>
      <w:hyperlink r:id="rId21" w:history="1">
        <w:r w:rsidRPr="004274DD">
          <w:rPr>
            <w:rStyle w:val="Hyperlink"/>
          </w:rPr>
          <w:t>https://cdn.americanprogress.org/wp-content/uploads/2016/09/14084443/TeacherPrep-report.pdf</w:t>
        </w:r>
      </w:hyperlink>
      <w:r w:rsidR="002B7388">
        <w:rPr>
          <w:rStyle w:val="Hyperlink"/>
        </w:rPr>
        <w:t>.</w:t>
      </w:r>
      <w:r w:rsidRPr="004274DD">
        <w:t xml:space="preserve"> </w:t>
      </w:r>
    </w:p>
    <w:p w14:paraId="12DD216E" w14:textId="07505606" w:rsidR="004274DD" w:rsidRPr="004274DD" w:rsidRDefault="004274DD" w:rsidP="004274DD">
      <w:pPr>
        <w:spacing w:line="240" w:lineRule="auto"/>
        <w:ind w:left="720" w:hanging="720"/>
      </w:pPr>
      <w:r w:rsidRPr="004274DD">
        <w:t xml:space="preserve">Westervelt, E. (2015, March 3). Where Have All The Teachers Gone? </w:t>
      </w:r>
      <w:r w:rsidRPr="004274DD">
        <w:rPr>
          <w:i/>
        </w:rPr>
        <w:t>National Public Radio.</w:t>
      </w:r>
      <w:r w:rsidR="00DB0D4D">
        <w:rPr>
          <w:i/>
        </w:rPr>
        <w:t xml:space="preserve"> </w:t>
      </w:r>
      <w:r w:rsidRPr="004274DD">
        <w:t xml:space="preserve">Retrieved from: </w:t>
      </w:r>
      <w:hyperlink r:id="rId22" w:history="1">
        <w:r w:rsidRPr="004274DD">
          <w:rPr>
            <w:rStyle w:val="Hyperlink"/>
          </w:rPr>
          <w:t>http://www.npr.org/sections/ed/2015/03/03/389282733/where-have-all-the-teachers-gone</w:t>
        </w:r>
      </w:hyperlink>
      <w:r w:rsidRPr="004274DD">
        <w:t xml:space="preserve"> </w:t>
      </w:r>
    </w:p>
    <w:p w14:paraId="3B1BF88D" w14:textId="77777777" w:rsidR="004274DD" w:rsidRPr="004274DD" w:rsidRDefault="004274DD" w:rsidP="004274DD">
      <w:pPr>
        <w:pStyle w:val="NoSpacing"/>
        <w:spacing w:line="276" w:lineRule="auto"/>
        <w:ind w:left="360"/>
        <w:rPr>
          <w:rFonts w:cs="Calibri"/>
        </w:rPr>
      </w:pPr>
    </w:p>
    <w:sectPr w:rsidR="004274DD" w:rsidRPr="004274DD" w:rsidSect="00075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288DD" w14:textId="77777777" w:rsidR="006C4CAA" w:rsidRDefault="006C4CAA">
      <w:pPr>
        <w:spacing w:after="0" w:line="240" w:lineRule="auto"/>
      </w:pPr>
      <w:r>
        <w:separator/>
      </w:r>
    </w:p>
  </w:endnote>
  <w:endnote w:type="continuationSeparator" w:id="0">
    <w:p w14:paraId="1D820E42" w14:textId="77777777" w:rsidR="006C4CAA" w:rsidRDefault="006C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A97B" w14:textId="77777777" w:rsidR="008804C7" w:rsidRDefault="008804C7" w:rsidP="0007514D">
    <w:pPr>
      <w:pStyle w:val="Footer"/>
      <w:jc w:val="center"/>
      <w:rPr>
        <w:noProof/>
      </w:rP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804C7" w:rsidRPr="00BF4811" w14:paraId="6C6AF392" w14:textId="77777777" w:rsidTr="0007514D">
      <w:tc>
        <w:tcPr>
          <w:tcW w:w="918" w:type="dxa"/>
        </w:tcPr>
        <w:p w14:paraId="59AADA54" w14:textId="0080E3B8" w:rsidR="008804C7" w:rsidRPr="0069682F" w:rsidRDefault="008804C7" w:rsidP="0007514D">
          <w:pPr>
            <w:pStyle w:val="Subtitle"/>
            <w:rPr>
              <w:i w:val="0"/>
            </w:rPr>
          </w:pPr>
          <w:r w:rsidRPr="0069682F">
            <w:rPr>
              <w:i w:val="0"/>
            </w:rPr>
            <w:fldChar w:fldCharType="begin"/>
          </w:r>
          <w:r w:rsidRPr="0069682F">
            <w:rPr>
              <w:i w:val="0"/>
            </w:rPr>
            <w:instrText xml:space="preserve"> PAGE   \* MERGEFORMAT </w:instrText>
          </w:r>
          <w:r w:rsidRPr="0069682F">
            <w:rPr>
              <w:i w:val="0"/>
            </w:rPr>
            <w:fldChar w:fldCharType="separate"/>
          </w:r>
          <w:r w:rsidR="00F67221">
            <w:rPr>
              <w:i w:val="0"/>
              <w:noProof/>
            </w:rPr>
            <w:t>11</w:t>
          </w:r>
          <w:r w:rsidRPr="0069682F">
            <w:rPr>
              <w:i w:val="0"/>
            </w:rPr>
            <w:fldChar w:fldCharType="end"/>
          </w:r>
        </w:p>
      </w:tc>
      <w:tc>
        <w:tcPr>
          <w:tcW w:w="7938" w:type="dxa"/>
        </w:tcPr>
        <w:p w14:paraId="0A86B218" w14:textId="150C26B2" w:rsidR="008804C7" w:rsidRPr="00BF4811" w:rsidRDefault="008804C7" w:rsidP="007055F9">
          <w:pPr>
            <w:pStyle w:val="Subtitle"/>
            <w:jc w:val="right"/>
            <w:rPr>
              <w:i w:val="0"/>
            </w:rPr>
          </w:pPr>
          <w:r>
            <w:rPr>
              <w:i w:val="0"/>
            </w:rPr>
            <w:t xml:space="preserve">Deliverable 3.3.2 – </w:t>
          </w:r>
          <w:r w:rsidR="00E2679E">
            <w:rPr>
              <w:i w:val="0"/>
            </w:rPr>
            <w:t xml:space="preserve">January </w:t>
          </w:r>
          <w:r w:rsidR="007055F9">
            <w:rPr>
              <w:i w:val="0"/>
            </w:rPr>
            <w:t>9</w:t>
          </w:r>
          <w:r>
            <w:rPr>
              <w:i w:val="0"/>
            </w:rPr>
            <w:t>, 201</w:t>
          </w:r>
          <w:r w:rsidR="00F81305">
            <w:rPr>
              <w:i w:val="0"/>
            </w:rPr>
            <w:t>7</w:t>
          </w:r>
        </w:p>
      </w:tc>
    </w:tr>
  </w:tbl>
  <w:p w14:paraId="5E0F125C" w14:textId="77777777" w:rsidR="008804C7" w:rsidRDefault="008804C7" w:rsidP="000751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DA11A" w14:textId="77777777" w:rsidR="006C4CAA" w:rsidRDefault="006C4CAA">
      <w:pPr>
        <w:spacing w:after="0" w:line="240" w:lineRule="auto"/>
      </w:pPr>
      <w:r>
        <w:separator/>
      </w:r>
    </w:p>
  </w:footnote>
  <w:footnote w:type="continuationSeparator" w:id="0">
    <w:p w14:paraId="55D62375" w14:textId="77777777" w:rsidR="006C4CAA" w:rsidRDefault="006C4CAA">
      <w:pPr>
        <w:spacing w:after="0" w:line="240" w:lineRule="auto"/>
      </w:pPr>
      <w:r>
        <w:continuationSeparator/>
      </w:r>
    </w:p>
  </w:footnote>
  <w:footnote w:id="1">
    <w:p w14:paraId="1D8B57B7" w14:textId="5898536A" w:rsidR="001926DE" w:rsidRDefault="001926DE" w:rsidP="004B3BAC">
      <w:pPr>
        <w:pStyle w:val="FootnoteText"/>
        <w:spacing w:before="0" w:line="240" w:lineRule="auto"/>
      </w:pPr>
      <w:r>
        <w:rPr>
          <w:rStyle w:val="FootnoteReference"/>
        </w:rPr>
        <w:footnoteRef/>
      </w:r>
      <w:r>
        <w:t xml:space="preserve"> In AY 2014 </w:t>
      </w:r>
      <w:r w:rsidRPr="001926DE">
        <w:t>–</w:t>
      </w:r>
      <w:r>
        <w:t xml:space="preserve"> 15, states did not report gender data for 5,474 individuals, </w:t>
      </w:r>
      <w:r w:rsidR="004174E3">
        <w:t>or 1</w:t>
      </w:r>
      <w:r>
        <w:t xml:space="preserve"> percent of all individuals enrolled in teacher preparation programs. </w:t>
      </w:r>
    </w:p>
  </w:footnote>
  <w:footnote w:id="2">
    <w:p w14:paraId="5B79A0D6" w14:textId="00A66C95" w:rsidR="001926DE" w:rsidRDefault="001926DE" w:rsidP="004B3BAC">
      <w:pPr>
        <w:pStyle w:val="FootnoteText"/>
        <w:spacing w:before="0" w:line="240" w:lineRule="auto"/>
      </w:pPr>
      <w:r>
        <w:rPr>
          <w:rStyle w:val="FootnoteReference"/>
        </w:rPr>
        <w:footnoteRef/>
      </w:r>
      <w:r>
        <w:t xml:space="preserve"> In AY 2013 </w:t>
      </w:r>
      <w:r w:rsidRPr="001926DE">
        <w:t>–</w:t>
      </w:r>
      <w:r>
        <w:t xml:space="preserve"> 14, states did not report gender data for 8,357 individuals, or </w:t>
      </w:r>
      <w:r w:rsidR="004174E3">
        <w:t>2</w:t>
      </w:r>
      <w:r>
        <w:t xml:space="preserve"> percent of all individuals enrolled in teacher preparation programs.</w:t>
      </w:r>
    </w:p>
  </w:footnote>
  <w:footnote w:id="3">
    <w:p w14:paraId="73725D55" w14:textId="1B94D6E6" w:rsidR="00115901" w:rsidRPr="004174E3" w:rsidRDefault="00115901">
      <w:pPr>
        <w:pStyle w:val="FootnoteText"/>
      </w:pPr>
      <w:r>
        <w:rPr>
          <w:rStyle w:val="FootnoteReference"/>
        </w:rPr>
        <w:footnoteRef/>
      </w:r>
      <w:r>
        <w:t xml:space="preserve"> </w:t>
      </w:r>
      <w:r w:rsidRPr="004174E3">
        <w:t xml:space="preserve">In AY 2014 – 15, states did not report race/ethnicity data for </w:t>
      </w:r>
      <w:r w:rsidR="004174E3" w:rsidRPr="004174E3">
        <w:t>41,318</w:t>
      </w:r>
      <w:r w:rsidRPr="004174E3">
        <w:t xml:space="preserve"> individuals, or </w:t>
      </w:r>
      <w:r w:rsidR="004174E3">
        <w:t>9</w:t>
      </w:r>
      <w:r w:rsidRPr="004174E3">
        <w:t xml:space="preserve"> percent of all individuals enrolled in teacher preparation programs.</w:t>
      </w:r>
    </w:p>
  </w:footnote>
  <w:footnote w:id="4">
    <w:p w14:paraId="2999E96E" w14:textId="0F7B0F62" w:rsidR="00115901" w:rsidRDefault="00115901">
      <w:pPr>
        <w:pStyle w:val="FootnoteText"/>
      </w:pPr>
      <w:r w:rsidRPr="004174E3">
        <w:rPr>
          <w:rStyle w:val="FootnoteReference"/>
        </w:rPr>
        <w:footnoteRef/>
      </w:r>
      <w:r w:rsidRPr="004174E3">
        <w:t xml:space="preserve"> In AY 2013 – 14, states did not report race/ethnicity data for </w:t>
      </w:r>
      <w:r w:rsidR="004174E3" w:rsidRPr="004174E3">
        <w:t>34,867 individuals</w:t>
      </w:r>
      <w:r w:rsidRPr="004174E3">
        <w:t xml:space="preserve">, or </w:t>
      </w:r>
      <w:r w:rsidR="004174E3">
        <w:t>7</w:t>
      </w:r>
      <w:r w:rsidRPr="004174E3">
        <w:t xml:space="preserve"> percent of all individuals enrolled in teacher preparation programs.</w:t>
      </w:r>
    </w:p>
  </w:footnote>
  <w:footnote w:id="5">
    <w:p w14:paraId="496F36FA" w14:textId="0363D226" w:rsidR="00F81305" w:rsidRDefault="00F81305">
      <w:pPr>
        <w:pStyle w:val="FootnoteText"/>
      </w:pPr>
      <w:r>
        <w:rPr>
          <w:rStyle w:val="FootnoteReference"/>
        </w:rPr>
        <w:footnoteRef/>
      </w:r>
      <w:r>
        <w:t xml:space="preserve"> </w:t>
      </w:r>
      <w:r w:rsidRPr="004174E3">
        <w:t xml:space="preserve">In AY 2014 – 15, states did not report race/ethnicity data for </w:t>
      </w:r>
      <w:r w:rsidR="004174E3" w:rsidRPr="004174E3">
        <w:t xml:space="preserve">41,318 individuals, or </w:t>
      </w:r>
      <w:r w:rsidR="004174E3">
        <w:t>9</w:t>
      </w:r>
      <w:r w:rsidR="004174E3" w:rsidRPr="004174E3">
        <w:t xml:space="preserve"> percent </w:t>
      </w:r>
      <w:r w:rsidRPr="004174E3">
        <w:t xml:space="preserve">of all individuals enrolled in teacher preparation programs. In AY 2013 – 14, states did not report race/ethnicity data for </w:t>
      </w:r>
      <w:r w:rsidR="004174E3" w:rsidRPr="004174E3">
        <w:t xml:space="preserve">34,867 individuals, or </w:t>
      </w:r>
      <w:r w:rsidR="004174E3">
        <w:t>7</w:t>
      </w:r>
      <w:r w:rsidR="004174E3" w:rsidRPr="004174E3">
        <w:t xml:space="preserve"> percent </w:t>
      </w:r>
      <w:r w:rsidRPr="004174E3">
        <w:t xml:space="preserve">of all individuals enrolled in teacher preparation programs. In AY 2012 – 13, states did not report race/ethnicity data for </w:t>
      </w:r>
      <w:r w:rsidR="004174E3">
        <w:t xml:space="preserve">28,259 </w:t>
      </w:r>
      <w:r w:rsidR="004174E3" w:rsidRPr="004174E3">
        <w:t>individuals</w:t>
      </w:r>
      <w:r w:rsidRPr="004174E3">
        <w:t xml:space="preserve">, or </w:t>
      </w:r>
      <w:r w:rsidR="004174E3">
        <w:t>6</w:t>
      </w:r>
      <w:r w:rsidRPr="004174E3">
        <w:t xml:space="preserve"> percent of all individuals enrolled in teacher preparation programs. In AY 2011 – 12, states did not report race/ethnicity data for </w:t>
      </w:r>
      <w:r w:rsidR="004174E3">
        <w:t xml:space="preserve">25,950 </w:t>
      </w:r>
      <w:r w:rsidRPr="004174E3">
        <w:t xml:space="preserve">individuals, </w:t>
      </w:r>
      <w:r w:rsidR="004174E3">
        <w:t>or 4</w:t>
      </w:r>
      <w:r w:rsidRPr="004174E3">
        <w:t xml:space="preserve"> percent of all individuals enrolled in teacher preparation programs. In AY 2010 – 11, states did not report race/ethnicity data for </w:t>
      </w:r>
      <w:r w:rsidR="004174E3">
        <w:t>28,502</w:t>
      </w:r>
      <w:r w:rsidRPr="004174E3">
        <w:t xml:space="preserve"> individuals, or </w:t>
      </w:r>
      <w:r w:rsidR="004174E3">
        <w:t>4</w:t>
      </w:r>
      <w:r w:rsidRPr="004174E3">
        <w:t xml:space="preserve"> percent of all individuals enrolled in teacher preparation programs.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6AE0"/>
    <w:multiLevelType w:val="hybridMultilevel"/>
    <w:tmpl w:val="B790A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8D7A13"/>
    <w:multiLevelType w:val="hybridMultilevel"/>
    <w:tmpl w:val="71DED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E27C4"/>
    <w:multiLevelType w:val="hybridMultilevel"/>
    <w:tmpl w:val="1C7AB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10317"/>
    <w:multiLevelType w:val="hybridMultilevel"/>
    <w:tmpl w:val="69A66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F1BA3"/>
    <w:multiLevelType w:val="hybridMultilevel"/>
    <w:tmpl w:val="F23C8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36"/>
    <w:rsid w:val="00003C34"/>
    <w:rsid w:val="00006152"/>
    <w:rsid w:val="000133E4"/>
    <w:rsid w:val="00045BF1"/>
    <w:rsid w:val="000726B1"/>
    <w:rsid w:val="0007514D"/>
    <w:rsid w:val="000A65FC"/>
    <w:rsid w:val="000A7453"/>
    <w:rsid w:val="000B3729"/>
    <w:rsid w:val="000C738D"/>
    <w:rsid w:val="000C75A5"/>
    <w:rsid w:val="000D2EB3"/>
    <w:rsid w:val="000E1F2D"/>
    <w:rsid w:val="000E7A76"/>
    <w:rsid w:val="000F75A7"/>
    <w:rsid w:val="00101F76"/>
    <w:rsid w:val="00107DC2"/>
    <w:rsid w:val="00115901"/>
    <w:rsid w:val="00115C56"/>
    <w:rsid w:val="001201B0"/>
    <w:rsid w:val="00126429"/>
    <w:rsid w:val="00136C90"/>
    <w:rsid w:val="00142E75"/>
    <w:rsid w:val="00151294"/>
    <w:rsid w:val="001513F1"/>
    <w:rsid w:val="001520F2"/>
    <w:rsid w:val="0017441E"/>
    <w:rsid w:val="0017469E"/>
    <w:rsid w:val="001921EC"/>
    <w:rsid w:val="001926DE"/>
    <w:rsid w:val="001C04C6"/>
    <w:rsid w:val="001D4C9A"/>
    <w:rsid w:val="001D56B6"/>
    <w:rsid w:val="001E4C04"/>
    <w:rsid w:val="001E7256"/>
    <w:rsid w:val="00206503"/>
    <w:rsid w:val="00232536"/>
    <w:rsid w:val="00233252"/>
    <w:rsid w:val="00236757"/>
    <w:rsid w:val="0023765B"/>
    <w:rsid w:val="00244BA7"/>
    <w:rsid w:val="002554F3"/>
    <w:rsid w:val="002626F8"/>
    <w:rsid w:val="0029403E"/>
    <w:rsid w:val="002B64F7"/>
    <w:rsid w:val="002B7388"/>
    <w:rsid w:val="002D4F62"/>
    <w:rsid w:val="002D5C4A"/>
    <w:rsid w:val="0031028B"/>
    <w:rsid w:val="003250E5"/>
    <w:rsid w:val="00346239"/>
    <w:rsid w:val="0037224C"/>
    <w:rsid w:val="00377E2E"/>
    <w:rsid w:val="00382FCE"/>
    <w:rsid w:val="003A37AA"/>
    <w:rsid w:val="003D0104"/>
    <w:rsid w:val="003F0DC2"/>
    <w:rsid w:val="0040262F"/>
    <w:rsid w:val="00404536"/>
    <w:rsid w:val="004174E3"/>
    <w:rsid w:val="00424236"/>
    <w:rsid w:val="004274DD"/>
    <w:rsid w:val="00432BDC"/>
    <w:rsid w:val="004534DC"/>
    <w:rsid w:val="00470F87"/>
    <w:rsid w:val="00472177"/>
    <w:rsid w:val="00484224"/>
    <w:rsid w:val="00485259"/>
    <w:rsid w:val="004974E7"/>
    <w:rsid w:val="004A4EED"/>
    <w:rsid w:val="004B1109"/>
    <w:rsid w:val="004B117A"/>
    <w:rsid w:val="004B3BAC"/>
    <w:rsid w:val="004B5333"/>
    <w:rsid w:val="004B59C5"/>
    <w:rsid w:val="004D16F4"/>
    <w:rsid w:val="004D1BD3"/>
    <w:rsid w:val="004E58CA"/>
    <w:rsid w:val="004E654E"/>
    <w:rsid w:val="00500862"/>
    <w:rsid w:val="00506E2A"/>
    <w:rsid w:val="0054302B"/>
    <w:rsid w:val="00550D1A"/>
    <w:rsid w:val="00574C0A"/>
    <w:rsid w:val="0058075A"/>
    <w:rsid w:val="005A0391"/>
    <w:rsid w:val="005F1F0E"/>
    <w:rsid w:val="005F4952"/>
    <w:rsid w:val="00615A68"/>
    <w:rsid w:val="006200C5"/>
    <w:rsid w:val="006228CE"/>
    <w:rsid w:val="00625104"/>
    <w:rsid w:val="00640F7E"/>
    <w:rsid w:val="00646113"/>
    <w:rsid w:val="0065023C"/>
    <w:rsid w:val="00655617"/>
    <w:rsid w:val="0066044F"/>
    <w:rsid w:val="00680076"/>
    <w:rsid w:val="006A29CD"/>
    <w:rsid w:val="006A594C"/>
    <w:rsid w:val="006A6CBB"/>
    <w:rsid w:val="006B1007"/>
    <w:rsid w:val="006C267E"/>
    <w:rsid w:val="006C3138"/>
    <w:rsid w:val="006C4CAA"/>
    <w:rsid w:val="006E1F67"/>
    <w:rsid w:val="007055F9"/>
    <w:rsid w:val="00707455"/>
    <w:rsid w:val="00735A8E"/>
    <w:rsid w:val="00741247"/>
    <w:rsid w:val="00752AD1"/>
    <w:rsid w:val="00764973"/>
    <w:rsid w:val="0076668C"/>
    <w:rsid w:val="007743F2"/>
    <w:rsid w:val="00775C2B"/>
    <w:rsid w:val="007915F7"/>
    <w:rsid w:val="007A72D7"/>
    <w:rsid w:val="007B5404"/>
    <w:rsid w:val="007C2517"/>
    <w:rsid w:val="007F0E85"/>
    <w:rsid w:val="00802FC8"/>
    <w:rsid w:val="00803203"/>
    <w:rsid w:val="00812795"/>
    <w:rsid w:val="00812C72"/>
    <w:rsid w:val="008262FC"/>
    <w:rsid w:val="0085156A"/>
    <w:rsid w:val="00853D59"/>
    <w:rsid w:val="008637D2"/>
    <w:rsid w:val="00875D9A"/>
    <w:rsid w:val="008773A4"/>
    <w:rsid w:val="008804C7"/>
    <w:rsid w:val="00896EAD"/>
    <w:rsid w:val="00897CC3"/>
    <w:rsid w:val="008A01CA"/>
    <w:rsid w:val="008A63E0"/>
    <w:rsid w:val="008B23C7"/>
    <w:rsid w:val="008D5153"/>
    <w:rsid w:val="008F4F95"/>
    <w:rsid w:val="009003AB"/>
    <w:rsid w:val="00912B7D"/>
    <w:rsid w:val="00914F39"/>
    <w:rsid w:val="00926C78"/>
    <w:rsid w:val="00933B53"/>
    <w:rsid w:val="009518D2"/>
    <w:rsid w:val="009562F1"/>
    <w:rsid w:val="009673C8"/>
    <w:rsid w:val="00997F73"/>
    <w:rsid w:val="009C76F6"/>
    <w:rsid w:val="009E5059"/>
    <w:rsid w:val="009F02E7"/>
    <w:rsid w:val="009F746C"/>
    <w:rsid w:val="00A34189"/>
    <w:rsid w:val="00A41670"/>
    <w:rsid w:val="00A4783C"/>
    <w:rsid w:val="00A66E58"/>
    <w:rsid w:val="00A91F37"/>
    <w:rsid w:val="00A93CB6"/>
    <w:rsid w:val="00AB210B"/>
    <w:rsid w:val="00AD5899"/>
    <w:rsid w:val="00B4170B"/>
    <w:rsid w:val="00B764B1"/>
    <w:rsid w:val="00B852AE"/>
    <w:rsid w:val="00B906FF"/>
    <w:rsid w:val="00BA0A1B"/>
    <w:rsid w:val="00BA3549"/>
    <w:rsid w:val="00BA3C97"/>
    <w:rsid w:val="00BB3AD6"/>
    <w:rsid w:val="00BF08D3"/>
    <w:rsid w:val="00BF5460"/>
    <w:rsid w:val="00C141D4"/>
    <w:rsid w:val="00C45A6D"/>
    <w:rsid w:val="00C5442C"/>
    <w:rsid w:val="00C70A99"/>
    <w:rsid w:val="00CA5BF4"/>
    <w:rsid w:val="00CB14A7"/>
    <w:rsid w:val="00CB4DFB"/>
    <w:rsid w:val="00CB7124"/>
    <w:rsid w:val="00CC4BAD"/>
    <w:rsid w:val="00CD270E"/>
    <w:rsid w:val="00D011D1"/>
    <w:rsid w:val="00D04C11"/>
    <w:rsid w:val="00D06B79"/>
    <w:rsid w:val="00D4763D"/>
    <w:rsid w:val="00D86964"/>
    <w:rsid w:val="00D9017F"/>
    <w:rsid w:val="00D9761D"/>
    <w:rsid w:val="00DA5442"/>
    <w:rsid w:val="00DB0D4D"/>
    <w:rsid w:val="00DB1789"/>
    <w:rsid w:val="00DC74AF"/>
    <w:rsid w:val="00DF4CEA"/>
    <w:rsid w:val="00E2679E"/>
    <w:rsid w:val="00E43687"/>
    <w:rsid w:val="00E44221"/>
    <w:rsid w:val="00E50640"/>
    <w:rsid w:val="00E64174"/>
    <w:rsid w:val="00E82A44"/>
    <w:rsid w:val="00ED42BC"/>
    <w:rsid w:val="00EF1F14"/>
    <w:rsid w:val="00EF1FB2"/>
    <w:rsid w:val="00F204C1"/>
    <w:rsid w:val="00F44911"/>
    <w:rsid w:val="00F44F4B"/>
    <w:rsid w:val="00F5463B"/>
    <w:rsid w:val="00F67221"/>
    <w:rsid w:val="00F73B6B"/>
    <w:rsid w:val="00F752E5"/>
    <w:rsid w:val="00F81305"/>
    <w:rsid w:val="00F827E5"/>
    <w:rsid w:val="00F968F2"/>
    <w:rsid w:val="00FA0E07"/>
    <w:rsid w:val="00FA1C30"/>
    <w:rsid w:val="00FC1E7F"/>
    <w:rsid w:val="00FD68EC"/>
    <w:rsid w:val="00FE40ED"/>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43F1"/>
  <w15:docId w15:val="{0929E5E0-2D3B-498E-9296-437EFDB8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536"/>
    <w:rPr>
      <w:rFonts w:eastAsiaTheme="minorEastAsia"/>
    </w:rPr>
  </w:style>
  <w:style w:type="paragraph" w:styleId="Heading1">
    <w:name w:val="heading 1"/>
    <w:basedOn w:val="Normal"/>
    <w:next w:val="Normal"/>
    <w:link w:val="Heading1Char"/>
    <w:uiPriority w:val="9"/>
    <w:qFormat/>
    <w:rsid w:val="00812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F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27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5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253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32536"/>
    <w:pPr>
      <w:ind w:left="720"/>
      <w:contextualSpacing/>
    </w:pPr>
  </w:style>
  <w:style w:type="paragraph" w:styleId="Footer">
    <w:name w:val="footer"/>
    <w:basedOn w:val="Normal"/>
    <w:link w:val="FooterChar"/>
    <w:uiPriority w:val="99"/>
    <w:unhideWhenUsed/>
    <w:rsid w:val="00232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536"/>
    <w:rPr>
      <w:rFonts w:eastAsiaTheme="minorEastAsia"/>
    </w:rPr>
  </w:style>
  <w:style w:type="paragraph" w:styleId="Subtitle">
    <w:name w:val="Subtitle"/>
    <w:basedOn w:val="Normal"/>
    <w:next w:val="Normal"/>
    <w:link w:val="SubtitleChar"/>
    <w:uiPriority w:val="11"/>
    <w:qFormat/>
    <w:rsid w:val="00232536"/>
    <w:pPr>
      <w:numPr>
        <w:ilvl w:val="1"/>
      </w:numPr>
      <w:suppressAutoHyphens/>
      <w:spacing w:after="0" w:line="240" w:lineRule="atLeast"/>
      <w:jc w:val="both"/>
    </w:pPr>
    <w:rPr>
      <w:rFonts w:asciiTheme="majorHAnsi" w:eastAsiaTheme="majorEastAsia" w:hAnsiTheme="majorHAnsi" w:cstheme="majorBidi"/>
      <w:i/>
      <w:iCs/>
      <w:color w:val="4F81BD" w:themeColor="accent1"/>
      <w:spacing w:val="15"/>
      <w:sz w:val="24"/>
      <w:szCs w:val="24"/>
      <w:lang w:eastAsia="ar-SA"/>
    </w:rPr>
  </w:style>
  <w:style w:type="character" w:customStyle="1" w:styleId="SubtitleChar">
    <w:name w:val="Subtitle Char"/>
    <w:basedOn w:val="DefaultParagraphFont"/>
    <w:link w:val="Subtitle"/>
    <w:uiPriority w:val="11"/>
    <w:rsid w:val="00232536"/>
    <w:rPr>
      <w:rFonts w:asciiTheme="majorHAnsi" w:eastAsiaTheme="majorEastAsia" w:hAnsiTheme="majorHAnsi" w:cstheme="majorBidi"/>
      <w:i/>
      <w:iCs/>
      <w:color w:val="4F81BD" w:themeColor="accent1"/>
      <w:spacing w:val="15"/>
      <w:sz w:val="24"/>
      <w:szCs w:val="24"/>
      <w:lang w:eastAsia="ar-SA"/>
    </w:rPr>
  </w:style>
  <w:style w:type="paragraph" w:styleId="BalloonText">
    <w:name w:val="Balloon Text"/>
    <w:basedOn w:val="Normal"/>
    <w:link w:val="BalloonTextChar"/>
    <w:uiPriority w:val="99"/>
    <w:semiHidden/>
    <w:unhideWhenUsed/>
    <w:rsid w:val="00232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36"/>
    <w:rPr>
      <w:rFonts w:ascii="Tahoma" w:eastAsiaTheme="minorEastAsia" w:hAnsi="Tahoma" w:cs="Tahoma"/>
      <w:sz w:val="16"/>
      <w:szCs w:val="16"/>
    </w:rPr>
  </w:style>
  <w:style w:type="paragraph" w:styleId="Header">
    <w:name w:val="header"/>
    <w:basedOn w:val="Normal"/>
    <w:link w:val="HeaderChar"/>
    <w:uiPriority w:val="99"/>
    <w:unhideWhenUsed/>
    <w:rsid w:val="00897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CC3"/>
    <w:rPr>
      <w:rFonts w:eastAsiaTheme="minorEastAsia"/>
    </w:rPr>
  </w:style>
  <w:style w:type="character" w:customStyle="1" w:styleId="Heading2Char">
    <w:name w:val="Heading 2 Char"/>
    <w:basedOn w:val="DefaultParagraphFont"/>
    <w:link w:val="Heading2"/>
    <w:uiPriority w:val="9"/>
    <w:rsid w:val="00F44F4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44F4B"/>
    <w:pPr>
      <w:spacing w:after="0" w:line="240" w:lineRule="auto"/>
    </w:pPr>
  </w:style>
  <w:style w:type="character" w:customStyle="1" w:styleId="NoSpacingChar">
    <w:name w:val="No Spacing Char"/>
    <w:basedOn w:val="DefaultParagraphFont"/>
    <w:link w:val="NoSpacing"/>
    <w:uiPriority w:val="1"/>
    <w:rsid w:val="00F44F4B"/>
  </w:style>
  <w:style w:type="character" w:customStyle="1" w:styleId="Heading1Char">
    <w:name w:val="Heading 1 Char"/>
    <w:basedOn w:val="DefaultParagraphFont"/>
    <w:link w:val="Heading1"/>
    <w:uiPriority w:val="9"/>
    <w:rsid w:val="008127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1279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127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2795"/>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aliases w:val="F1"/>
    <w:link w:val="FootnoteTextChar"/>
    <w:uiPriority w:val="99"/>
    <w:rsid w:val="00812795"/>
    <w:pPr>
      <w:tabs>
        <w:tab w:val="left" w:pos="120"/>
      </w:tabs>
      <w:spacing w:before="120" w:after="0" w:line="200" w:lineRule="atLeast"/>
      <w:ind w:left="115" w:hanging="115"/>
    </w:pPr>
    <w:rPr>
      <w:rFonts w:ascii="Garamond" w:eastAsia="Times New Roman" w:hAnsi="Garamond" w:cs="Times New Roman"/>
      <w:sz w:val="16"/>
      <w:szCs w:val="20"/>
    </w:rPr>
  </w:style>
  <w:style w:type="character" w:customStyle="1" w:styleId="FootnoteTextChar">
    <w:name w:val="Footnote Text Char"/>
    <w:aliases w:val="F1 Char"/>
    <w:basedOn w:val="DefaultParagraphFont"/>
    <w:link w:val="FootnoteText"/>
    <w:uiPriority w:val="99"/>
    <w:rsid w:val="00812795"/>
    <w:rPr>
      <w:rFonts w:ascii="Garamond" w:eastAsia="Times New Roman" w:hAnsi="Garamond" w:cs="Times New Roman"/>
      <w:sz w:val="16"/>
      <w:szCs w:val="20"/>
    </w:rPr>
  </w:style>
  <w:style w:type="character" w:styleId="FootnoteReference">
    <w:name w:val="footnote reference"/>
    <w:basedOn w:val="DefaultParagraphFont"/>
    <w:uiPriority w:val="99"/>
    <w:semiHidden/>
    <w:unhideWhenUsed/>
    <w:rsid w:val="00812795"/>
    <w:rPr>
      <w:vertAlign w:val="superscript"/>
    </w:rPr>
  </w:style>
  <w:style w:type="paragraph" w:customStyle="1" w:styleId="Tables">
    <w:name w:val="Tables"/>
    <w:basedOn w:val="Normal"/>
    <w:link w:val="TablesChar"/>
    <w:qFormat/>
    <w:rsid w:val="00812795"/>
    <w:pPr>
      <w:keepNext/>
      <w:tabs>
        <w:tab w:val="left" w:pos="0"/>
        <w:tab w:val="left" w:pos="1440"/>
      </w:tabs>
      <w:spacing w:after="360" w:line="360" w:lineRule="atLeast"/>
      <w:ind w:left="1440" w:hanging="1440"/>
      <w:outlineLvl w:val="2"/>
    </w:pPr>
    <w:rPr>
      <w:rFonts w:ascii="Franklin Gothic Medium" w:eastAsia="Times New Roman" w:hAnsi="Franklin Gothic Medium" w:cs="Times New Roman"/>
      <w:b/>
      <w:sz w:val="24"/>
      <w:szCs w:val="20"/>
    </w:rPr>
  </w:style>
  <w:style w:type="character" w:customStyle="1" w:styleId="TablesChar">
    <w:name w:val="Tables Char"/>
    <w:basedOn w:val="DefaultParagraphFont"/>
    <w:link w:val="Tables"/>
    <w:rsid w:val="00812795"/>
    <w:rPr>
      <w:rFonts w:ascii="Franklin Gothic Medium" w:eastAsia="Times New Roman" w:hAnsi="Franklin Gothic Medium" w:cs="Times New Roman"/>
      <w:b/>
      <w:sz w:val="24"/>
      <w:szCs w:val="20"/>
    </w:rPr>
  </w:style>
  <w:style w:type="character" w:styleId="Hyperlink">
    <w:name w:val="Hyperlink"/>
    <w:basedOn w:val="DefaultParagraphFont"/>
    <w:uiPriority w:val="99"/>
    <w:unhideWhenUsed/>
    <w:rsid w:val="00812795"/>
    <w:rPr>
      <w:color w:val="0000FF"/>
      <w:u w:val="single"/>
    </w:rPr>
  </w:style>
  <w:style w:type="character" w:styleId="CommentReference">
    <w:name w:val="annotation reference"/>
    <w:basedOn w:val="DefaultParagraphFont"/>
    <w:uiPriority w:val="99"/>
    <w:semiHidden/>
    <w:unhideWhenUsed/>
    <w:rsid w:val="000C738D"/>
    <w:rPr>
      <w:sz w:val="16"/>
      <w:szCs w:val="16"/>
    </w:rPr>
  </w:style>
  <w:style w:type="paragraph" w:styleId="CommentText">
    <w:name w:val="annotation text"/>
    <w:basedOn w:val="Normal"/>
    <w:link w:val="CommentTextChar"/>
    <w:uiPriority w:val="99"/>
    <w:semiHidden/>
    <w:unhideWhenUsed/>
    <w:rsid w:val="000C738D"/>
    <w:pPr>
      <w:spacing w:line="240" w:lineRule="auto"/>
    </w:pPr>
    <w:rPr>
      <w:sz w:val="20"/>
      <w:szCs w:val="20"/>
    </w:rPr>
  </w:style>
  <w:style w:type="character" w:customStyle="1" w:styleId="CommentTextChar">
    <w:name w:val="Comment Text Char"/>
    <w:basedOn w:val="DefaultParagraphFont"/>
    <w:link w:val="CommentText"/>
    <w:uiPriority w:val="99"/>
    <w:semiHidden/>
    <w:rsid w:val="000C738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C738D"/>
    <w:rPr>
      <w:b/>
      <w:bCs/>
    </w:rPr>
  </w:style>
  <w:style w:type="character" w:customStyle="1" w:styleId="CommentSubjectChar">
    <w:name w:val="Comment Subject Char"/>
    <w:basedOn w:val="CommentTextChar"/>
    <w:link w:val="CommentSubject"/>
    <w:uiPriority w:val="99"/>
    <w:semiHidden/>
    <w:rsid w:val="000C738D"/>
    <w:rPr>
      <w:rFonts w:eastAsiaTheme="minorEastAsia"/>
      <w:b/>
      <w:bCs/>
      <w:sz w:val="20"/>
      <w:szCs w:val="20"/>
    </w:rPr>
  </w:style>
  <w:style w:type="paragraph" w:styleId="EndnoteText">
    <w:name w:val="endnote text"/>
    <w:basedOn w:val="Normal"/>
    <w:link w:val="EndnoteTextChar"/>
    <w:uiPriority w:val="99"/>
    <w:semiHidden/>
    <w:unhideWhenUsed/>
    <w:rsid w:val="004274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74DD"/>
    <w:rPr>
      <w:rFonts w:eastAsiaTheme="minorEastAsia"/>
      <w:sz w:val="20"/>
      <w:szCs w:val="20"/>
    </w:rPr>
  </w:style>
  <w:style w:type="character" w:styleId="EndnoteReference">
    <w:name w:val="endnote reference"/>
    <w:basedOn w:val="DefaultParagraphFont"/>
    <w:uiPriority w:val="99"/>
    <w:semiHidden/>
    <w:unhideWhenUsed/>
    <w:rsid w:val="004274DD"/>
    <w:rPr>
      <w:vertAlign w:val="superscript"/>
    </w:rPr>
  </w:style>
  <w:style w:type="paragraph" w:styleId="TOC5">
    <w:name w:val="toc 5"/>
    <w:basedOn w:val="Normal"/>
    <w:uiPriority w:val="39"/>
    <w:rsid w:val="004274DD"/>
    <w:pPr>
      <w:tabs>
        <w:tab w:val="left" w:pos="1440"/>
        <w:tab w:val="right" w:leader="dot" w:pos="8208"/>
        <w:tab w:val="left" w:pos="8640"/>
      </w:tabs>
      <w:spacing w:after="0" w:line="240" w:lineRule="atLeast"/>
      <w:ind w:left="1440" w:right="1800" w:hanging="1152"/>
    </w:pPr>
    <w:rPr>
      <w:rFonts w:ascii="Garamond" w:eastAsia="Times New Roman" w:hAnsi="Garamond" w:cs="Times New Roman"/>
      <w:sz w:val="24"/>
      <w:szCs w:val="20"/>
    </w:rPr>
  </w:style>
  <w:style w:type="character" w:styleId="FollowedHyperlink">
    <w:name w:val="FollowedHyperlink"/>
    <w:basedOn w:val="DefaultParagraphFont"/>
    <w:uiPriority w:val="99"/>
    <w:semiHidden/>
    <w:unhideWhenUsed/>
    <w:rsid w:val="006A6C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90605">
      <w:bodyDiv w:val="1"/>
      <w:marLeft w:val="0"/>
      <w:marRight w:val="0"/>
      <w:marTop w:val="0"/>
      <w:marBottom w:val="0"/>
      <w:divBdr>
        <w:top w:val="none" w:sz="0" w:space="0" w:color="auto"/>
        <w:left w:val="none" w:sz="0" w:space="0" w:color="auto"/>
        <w:bottom w:val="none" w:sz="0" w:space="0" w:color="auto"/>
        <w:right w:val="none" w:sz="0" w:space="0" w:color="auto"/>
      </w:divBdr>
    </w:div>
    <w:div w:id="17324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cdn.americanprogress.org/wp-content/uploads/2016/09/14084443/TeacherPrep-report.pdf"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yperlink" Target="https://www.metlife.com/assets/cao/foundation/MetLife-Teacher-Survey-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ftp.iza.org/dp9167.pdf"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www.npr.org/sections/ed/2015/03/03/389282733/where-have-all-the-teachers-gon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20Keleher\Dropbox\01_JKA%20Business%20Docs\Partners%20and%20Teams\Westat\2016%20-%202017\2016-2017%20HEA%20II\2016-2017%20Data%20File\Copy%20of%20TII2016_data_alls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ndrewward17\Documents\Keleher%20and%20Associates\%20of%20TII2016_data_allsts%20jbk%20amw%20LATES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ndrewward17\Documents\Keleher%20and%20Associates\%20of%20TII2016_data_allsts%20jbk%20amw%20LATE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ocalhost\Users\andrewward17\Documents\Keleher%20and%20Associates\%20of%20TII2016_data_allsts%20jbk%20amw%20LATES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andrewward17\Documents\Keleher%20and%20Associates\Copy%20of%20TII2016_data_allsts%20jbk%20amw.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2" Type="http://schemas.openxmlformats.org/officeDocument/2006/relationships/oleObject" Target="file:///\\localhost\Users\andrewward17\Documents\Keleher%20and%20Associates\%20of%20TII2016_data_allsts%20jbk%20amw%20LATEST.xlsx" TargetMode="External"/><Relationship Id="rId1" Type="http://schemas.openxmlformats.org/officeDocument/2006/relationships/themeOverride" Target="../theme/themeOverride1.xm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8.xml.rels><?xml version="1.0" encoding="UTF-8" standalone="yes"?>
<Relationships xmlns="http://schemas.openxmlformats.org/package/2006/relationships"><Relationship Id="rId3" Type="http://schemas.openxmlformats.org/officeDocument/2006/relationships/oleObject" Target="file:///\\localhost\Users\andrewward17\Documents\Keleher%20and%20Associates\Copy%20of%20TII2016_data_allsts%20jbk%20amw.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1" Type="http://schemas.openxmlformats.org/officeDocument/2006/relationships/oleObject" Target="file:///\\localhost\Users\andrewward17\Documents\Keleher%20and%20Associates\%20of%20TII2016_data_allsts%20jbk%20amw%20LA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sz="1400" b="0">
                <a:solidFill>
                  <a:schemeClr val="tx1">
                    <a:lumMod val="65000"/>
                    <a:lumOff val="35000"/>
                  </a:schemeClr>
                </a:solidFill>
              </a:rPr>
              <a:t>Most teacher preparation programs are traditional programs.</a:t>
            </a:r>
          </a:p>
        </c:rich>
      </c:tx>
      <c:overlay val="0"/>
    </c:title>
    <c:autoTitleDeleted val="0"/>
    <c:plotArea>
      <c:layout/>
      <c:pieChart>
        <c:varyColors val="1"/>
        <c:ser>
          <c:idx val="0"/>
          <c:order val="0"/>
          <c:tx>
            <c:strRef>
              <c:f>'Pvit Prgm Type'!$B$9</c:f>
              <c:strCache>
                <c:ptCount val="1"/>
                <c:pt idx="0">
                  <c:v>Count of ProgramType</c:v>
                </c:pt>
              </c:strCache>
            </c:strRef>
          </c:tx>
          <c:explosion val="25"/>
          <c:dPt>
            <c:idx val="0"/>
            <c:bubble3D val="0"/>
            <c:extLst>
              <c:ext xmlns:c16="http://schemas.microsoft.com/office/drawing/2014/chart" uri="{C3380CC4-5D6E-409C-BE32-E72D297353CC}">
                <c16:uniqueId val="{00000001-ED75-4939-8ACB-6E4BA96B376E}"/>
              </c:ext>
            </c:extLst>
          </c:dPt>
          <c:dPt>
            <c:idx val="1"/>
            <c:bubble3D val="0"/>
            <c:extLst>
              <c:ext xmlns:c16="http://schemas.microsoft.com/office/drawing/2014/chart" uri="{C3380CC4-5D6E-409C-BE32-E72D297353CC}">
                <c16:uniqueId val="{00000003-ED75-4939-8ACB-6E4BA96B376E}"/>
              </c:ext>
            </c:extLst>
          </c:dPt>
          <c:dPt>
            <c:idx val="2"/>
            <c:bubble3D val="0"/>
            <c:extLst>
              <c:ext xmlns:c16="http://schemas.microsoft.com/office/drawing/2014/chart" uri="{C3380CC4-5D6E-409C-BE32-E72D297353CC}">
                <c16:uniqueId val="{00000005-ED75-4939-8ACB-6E4BA96B376E}"/>
              </c:ext>
            </c:extLst>
          </c:dPt>
          <c:dLbls>
            <c:dLbl>
              <c:idx val="0"/>
              <c:layout>
                <c:manualLayout>
                  <c:x val="-7.4240816348573713E-2"/>
                  <c:y val="0.18540862501945252"/>
                </c:manualLayout>
              </c:layout>
              <c:tx>
                <c:rich>
                  <a:bodyPr/>
                  <a:lstStyle/>
                  <a:p>
                    <a:r>
                      <a:rPr lang="en-US"/>
                      <a:t>5,158</a:t>
                    </a:r>
                  </a:p>
                  <a:p>
                    <a:r>
                      <a:rPr lang="en-US"/>
                      <a:t>19%</a:t>
                    </a:r>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D75-4939-8ACB-6E4BA96B376E}"/>
                </c:ext>
              </c:extLst>
            </c:dLbl>
            <c:dLbl>
              <c:idx val="1"/>
              <c:layout>
                <c:manualLayout>
                  <c:x val="-0.11159918667573961"/>
                  <c:y val="4.9914408902695384E-3"/>
                </c:manualLayout>
              </c:layout>
              <c:tx>
                <c:rich>
                  <a:bodyPr/>
                  <a:lstStyle/>
                  <a:p>
                    <a:r>
                      <a:rPr lang="en-US"/>
                      <a:t>3,150</a:t>
                    </a:r>
                  </a:p>
                  <a:p>
                    <a:r>
                      <a:rPr lang="en-US"/>
                      <a:t>11%</a:t>
                    </a:r>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D75-4939-8ACB-6E4BA96B376E}"/>
                </c:ext>
              </c:extLst>
            </c:dLbl>
            <c:dLbl>
              <c:idx val="2"/>
              <c:tx>
                <c:rich>
                  <a:bodyPr/>
                  <a:lstStyle/>
                  <a:p>
                    <a:r>
                      <a:rPr lang="en-US"/>
                      <a:t>19,260</a:t>
                    </a:r>
                  </a:p>
                  <a:p>
                    <a:r>
                      <a:rPr lang="en-US"/>
                      <a:t>70%</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D75-4939-8ACB-6E4BA96B376E}"/>
                </c:ext>
              </c:extLst>
            </c:dLbl>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1"/>
            <c:extLst>
              <c:ext xmlns:c15="http://schemas.microsoft.com/office/drawing/2012/chart" uri="{CE6537A1-D6FC-4f65-9D91-7224C49458BB}"/>
            </c:extLst>
          </c:dLbls>
          <c:cat>
            <c:strRef>
              <c:f>'Pvit Prgm Type'!$A$10:$A$12</c:f>
              <c:strCache>
                <c:ptCount val="3"/>
                <c:pt idx="0">
                  <c:v>Alternative, IHE-based</c:v>
                </c:pt>
                <c:pt idx="1">
                  <c:v>Alternative, not IHE-based</c:v>
                </c:pt>
                <c:pt idx="2">
                  <c:v>Traditional</c:v>
                </c:pt>
              </c:strCache>
            </c:strRef>
          </c:cat>
          <c:val>
            <c:numRef>
              <c:f>'Pvit Prgm Type'!$B$10:$B$12</c:f>
              <c:numCache>
                <c:formatCode>General</c:formatCode>
                <c:ptCount val="3"/>
                <c:pt idx="0">
                  <c:v>5158</c:v>
                </c:pt>
                <c:pt idx="1">
                  <c:v>3150</c:v>
                </c:pt>
                <c:pt idx="2">
                  <c:v>19260</c:v>
                </c:pt>
              </c:numCache>
            </c:numRef>
          </c:val>
          <c:extLst>
            <c:ext xmlns:c16="http://schemas.microsoft.com/office/drawing/2014/chart" uri="{C3380CC4-5D6E-409C-BE32-E72D297353CC}">
              <c16:uniqueId val="{00000006-ED75-4939-8ACB-6E4BA96B376E}"/>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Teacher preparation program enrollment</a:t>
            </a:r>
            <a:r>
              <a:rPr lang="en-US" baseline="0"/>
              <a:t> continues to decrease.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4904214559386999E-2"/>
          <c:y val="9.7937292232188278E-2"/>
          <c:w val="0.95019157088122597"/>
          <c:h val="0.77513916876637101"/>
        </c:manualLayout>
      </c:layout>
      <c:lineChart>
        <c:grouping val="standard"/>
        <c:varyColors val="0"/>
        <c:ser>
          <c:idx val="0"/>
          <c:order val="0"/>
          <c:tx>
            <c:strRef>
              <c:f>'Enrollment Chart'!$B$2</c:f>
              <c:strCache>
                <c:ptCount val="1"/>
                <c:pt idx="0">
                  <c:v>All Programs</c:v>
                </c:pt>
              </c:strCache>
            </c:strRef>
          </c:tx>
          <c:spPr>
            <a:ln w="28575" cap="rnd">
              <a:solidFill>
                <a:schemeClr val="accent5">
                  <a:lumMod val="75000"/>
                </a:schemeClr>
              </a:solidFill>
              <a:round/>
            </a:ln>
            <a:effectLst/>
          </c:spPr>
          <c:marker>
            <c:symbol val="circle"/>
            <c:size val="5"/>
            <c:spPr>
              <a:solidFill>
                <a:schemeClr val="accent1"/>
              </a:solidFill>
              <a:ln w="9525">
                <a:solidFill>
                  <a:schemeClr val="accent1"/>
                </a:solidFill>
              </a:ln>
              <a:effectLst/>
            </c:spPr>
          </c:marker>
          <c:dLbls>
            <c:dLbl>
              <c:idx val="0"/>
              <c:tx>
                <c:rich>
                  <a:bodyPr/>
                  <a:lstStyle/>
                  <a:p>
                    <a:r>
                      <a:rPr lang="en-US"/>
                      <a:t>Total</a:t>
                    </a:r>
                  </a:p>
                  <a:p>
                    <a:r>
                      <a:rPr lang="en-US"/>
                      <a:t>639,449</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72D-4E18-851F-E7CE33748674}"/>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5">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'Enrollment Chart'!$A$3:$A$8</c:f>
              <c:strCache>
                <c:ptCount val="6"/>
                <c:pt idx="0">
                  <c:v>AY 2009-10</c:v>
                </c:pt>
                <c:pt idx="1">
                  <c:v>AY 2010-11</c:v>
                </c:pt>
                <c:pt idx="2">
                  <c:v>AY 2011-12</c:v>
                </c:pt>
                <c:pt idx="3">
                  <c:v>AY 2012-13</c:v>
                </c:pt>
                <c:pt idx="4">
                  <c:v>AY 2013-14</c:v>
                </c:pt>
                <c:pt idx="5">
                  <c:v>AY 2014-15</c:v>
                </c:pt>
              </c:strCache>
            </c:strRef>
          </c:cat>
          <c:val>
            <c:numRef>
              <c:f>'Enrollment Chart'!$B$3:$B$8</c:f>
              <c:numCache>
                <c:formatCode>General</c:formatCode>
                <c:ptCount val="6"/>
                <c:pt idx="0" formatCode="#,##0">
                  <c:v>639449</c:v>
                </c:pt>
                <c:pt idx="1">
                  <c:v>684801</c:v>
                </c:pt>
                <c:pt idx="2">
                  <c:v>623190</c:v>
                </c:pt>
                <c:pt idx="3">
                  <c:v>499800</c:v>
                </c:pt>
                <c:pt idx="4">
                  <c:v>465189</c:v>
                </c:pt>
                <c:pt idx="5">
                  <c:v>436160</c:v>
                </c:pt>
              </c:numCache>
            </c:numRef>
          </c:val>
          <c:smooth val="0"/>
          <c:extLst>
            <c:ext xmlns:c16="http://schemas.microsoft.com/office/drawing/2014/chart" uri="{C3380CC4-5D6E-409C-BE32-E72D297353CC}">
              <c16:uniqueId val="{00000006-3A7E-4DED-B42E-CAF6C564CF2E}"/>
            </c:ext>
          </c:extLst>
        </c:ser>
        <c:ser>
          <c:idx val="1"/>
          <c:order val="1"/>
          <c:tx>
            <c:strRef>
              <c:f>'Enrollment Chart'!$C$2</c:f>
              <c:strCache>
                <c:ptCount val="1"/>
                <c:pt idx="0">
                  <c:v>Traditional</c:v>
                </c:pt>
              </c:strCache>
            </c:strRef>
          </c:tx>
          <c:spPr>
            <a:ln w="28575" cap="rnd">
              <a:solidFill>
                <a:schemeClr val="accent3">
                  <a:lumMod val="75000"/>
                </a:schemeClr>
              </a:solidFill>
              <a:round/>
            </a:ln>
            <a:effectLst/>
          </c:spPr>
          <c:marker>
            <c:symbol val="circle"/>
            <c:size val="5"/>
            <c:spPr>
              <a:solidFill>
                <a:schemeClr val="accent3">
                  <a:lumMod val="75000"/>
                </a:schemeClr>
              </a:solidFill>
              <a:ln w="9525">
                <a:noFill/>
              </a:ln>
              <a:effectLst/>
            </c:spPr>
          </c:marker>
          <c:dLbls>
            <c:dLbl>
              <c:idx val="0"/>
              <c:tx>
                <c:rich>
                  <a:bodyPr/>
                  <a:lstStyle/>
                  <a:p>
                    <a:r>
                      <a:rPr lang="en-US"/>
                      <a:t>Traditional</a:t>
                    </a:r>
                  </a:p>
                  <a:p>
                    <a:r>
                      <a:rPr lang="en-US"/>
                      <a:t>558,519</a:t>
                    </a:r>
                  </a:p>
                </c:rich>
              </c:tx>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72D-4E18-851F-E7CE33748674}"/>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3">
                        <a:lumMod val="7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'Enrollment Chart'!$A$3:$A$8</c:f>
              <c:strCache>
                <c:ptCount val="6"/>
                <c:pt idx="0">
                  <c:v>AY 2009-10</c:v>
                </c:pt>
                <c:pt idx="1">
                  <c:v>AY 2010-11</c:v>
                </c:pt>
                <c:pt idx="2">
                  <c:v>AY 2011-12</c:v>
                </c:pt>
                <c:pt idx="3">
                  <c:v>AY 2012-13</c:v>
                </c:pt>
                <c:pt idx="4">
                  <c:v>AY 2013-14</c:v>
                </c:pt>
                <c:pt idx="5">
                  <c:v>AY 2014-15</c:v>
                </c:pt>
              </c:strCache>
            </c:strRef>
          </c:cat>
          <c:val>
            <c:numRef>
              <c:f>'Enrollment Chart'!$C$3:$C$8</c:f>
              <c:numCache>
                <c:formatCode>General</c:formatCode>
                <c:ptCount val="6"/>
                <c:pt idx="0">
                  <c:v>558519</c:v>
                </c:pt>
                <c:pt idx="1">
                  <c:v>611766</c:v>
                </c:pt>
                <c:pt idx="2">
                  <c:v>561180</c:v>
                </c:pt>
                <c:pt idx="3">
                  <c:v>447116</c:v>
                </c:pt>
                <c:pt idx="4">
                  <c:v>397386</c:v>
                </c:pt>
                <c:pt idx="5">
                  <c:v>357449</c:v>
                </c:pt>
              </c:numCache>
            </c:numRef>
          </c:val>
          <c:smooth val="0"/>
          <c:extLst>
            <c:ext xmlns:c16="http://schemas.microsoft.com/office/drawing/2014/chart" uri="{C3380CC4-5D6E-409C-BE32-E72D297353CC}">
              <c16:uniqueId val="{0000000D-3A7E-4DED-B42E-CAF6C564CF2E}"/>
            </c:ext>
          </c:extLst>
        </c:ser>
        <c:ser>
          <c:idx val="2"/>
          <c:order val="2"/>
          <c:tx>
            <c:strRef>
              <c:f>'Enrollment Chart'!$D$2</c:f>
              <c:strCache>
                <c:ptCount val="1"/>
                <c:pt idx="0">
                  <c:v>Alternative, IHE Based</c:v>
                </c:pt>
              </c:strCache>
            </c:strRef>
          </c:tx>
          <c:spPr>
            <a:ln w="28575" cap="rnd">
              <a:solidFill>
                <a:schemeClr val="accent1">
                  <a:lumMod val="75000"/>
                </a:schemeClr>
              </a:solidFill>
              <a:round/>
            </a:ln>
            <a:effectLst/>
          </c:spPr>
          <c:marker>
            <c:symbol val="circle"/>
            <c:size val="5"/>
            <c:spPr>
              <a:solidFill>
                <a:schemeClr val="tx2">
                  <a:lumMod val="75000"/>
                </a:schemeClr>
              </a:solidFill>
              <a:ln w="9525">
                <a:noFill/>
              </a:ln>
              <a:effectLst/>
            </c:spPr>
          </c:marker>
          <c:dLbls>
            <c:dLbl>
              <c:idx val="0"/>
              <c:layout>
                <c:manualLayout>
                  <c:x val="-0.11532362181654897"/>
                  <c:y val="1.1072319201995013E-2"/>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tx2">
                            <a:lumMod val="75000"/>
                          </a:schemeClr>
                        </a:solidFill>
                        <a:latin typeface="+mn-lt"/>
                        <a:ea typeface="+mn-ea"/>
                        <a:cs typeface="+mn-cs"/>
                      </a:defRPr>
                    </a:pPr>
                    <a:r>
                      <a:rPr lang="en-US"/>
                      <a:t>Alternative, </a:t>
                    </a:r>
                  </a:p>
                  <a:p>
                    <a:pPr>
                      <a:defRPr sz="1000" b="1">
                        <a:solidFill>
                          <a:schemeClr val="tx2">
                            <a:lumMod val="75000"/>
                          </a:schemeClr>
                        </a:solidFill>
                      </a:defRPr>
                    </a:pPr>
                    <a:r>
                      <a:rPr lang="en-US"/>
                      <a:t>IHE-based</a:t>
                    </a:r>
                  </a:p>
                  <a:p>
                    <a:pPr>
                      <a:defRPr sz="1000" b="1">
                        <a:solidFill>
                          <a:schemeClr val="tx2">
                            <a:lumMod val="75000"/>
                          </a:schemeClr>
                        </a:solidFill>
                      </a:defRPr>
                    </a:pPr>
                    <a:r>
                      <a:rPr lang="en-US"/>
                      <a:t>39,509</a:t>
                    </a:r>
                  </a:p>
                </c:rich>
              </c:tx>
              <c:spPr>
                <a:noFill/>
                <a:ln>
                  <a:noFill/>
                </a:ln>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tx2">
                          <a:lumMod val="7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2156689548421799"/>
                      <c:h val="0.17619802763304199"/>
                    </c:manualLayout>
                  </c15:layout>
                </c:ext>
                <c:ext xmlns:c16="http://schemas.microsoft.com/office/drawing/2014/chart" uri="{C3380CC4-5D6E-409C-BE32-E72D297353CC}">
                  <c16:uniqueId val="{0000000E-3A7E-4DED-B42E-CAF6C564CF2E}"/>
                </c:ext>
              </c:extLst>
            </c:dLbl>
            <c:dLbl>
              <c:idx val="1"/>
              <c:layout>
                <c:manualLayout>
                  <c:x val="-3.23205010463559E-2"/>
                  <c:y val="2.9284542557180201E-2"/>
                </c:manualLayout>
              </c:layout>
              <c:tx>
                <c:rich>
                  <a:bodyPr/>
                  <a:lstStyle/>
                  <a:p>
                    <a:r>
                      <a:rPr lang="en-US" baseline="0"/>
                      <a:t>36,978</a:t>
                    </a:r>
                    <a:endParaRPr lang="en-US"/>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3A7E-4DED-B42E-CAF6C564CF2E}"/>
                </c:ext>
              </c:extLst>
            </c:dLbl>
            <c:dLbl>
              <c:idx val="2"/>
              <c:layout>
                <c:manualLayout>
                  <c:x val="-3.81226053639847E-2"/>
                  <c:y val="3.6181102362204703E-2"/>
                </c:manualLayout>
              </c:layout>
              <c:tx>
                <c:rich>
                  <a:bodyPr/>
                  <a:lstStyle/>
                  <a:p>
                    <a:r>
                      <a:rPr lang="en-US" baseline="0"/>
                      <a:t>32,276</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3A7E-4DED-B42E-CAF6C564CF2E}"/>
                </c:ext>
              </c:extLst>
            </c:dLbl>
            <c:dLbl>
              <c:idx val="3"/>
              <c:layout>
                <c:manualLayout>
                  <c:x val="-4.0038314176245302E-2"/>
                  <c:y val="2.58362747759978E-2"/>
                </c:manualLayout>
              </c:layout>
              <c:tx>
                <c:rich>
                  <a:bodyPr/>
                  <a:lstStyle/>
                  <a:p>
                    <a:r>
                      <a:rPr lang="en-US" baseline="0"/>
                      <a:t>25,135</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3A7E-4DED-B42E-CAF6C564CF2E}"/>
                </c:ext>
              </c:extLst>
            </c:dLbl>
            <c:dLbl>
              <c:idx val="4"/>
              <c:layout>
                <c:manualLayout>
                  <c:x val="-4.0038314176245197E-2"/>
                  <c:y val="2.92845506380668E-2"/>
                </c:manualLayout>
              </c:layout>
              <c:tx>
                <c:rich>
                  <a:bodyPr/>
                  <a:lstStyle/>
                  <a:p>
                    <a:r>
                      <a:rPr lang="en-US" baseline="0"/>
                      <a:t>26,362</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3A7E-4DED-B42E-CAF6C564CF2E}"/>
                </c:ext>
              </c:extLst>
            </c:dLbl>
            <c:dLbl>
              <c:idx val="5"/>
              <c:layout>
                <c:manualLayout>
                  <c:x val="-4.0038314176245197E-2"/>
                  <c:y val="2.92845506380668E-2"/>
                </c:manualLayout>
              </c:layout>
              <c:tx>
                <c:rich>
                  <a:bodyPr/>
                  <a:lstStyle/>
                  <a:p>
                    <a:r>
                      <a:rPr lang="en-US" baseline="0"/>
                      <a:t>25,941</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3A7E-4DED-B42E-CAF6C564CF2E}"/>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2">
                        <a:lumMod val="7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'Enrollment Chart'!$A$3:$A$8</c:f>
              <c:strCache>
                <c:ptCount val="6"/>
                <c:pt idx="0">
                  <c:v>AY 2009-10</c:v>
                </c:pt>
                <c:pt idx="1">
                  <c:v>AY 2010-11</c:v>
                </c:pt>
                <c:pt idx="2">
                  <c:v>AY 2011-12</c:v>
                </c:pt>
                <c:pt idx="3">
                  <c:v>AY 2012-13</c:v>
                </c:pt>
                <c:pt idx="4">
                  <c:v>AY 2013-14</c:v>
                </c:pt>
                <c:pt idx="5">
                  <c:v>AY 2014-15</c:v>
                </c:pt>
              </c:strCache>
            </c:strRef>
          </c:cat>
          <c:val>
            <c:numRef>
              <c:f>'Enrollment Chart'!$D$3:$D$8</c:f>
              <c:numCache>
                <c:formatCode>General</c:formatCode>
                <c:ptCount val="6"/>
                <c:pt idx="0">
                  <c:v>39509</c:v>
                </c:pt>
                <c:pt idx="1">
                  <c:v>36978</c:v>
                </c:pt>
                <c:pt idx="2">
                  <c:v>32276</c:v>
                </c:pt>
                <c:pt idx="3">
                  <c:v>25135</c:v>
                </c:pt>
                <c:pt idx="4">
                  <c:v>26362</c:v>
                </c:pt>
                <c:pt idx="5">
                  <c:v>25941</c:v>
                </c:pt>
              </c:numCache>
            </c:numRef>
          </c:val>
          <c:smooth val="0"/>
          <c:extLst>
            <c:ext xmlns:c16="http://schemas.microsoft.com/office/drawing/2014/chart" uri="{C3380CC4-5D6E-409C-BE32-E72D297353CC}">
              <c16:uniqueId val="{00000014-3A7E-4DED-B42E-CAF6C564CF2E}"/>
            </c:ext>
          </c:extLst>
        </c:ser>
        <c:ser>
          <c:idx val="3"/>
          <c:order val="3"/>
          <c:tx>
            <c:strRef>
              <c:f>'Enrollment Chart'!$E$2</c:f>
              <c:strCache>
                <c:ptCount val="1"/>
                <c:pt idx="0">
                  <c:v>Alternative, non IHE Based</c:v>
                </c:pt>
              </c:strCache>
            </c:strRef>
          </c:tx>
          <c:spPr>
            <a:ln w="28575" cap="rnd">
              <a:solidFill>
                <a:schemeClr val="accent6">
                  <a:lumMod val="75000"/>
                </a:schemeClr>
              </a:solidFill>
              <a:round/>
            </a:ln>
            <a:effectLst/>
          </c:spPr>
          <c:marker>
            <c:symbol val="circle"/>
            <c:size val="5"/>
            <c:spPr>
              <a:solidFill>
                <a:schemeClr val="accent6">
                  <a:lumMod val="75000"/>
                </a:schemeClr>
              </a:solidFill>
              <a:ln w="9525">
                <a:noFill/>
              </a:ln>
              <a:effectLst/>
            </c:spPr>
          </c:marker>
          <c:dLbls>
            <c:dLbl>
              <c:idx val="0"/>
              <c:layout>
                <c:manualLayout>
                  <c:x val="-0.10201880351572834"/>
                  <c:y val="-0.10049383465486163"/>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accent6">
                            <a:lumMod val="75000"/>
                          </a:schemeClr>
                        </a:solidFill>
                        <a:latin typeface="+mn-lt"/>
                        <a:ea typeface="+mn-ea"/>
                        <a:cs typeface="+mn-cs"/>
                      </a:defRPr>
                    </a:pPr>
                    <a:r>
                      <a:rPr lang="en-US"/>
                      <a:t>Alternative, </a:t>
                    </a:r>
                  </a:p>
                  <a:p>
                    <a:pPr>
                      <a:defRPr sz="1000" b="1">
                        <a:solidFill>
                          <a:schemeClr val="accent6">
                            <a:lumMod val="75000"/>
                          </a:schemeClr>
                        </a:solidFill>
                      </a:defRPr>
                    </a:pPr>
                    <a:r>
                      <a:rPr lang="en-US"/>
                      <a:t>not</a:t>
                    </a:r>
                    <a:r>
                      <a:rPr lang="en-US" baseline="0"/>
                      <a:t> IHE-based</a:t>
                    </a:r>
                  </a:p>
                  <a:p>
                    <a:pPr>
                      <a:defRPr sz="1000" b="1">
                        <a:solidFill>
                          <a:schemeClr val="accent6">
                            <a:lumMod val="75000"/>
                          </a:schemeClr>
                        </a:solidFill>
                      </a:defRPr>
                    </a:pPr>
                    <a:r>
                      <a:rPr lang="en-US"/>
                      <a:t>41,421</a:t>
                    </a:r>
                  </a:p>
                </c:rich>
              </c:tx>
              <c:spPr>
                <a:noFill/>
                <a:ln>
                  <a:noFill/>
                </a:ln>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accent6">
                          <a:lumMod val="7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52227606164614"/>
                      <c:h val="0.14783716645431"/>
                    </c:manualLayout>
                  </c15:layout>
                </c:ext>
                <c:ext xmlns:c16="http://schemas.microsoft.com/office/drawing/2014/chart" uri="{C3380CC4-5D6E-409C-BE32-E72D297353CC}">
                  <c16:uniqueId val="{00000015-3A7E-4DED-B42E-CAF6C564CF2E}"/>
                </c:ext>
              </c:extLst>
            </c:dLbl>
            <c:dLbl>
              <c:idx val="1"/>
              <c:tx>
                <c:rich>
                  <a:bodyPr/>
                  <a:lstStyle/>
                  <a:p>
                    <a:r>
                      <a:rPr lang="en-US"/>
                      <a:t>36,057</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72D-4E18-851F-E7CE33748674}"/>
                </c:ext>
              </c:extLst>
            </c:dLbl>
            <c:dLbl>
              <c:idx val="2"/>
              <c:tx>
                <c:rich>
                  <a:bodyPr/>
                  <a:lstStyle/>
                  <a:p>
                    <a:r>
                      <a:rPr lang="en-US"/>
                      <a:t>29,734</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72D-4E18-851F-E7CE33748674}"/>
                </c:ext>
              </c:extLst>
            </c:dLbl>
            <c:dLbl>
              <c:idx val="3"/>
              <c:tx>
                <c:rich>
                  <a:bodyPr/>
                  <a:lstStyle/>
                  <a:p>
                    <a:r>
                      <a:rPr lang="en-US"/>
                      <a:t>27,549</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72D-4E18-851F-E7CE33748674}"/>
                </c:ext>
              </c:extLst>
            </c:dLbl>
            <c:dLbl>
              <c:idx val="4"/>
              <c:tx>
                <c:rich>
                  <a:bodyPr/>
                  <a:lstStyle/>
                  <a:p>
                    <a:r>
                      <a:rPr lang="en-US"/>
                      <a:t>41,441</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72D-4E18-851F-E7CE33748674}"/>
                </c:ext>
              </c:extLst>
            </c:dLbl>
            <c:dLbl>
              <c:idx val="5"/>
              <c:tx>
                <c:rich>
                  <a:bodyPr/>
                  <a:lstStyle/>
                  <a:p>
                    <a:r>
                      <a:rPr lang="en-US"/>
                      <a:t>52,770</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72D-4E18-851F-E7CE3374867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6">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'Enrollment Chart'!$A$3:$A$8</c:f>
              <c:strCache>
                <c:ptCount val="6"/>
                <c:pt idx="0">
                  <c:v>AY 2009-10</c:v>
                </c:pt>
                <c:pt idx="1">
                  <c:v>AY 2010-11</c:v>
                </c:pt>
                <c:pt idx="2">
                  <c:v>AY 2011-12</c:v>
                </c:pt>
                <c:pt idx="3">
                  <c:v>AY 2012-13</c:v>
                </c:pt>
                <c:pt idx="4">
                  <c:v>AY 2013-14</c:v>
                </c:pt>
                <c:pt idx="5">
                  <c:v>AY 2014-15</c:v>
                </c:pt>
              </c:strCache>
            </c:strRef>
          </c:cat>
          <c:val>
            <c:numRef>
              <c:f>'Enrollment Chart'!$E$3:$E$8</c:f>
              <c:numCache>
                <c:formatCode>General</c:formatCode>
                <c:ptCount val="6"/>
                <c:pt idx="0">
                  <c:v>41421</c:v>
                </c:pt>
                <c:pt idx="1">
                  <c:v>36057</c:v>
                </c:pt>
                <c:pt idx="2">
                  <c:v>29734</c:v>
                </c:pt>
                <c:pt idx="3">
                  <c:v>27549</c:v>
                </c:pt>
                <c:pt idx="4">
                  <c:v>41441</c:v>
                </c:pt>
                <c:pt idx="5">
                  <c:v>52770</c:v>
                </c:pt>
              </c:numCache>
            </c:numRef>
          </c:val>
          <c:smooth val="0"/>
          <c:extLst>
            <c:ext xmlns:c16="http://schemas.microsoft.com/office/drawing/2014/chart" uri="{C3380CC4-5D6E-409C-BE32-E72D297353CC}">
              <c16:uniqueId val="{0000001B-3A7E-4DED-B42E-CAF6C564CF2E}"/>
            </c:ext>
          </c:extLst>
        </c:ser>
        <c:dLbls>
          <c:showLegendKey val="0"/>
          <c:showVal val="0"/>
          <c:showCatName val="0"/>
          <c:showSerName val="0"/>
          <c:showPercent val="0"/>
          <c:showBubbleSize val="0"/>
        </c:dLbls>
        <c:marker val="1"/>
        <c:smooth val="0"/>
        <c:axId val="76160384"/>
        <c:axId val="76170368"/>
      </c:lineChart>
      <c:catAx>
        <c:axId val="7616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70368"/>
        <c:crosses val="autoZero"/>
        <c:auto val="1"/>
        <c:lblAlgn val="ctr"/>
        <c:lblOffset val="100"/>
        <c:noMultiLvlLbl val="0"/>
      </c:catAx>
      <c:valAx>
        <c:axId val="76170368"/>
        <c:scaling>
          <c:orientation val="minMax"/>
        </c:scaling>
        <c:delete val="1"/>
        <c:axPos val="l"/>
        <c:numFmt formatCode="#,##0" sourceLinked="1"/>
        <c:majorTickMark val="none"/>
        <c:minorTickMark val="none"/>
        <c:tickLblPos val="nextTo"/>
        <c:crossAx val="761603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Teacher</a:t>
            </a:r>
            <a:r>
              <a:rPr lang="en-US" baseline="0"/>
              <a:t> preparation program completer numbers continue to decrease.</a:t>
            </a:r>
            <a:endParaRPr lang="en-US"/>
          </a:p>
        </c:rich>
      </c:tx>
      <c:overlay val="0"/>
      <c:spPr>
        <a:noFill/>
        <a:ln>
          <a:noFill/>
        </a:ln>
        <a:effectLst/>
      </c:spPr>
    </c:title>
    <c:autoTitleDeleted val="0"/>
    <c:plotArea>
      <c:layout>
        <c:manualLayout>
          <c:layoutTarget val="inner"/>
          <c:xMode val="edge"/>
          <c:yMode val="edge"/>
          <c:x val="2.3504273504273504E-2"/>
          <c:y val="0.10629629629629629"/>
          <c:w val="0.95299145299145294"/>
          <c:h val="0.83233262508853056"/>
        </c:manualLayout>
      </c:layout>
      <c:lineChart>
        <c:grouping val="standard"/>
        <c:varyColors val="0"/>
        <c:ser>
          <c:idx val="0"/>
          <c:order val="0"/>
          <c:tx>
            <c:strRef>
              <c:f>'Completers Chart'!$B$1</c:f>
              <c:strCache>
                <c:ptCount val="1"/>
                <c:pt idx="0">
                  <c:v>All Programs</c:v>
                </c:pt>
              </c:strCache>
            </c:strRef>
          </c:tx>
          <c:spPr>
            <a:ln w="28575" cap="rnd">
              <a:solidFill>
                <a:schemeClr val="accent5">
                  <a:lumMod val="75000"/>
                </a:schemeClr>
              </a:solidFill>
              <a:round/>
            </a:ln>
            <a:effectLst/>
          </c:spPr>
          <c:marker>
            <c:symbol val="circle"/>
            <c:size val="5"/>
            <c:spPr>
              <a:solidFill>
                <a:schemeClr val="accent5">
                  <a:lumMod val="75000"/>
                </a:schemeClr>
              </a:solidFill>
              <a:ln w="9525">
                <a:noFill/>
              </a:ln>
              <a:effectLst/>
            </c:spPr>
          </c:marker>
          <c:dLbls>
            <c:dLbl>
              <c:idx val="0"/>
              <c:tx>
                <c:rich>
                  <a:bodyPr/>
                  <a:lstStyle/>
                  <a:p>
                    <a:r>
                      <a:rPr lang="en-US"/>
                      <a:t>Total</a:t>
                    </a:r>
                  </a:p>
                  <a:p>
                    <a:r>
                      <a:rPr lang="en-US"/>
                      <a:t>219,321</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F86-493D-879C-2703C50B18D1}"/>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5">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'Completers Chart'!$A$2:$A$7</c:f>
              <c:strCache>
                <c:ptCount val="6"/>
                <c:pt idx="0">
                  <c:v>AY 2009-10</c:v>
                </c:pt>
                <c:pt idx="1">
                  <c:v>AY 2010-11</c:v>
                </c:pt>
                <c:pt idx="2">
                  <c:v>AY 2011-12</c:v>
                </c:pt>
                <c:pt idx="3">
                  <c:v>AY 2012-13</c:v>
                </c:pt>
                <c:pt idx="4">
                  <c:v>AY 2013-14</c:v>
                </c:pt>
                <c:pt idx="5">
                  <c:v>AY 2014-15</c:v>
                </c:pt>
              </c:strCache>
            </c:strRef>
          </c:cat>
          <c:val>
            <c:numRef>
              <c:f>'Completers Chart'!$B$2:$B$7</c:f>
              <c:numCache>
                <c:formatCode>#,##0</c:formatCode>
                <c:ptCount val="6"/>
                <c:pt idx="0">
                  <c:v>219321</c:v>
                </c:pt>
                <c:pt idx="1">
                  <c:v>216630</c:v>
                </c:pt>
                <c:pt idx="2">
                  <c:v>201676</c:v>
                </c:pt>
                <c:pt idx="3">
                  <c:v>191747</c:v>
                </c:pt>
                <c:pt idx="4">
                  <c:v>180481</c:v>
                </c:pt>
                <c:pt idx="5">
                  <c:v>172150</c:v>
                </c:pt>
              </c:numCache>
            </c:numRef>
          </c:val>
          <c:smooth val="0"/>
          <c:extLst>
            <c:ext xmlns:c16="http://schemas.microsoft.com/office/drawing/2014/chart" uri="{C3380CC4-5D6E-409C-BE32-E72D297353CC}">
              <c16:uniqueId val="{00000005-86A3-4BA5-A190-E1CD08993676}"/>
            </c:ext>
          </c:extLst>
        </c:ser>
        <c:ser>
          <c:idx val="1"/>
          <c:order val="1"/>
          <c:tx>
            <c:strRef>
              <c:f>'Completers Chart'!$C$1</c:f>
              <c:strCache>
                <c:ptCount val="1"/>
                <c:pt idx="0">
                  <c:v>Traditional</c:v>
                </c:pt>
              </c:strCache>
            </c:strRef>
          </c:tx>
          <c:spPr>
            <a:ln w="28575" cap="rnd">
              <a:solidFill>
                <a:schemeClr val="accent3">
                  <a:lumMod val="75000"/>
                </a:schemeClr>
              </a:solidFill>
              <a:round/>
            </a:ln>
            <a:effectLst/>
          </c:spPr>
          <c:marker>
            <c:symbol val="circle"/>
            <c:size val="5"/>
            <c:spPr>
              <a:solidFill>
                <a:schemeClr val="accent3">
                  <a:lumMod val="75000"/>
                </a:schemeClr>
              </a:solidFill>
              <a:ln w="9525">
                <a:noFill/>
              </a:ln>
              <a:effectLst/>
            </c:spPr>
          </c:marker>
          <c:dLbls>
            <c:dLbl>
              <c:idx val="0"/>
              <c:tx>
                <c:rich>
                  <a:bodyPr/>
                  <a:lstStyle/>
                  <a:p>
                    <a:r>
                      <a:rPr lang="en-US"/>
                      <a:t>Traditional</a:t>
                    </a:r>
                  </a:p>
                  <a:p>
                    <a:r>
                      <a:rPr lang="en-US"/>
                      <a:t>177,619</a:t>
                    </a:r>
                  </a:p>
                </c:rich>
              </c:tx>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F86-493D-879C-2703C50B18D1}"/>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3">
                        <a:lumMod val="7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'Completers Chart'!$A$2:$A$7</c:f>
              <c:strCache>
                <c:ptCount val="6"/>
                <c:pt idx="0">
                  <c:v>AY 2009-10</c:v>
                </c:pt>
                <c:pt idx="1">
                  <c:v>AY 2010-11</c:v>
                </c:pt>
                <c:pt idx="2">
                  <c:v>AY 2011-12</c:v>
                </c:pt>
                <c:pt idx="3">
                  <c:v>AY 2012-13</c:v>
                </c:pt>
                <c:pt idx="4">
                  <c:v>AY 2013-14</c:v>
                </c:pt>
                <c:pt idx="5">
                  <c:v>AY 2014-15</c:v>
                </c:pt>
              </c:strCache>
            </c:strRef>
          </c:cat>
          <c:val>
            <c:numRef>
              <c:f>'Completers Chart'!$C$2:$C$7</c:f>
              <c:numCache>
                <c:formatCode>#,##0</c:formatCode>
                <c:ptCount val="6"/>
                <c:pt idx="0">
                  <c:v>177619</c:v>
                </c:pt>
                <c:pt idx="1">
                  <c:v>179742</c:v>
                </c:pt>
                <c:pt idx="2">
                  <c:v>172873</c:v>
                </c:pt>
                <c:pt idx="3">
                  <c:v>163278</c:v>
                </c:pt>
                <c:pt idx="4">
                  <c:v>149331</c:v>
                </c:pt>
                <c:pt idx="5">
                  <c:v>139443</c:v>
                </c:pt>
              </c:numCache>
            </c:numRef>
          </c:val>
          <c:smooth val="0"/>
          <c:extLst>
            <c:ext xmlns:c16="http://schemas.microsoft.com/office/drawing/2014/chart" uri="{C3380CC4-5D6E-409C-BE32-E72D297353CC}">
              <c16:uniqueId val="{0000000B-86A3-4BA5-A190-E1CD08993676}"/>
            </c:ext>
          </c:extLst>
        </c:ser>
        <c:ser>
          <c:idx val="2"/>
          <c:order val="2"/>
          <c:tx>
            <c:strRef>
              <c:f>'Completers Chart'!$D$1</c:f>
              <c:strCache>
                <c:ptCount val="1"/>
                <c:pt idx="0">
                  <c:v>Alternative, IHE Based</c:v>
                </c:pt>
              </c:strCache>
            </c:strRef>
          </c:tx>
          <c:spPr>
            <a:ln w="28575" cap="rnd">
              <a:solidFill>
                <a:schemeClr val="tx2">
                  <a:lumMod val="75000"/>
                </a:schemeClr>
              </a:solidFill>
              <a:round/>
            </a:ln>
            <a:effectLst/>
          </c:spPr>
          <c:marker>
            <c:symbol val="circle"/>
            <c:size val="5"/>
            <c:spPr>
              <a:solidFill>
                <a:schemeClr val="tx2">
                  <a:lumMod val="75000"/>
                </a:schemeClr>
              </a:solidFill>
              <a:ln w="9525">
                <a:noFill/>
              </a:ln>
              <a:effectLst/>
            </c:spPr>
          </c:marker>
          <c:dLbls>
            <c:dLbl>
              <c:idx val="0"/>
              <c:layout>
                <c:manualLayout>
                  <c:x val="-0.11745392568080699"/>
                  <c:y val="1.5625E-2"/>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tx2">
                            <a:lumMod val="75000"/>
                          </a:schemeClr>
                        </a:solidFill>
                        <a:latin typeface="+mn-lt"/>
                        <a:ea typeface="+mn-ea"/>
                        <a:cs typeface="+mn-cs"/>
                      </a:defRPr>
                    </a:pPr>
                    <a:r>
                      <a:rPr lang="en-US"/>
                      <a:t>Alternative, </a:t>
                    </a:r>
                  </a:p>
                  <a:p>
                    <a:pPr>
                      <a:defRPr sz="1000" b="1" i="0" u="none" strike="noStrike" kern="1200" baseline="0">
                        <a:solidFill>
                          <a:schemeClr val="tx2">
                            <a:lumMod val="75000"/>
                          </a:schemeClr>
                        </a:solidFill>
                        <a:latin typeface="+mn-lt"/>
                        <a:ea typeface="+mn-ea"/>
                        <a:cs typeface="+mn-cs"/>
                      </a:defRPr>
                    </a:pPr>
                    <a:r>
                      <a:rPr lang="en-US"/>
                      <a:t>IHE-based</a:t>
                    </a:r>
                  </a:p>
                  <a:p>
                    <a:pPr>
                      <a:defRPr sz="1000" b="1" i="0" u="none" strike="noStrike" kern="1200" baseline="0">
                        <a:solidFill>
                          <a:schemeClr val="tx2">
                            <a:lumMod val="75000"/>
                          </a:schemeClr>
                        </a:solidFill>
                        <a:latin typeface="+mn-lt"/>
                        <a:ea typeface="+mn-ea"/>
                        <a:cs typeface="+mn-cs"/>
                      </a:defRPr>
                    </a:pPr>
                    <a:r>
                      <a:rPr lang="en-US"/>
                      <a:t>18,298</a:t>
                    </a:r>
                  </a:p>
                </c:rich>
              </c:tx>
              <c:spPr>
                <a:noFill/>
                <a:ln>
                  <a:no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117720177037859"/>
                      <c:h val="0.16378124999999999"/>
                    </c:manualLayout>
                  </c15:layout>
                </c:ext>
                <c:ext xmlns:c16="http://schemas.microsoft.com/office/drawing/2014/chart" uri="{C3380CC4-5D6E-409C-BE32-E72D297353CC}">
                  <c16:uniqueId val="{0000000C-86A3-4BA5-A190-E1CD08993676}"/>
                </c:ext>
              </c:extLst>
            </c:dLbl>
            <c:dLbl>
              <c:idx val="1"/>
              <c:layout>
                <c:manualLayout>
                  <c:x val="-5.2404206133914499E-2"/>
                  <c:y val="3.15703740157479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6A3-4BA5-A190-E1CD08993676}"/>
                </c:ext>
              </c:extLst>
            </c:dLbl>
            <c:dLbl>
              <c:idx val="2"/>
              <c:layout>
                <c:manualLayout>
                  <c:x val="-8.9755060495428807E-2"/>
                  <c:y val="2.56407480314960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86A3-4BA5-A190-E1CD08993676}"/>
                </c:ext>
              </c:extLst>
            </c:dLbl>
            <c:dLbl>
              <c:idx val="3"/>
              <c:layout>
                <c:manualLayout>
                  <c:x val="-8.9755060495428807E-2"/>
                  <c:y val="2.56407480314959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86A3-4BA5-A190-E1CD08993676}"/>
                </c:ext>
              </c:extLst>
            </c:dLbl>
            <c:dLbl>
              <c:idx val="4"/>
              <c:layout>
                <c:manualLayout>
                  <c:x val="-5.2404206133914701E-2"/>
                  <c:y val="3.15703740157479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86A3-4BA5-A190-E1CD08993676}"/>
                </c:ext>
              </c:extLst>
            </c:dLbl>
            <c:dLbl>
              <c:idx val="5"/>
              <c:layout>
                <c:manualLayout>
                  <c:x val="-5.2404206133914499E-2"/>
                  <c:y val="2.84453740157478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86A3-4BA5-A190-E1CD08993676}"/>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2">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'Completers Chart'!$A$2:$A$7</c:f>
              <c:strCache>
                <c:ptCount val="6"/>
                <c:pt idx="0">
                  <c:v>AY 2009-10</c:v>
                </c:pt>
                <c:pt idx="1">
                  <c:v>AY 2010-11</c:v>
                </c:pt>
                <c:pt idx="2">
                  <c:v>AY 2011-12</c:v>
                </c:pt>
                <c:pt idx="3">
                  <c:v>AY 2012-13</c:v>
                </c:pt>
                <c:pt idx="4">
                  <c:v>AY 2013-14</c:v>
                </c:pt>
                <c:pt idx="5">
                  <c:v>AY 2014-15</c:v>
                </c:pt>
              </c:strCache>
            </c:strRef>
          </c:cat>
          <c:val>
            <c:numRef>
              <c:f>'Completers Chart'!$D$2:$D$7</c:f>
              <c:numCache>
                <c:formatCode>#,##0</c:formatCode>
                <c:ptCount val="6"/>
                <c:pt idx="0">
                  <c:v>18298</c:v>
                </c:pt>
                <c:pt idx="1">
                  <c:v>16993</c:v>
                </c:pt>
                <c:pt idx="2">
                  <c:v>14179</c:v>
                </c:pt>
                <c:pt idx="3">
                  <c:v>13117</c:v>
                </c:pt>
                <c:pt idx="4">
                  <c:v>12927</c:v>
                </c:pt>
                <c:pt idx="5">
                  <c:v>12689</c:v>
                </c:pt>
              </c:numCache>
            </c:numRef>
          </c:val>
          <c:smooth val="0"/>
          <c:extLst>
            <c:ext xmlns:c16="http://schemas.microsoft.com/office/drawing/2014/chart" uri="{C3380CC4-5D6E-409C-BE32-E72D297353CC}">
              <c16:uniqueId val="{00000012-86A3-4BA5-A190-E1CD08993676}"/>
            </c:ext>
          </c:extLst>
        </c:ser>
        <c:ser>
          <c:idx val="3"/>
          <c:order val="3"/>
          <c:tx>
            <c:strRef>
              <c:f>'Completers Chart'!$E$1</c:f>
              <c:strCache>
                <c:ptCount val="1"/>
                <c:pt idx="0">
                  <c:v>Alternative, non IHE Based</c:v>
                </c:pt>
              </c:strCache>
            </c:strRef>
          </c:tx>
          <c:spPr>
            <a:ln w="28575" cap="rnd">
              <a:solidFill>
                <a:schemeClr val="accent6">
                  <a:lumMod val="75000"/>
                </a:schemeClr>
              </a:solidFill>
              <a:round/>
            </a:ln>
            <a:effectLst/>
          </c:spPr>
          <c:marker>
            <c:symbol val="circle"/>
            <c:size val="5"/>
            <c:spPr>
              <a:solidFill>
                <a:schemeClr val="accent6">
                  <a:lumMod val="75000"/>
                </a:schemeClr>
              </a:solidFill>
              <a:ln w="9525">
                <a:noFill/>
              </a:ln>
              <a:effectLst/>
            </c:spPr>
          </c:marker>
          <c:dLbls>
            <c:dLbl>
              <c:idx val="0"/>
              <c:tx>
                <c:rich>
                  <a:bodyPr/>
                  <a:lstStyle/>
                  <a:p>
                    <a:r>
                      <a:rPr lang="en-US"/>
                      <a:t>Alternative, </a:t>
                    </a:r>
                  </a:p>
                  <a:p>
                    <a:r>
                      <a:rPr lang="en-US"/>
                      <a:t>not IHE-based</a:t>
                    </a:r>
                  </a:p>
                  <a:p>
                    <a:r>
                      <a:rPr lang="en-US"/>
                      <a:t>23,404</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F86-493D-879C-2703C50B18D1}"/>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6">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'Completers Chart'!$A$2:$A$7</c:f>
              <c:strCache>
                <c:ptCount val="6"/>
                <c:pt idx="0">
                  <c:v>AY 2009-10</c:v>
                </c:pt>
                <c:pt idx="1">
                  <c:v>AY 2010-11</c:v>
                </c:pt>
                <c:pt idx="2">
                  <c:v>AY 2011-12</c:v>
                </c:pt>
                <c:pt idx="3">
                  <c:v>AY 2012-13</c:v>
                </c:pt>
                <c:pt idx="4">
                  <c:v>AY 2013-14</c:v>
                </c:pt>
                <c:pt idx="5">
                  <c:v>AY 2014-15</c:v>
                </c:pt>
              </c:strCache>
            </c:strRef>
          </c:cat>
          <c:val>
            <c:numRef>
              <c:f>'Completers Chart'!$E$2:$E$7</c:f>
              <c:numCache>
                <c:formatCode>#,##0</c:formatCode>
                <c:ptCount val="6"/>
                <c:pt idx="0">
                  <c:v>23404</c:v>
                </c:pt>
                <c:pt idx="1">
                  <c:v>19895</c:v>
                </c:pt>
                <c:pt idx="2">
                  <c:v>14624</c:v>
                </c:pt>
                <c:pt idx="3">
                  <c:v>15352</c:v>
                </c:pt>
                <c:pt idx="4">
                  <c:v>18223</c:v>
                </c:pt>
                <c:pt idx="5">
                  <c:v>20018</c:v>
                </c:pt>
              </c:numCache>
            </c:numRef>
          </c:val>
          <c:smooth val="0"/>
          <c:extLst>
            <c:ext xmlns:c16="http://schemas.microsoft.com/office/drawing/2014/chart" uri="{C3380CC4-5D6E-409C-BE32-E72D297353CC}">
              <c16:uniqueId val="{00000018-86A3-4BA5-A190-E1CD08993676}"/>
            </c:ext>
          </c:extLst>
        </c:ser>
        <c:dLbls>
          <c:dLblPos val="ctr"/>
          <c:showLegendKey val="0"/>
          <c:showVal val="1"/>
          <c:showCatName val="0"/>
          <c:showSerName val="0"/>
          <c:showPercent val="0"/>
          <c:showBubbleSize val="0"/>
        </c:dLbls>
        <c:marker val="1"/>
        <c:smooth val="0"/>
        <c:axId val="76196864"/>
        <c:axId val="76198656"/>
      </c:lineChart>
      <c:catAx>
        <c:axId val="7619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8656"/>
        <c:crosses val="autoZero"/>
        <c:auto val="1"/>
        <c:lblAlgn val="ctr"/>
        <c:lblOffset val="100"/>
        <c:noMultiLvlLbl val="0"/>
      </c:catAx>
      <c:valAx>
        <c:axId val="76198656"/>
        <c:scaling>
          <c:orientation val="minMax"/>
        </c:scaling>
        <c:delete val="1"/>
        <c:axPos val="l"/>
        <c:numFmt formatCode="#,##0" sourceLinked="0"/>
        <c:majorTickMark val="none"/>
        <c:minorTickMark val="none"/>
        <c:tickLblPos val="nextTo"/>
        <c:crossAx val="761968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The number of individuals earning initial</a:t>
            </a:r>
            <a:r>
              <a:rPr lang="en-US" baseline="0"/>
              <a:t> teaching credentials decreased.</a:t>
            </a:r>
            <a:endParaRPr lang="en-US"/>
          </a:p>
        </c:rich>
      </c:tx>
      <c:overlay val="0"/>
      <c:spPr>
        <a:noFill/>
        <a:ln>
          <a:noFill/>
        </a:ln>
        <a:effectLst/>
      </c:spPr>
    </c:title>
    <c:autoTitleDeleted val="0"/>
    <c:plotArea>
      <c:layout>
        <c:manualLayout>
          <c:layoutTarget val="inner"/>
          <c:xMode val="edge"/>
          <c:yMode val="edge"/>
          <c:x val="2.1006196828064278E-2"/>
          <c:y val="0.19701818181818181"/>
          <c:w val="0.95376937603383938"/>
          <c:h val="0.71849656522520045"/>
        </c:manualLayout>
      </c:layout>
      <c:lineChart>
        <c:grouping val="standard"/>
        <c:varyColors val="0"/>
        <c:ser>
          <c:idx val="0"/>
          <c:order val="0"/>
          <c:tx>
            <c:strRef>
              <c:f>'Credentials Chart'!$J$4</c:f>
              <c:strCache>
                <c:ptCount val="1"/>
                <c:pt idx="0">
                  <c:v>Total </c:v>
                </c:pt>
              </c:strCache>
            </c:strRef>
          </c:tx>
          <c:spPr>
            <a:ln w="28575" cap="rnd">
              <a:solidFill>
                <a:schemeClr val="accent5">
                  <a:lumMod val="75000"/>
                </a:schemeClr>
              </a:solidFill>
              <a:round/>
            </a:ln>
            <a:effectLst/>
          </c:spPr>
          <c:marker>
            <c:symbol val="circle"/>
            <c:size val="5"/>
            <c:spPr>
              <a:solidFill>
                <a:schemeClr val="accent5">
                  <a:lumMod val="75000"/>
                </a:schemeClr>
              </a:solidFill>
              <a:ln w="9525">
                <a:noFill/>
              </a:ln>
              <a:effectLst/>
            </c:spPr>
          </c:marker>
          <c:dLbls>
            <c:dLbl>
              <c:idx val="0"/>
              <c:tx>
                <c:rich>
                  <a:bodyPr/>
                  <a:lstStyle/>
                  <a:p>
                    <a:r>
                      <a:rPr lang="en-US"/>
                      <a:t>Total</a:t>
                    </a:r>
                  </a:p>
                  <a:p>
                    <a:r>
                      <a:rPr lang="en-US"/>
                      <a:t>280,342</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9B9-4B0D-8754-56EE0FFBC514}"/>
                </c:ext>
              </c:extLst>
            </c:dLbl>
            <c:dLbl>
              <c:idx val="4"/>
              <c:spPr>
                <a:noFill/>
                <a:ln>
                  <a:noFill/>
                </a:ln>
                <a:effectLst/>
              </c:spPr>
              <c:txPr>
                <a:bodyPr rot="0" spcFirstLastPara="1" vertOverflow="ellipsis" horzOverflow="clip" vert="horz" wrap="square" lIns="38100" tIns="19050" rIns="38100" bIns="19050" anchor="ctr" anchorCtr="1">
                  <a:noAutofit/>
                </a:bodyPr>
                <a:lstStyle/>
                <a:p>
                  <a:pPr>
                    <a:defRPr sz="1000" b="1" i="0" u="none" strike="noStrike" kern="1200" baseline="0">
                      <a:solidFill>
                        <a:schemeClr val="accent5">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1-29B9-4B0D-8754-56EE0FFBC51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5">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'Credentials Chart'!$I$5:$I$9</c:f>
              <c:strCache>
                <c:ptCount val="5"/>
                <c:pt idx="0">
                  <c:v>AY 2010-11</c:v>
                </c:pt>
                <c:pt idx="1">
                  <c:v>AY 2011-12</c:v>
                </c:pt>
                <c:pt idx="2">
                  <c:v>AY 2012-13</c:v>
                </c:pt>
                <c:pt idx="3">
                  <c:v>AY 2013-14</c:v>
                </c:pt>
                <c:pt idx="4">
                  <c:v>AY 2014-15</c:v>
                </c:pt>
              </c:strCache>
            </c:strRef>
          </c:cat>
          <c:val>
            <c:numRef>
              <c:f>'Credentials Chart'!$J$5:$J$9</c:f>
              <c:numCache>
                <c:formatCode>#,##0</c:formatCode>
                <c:ptCount val="5"/>
                <c:pt idx="0">
                  <c:v>280342</c:v>
                </c:pt>
                <c:pt idx="1">
                  <c:v>248042</c:v>
                </c:pt>
                <c:pt idx="2">
                  <c:v>256124</c:v>
                </c:pt>
                <c:pt idx="3">
                  <c:v>254963</c:v>
                </c:pt>
                <c:pt idx="4">
                  <c:v>248499</c:v>
                </c:pt>
              </c:numCache>
            </c:numRef>
          </c:val>
          <c:smooth val="0"/>
          <c:extLst>
            <c:ext xmlns:c16="http://schemas.microsoft.com/office/drawing/2014/chart" uri="{C3380CC4-5D6E-409C-BE32-E72D297353CC}">
              <c16:uniqueId val="{00000005-96A4-41C5-AFE8-B8E655368F58}"/>
            </c:ext>
          </c:extLst>
        </c:ser>
        <c:ser>
          <c:idx val="1"/>
          <c:order val="1"/>
          <c:tx>
            <c:strRef>
              <c:f>'Credentials Chart'!$K$4</c:f>
              <c:strCache>
                <c:ptCount val="1"/>
                <c:pt idx="0">
                  <c:v>Prepared in-state</c:v>
                </c:pt>
              </c:strCache>
            </c:strRef>
          </c:tx>
          <c:spPr>
            <a:ln w="28575" cap="rnd">
              <a:solidFill>
                <a:schemeClr val="accent3">
                  <a:lumMod val="75000"/>
                </a:schemeClr>
              </a:solidFill>
              <a:round/>
            </a:ln>
            <a:effectLst/>
          </c:spPr>
          <c:marker>
            <c:symbol val="circle"/>
            <c:size val="5"/>
            <c:spPr>
              <a:solidFill>
                <a:schemeClr val="accent3">
                  <a:lumMod val="75000"/>
                </a:schemeClr>
              </a:solidFill>
              <a:ln w="9525">
                <a:noFill/>
              </a:ln>
              <a:effectLst/>
            </c:spPr>
          </c:marker>
          <c:dLbls>
            <c:dLbl>
              <c:idx val="0"/>
              <c:layout>
                <c:manualLayout>
                  <c:x val="-6.4265862158943671E-2"/>
                  <c:y val="0.10298337426340903"/>
                </c:manualLayout>
              </c:layout>
              <c:tx>
                <c:rich>
                  <a:bodyPr/>
                  <a:lstStyle/>
                  <a:p>
                    <a:r>
                      <a:rPr lang="en-US"/>
                      <a:t>Prepared </a:t>
                    </a:r>
                  </a:p>
                  <a:p>
                    <a:r>
                      <a:rPr lang="en-US"/>
                      <a:t>in state</a:t>
                    </a:r>
                  </a:p>
                  <a:p>
                    <a:r>
                      <a:rPr lang="en-US"/>
                      <a:t>225,420</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9B9-4B0D-8754-56EE0FFBC51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3">
                        <a:lumMod val="7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'Credentials Chart'!$I$5:$I$9</c:f>
              <c:strCache>
                <c:ptCount val="5"/>
                <c:pt idx="0">
                  <c:v>AY 2010-11</c:v>
                </c:pt>
                <c:pt idx="1">
                  <c:v>AY 2011-12</c:v>
                </c:pt>
                <c:pt idx="2">
                  <c:v>AY 2012-13</c:v>
                </c:pt>
                <c:pt idx="3">
                  <c:v>AY 2013-14</c:v>
                </c:pt>
                <c:pt idx="4">
                  <c:v>AY 2014-15</c:v>
                </c:pt>
              </c:strCache>
            </c:strRef>
          </c:cat>
          <c:val>
            <c:numRef>
              <c:f>'Credentials Chart'!$K$5:$K$9</c:f>
              <c:numCache>
                <c:formatCode>#,##0</c:formatCode>
                <c:ptCount val="5"/>
                <c:pt idx="0">
                  <c:v>225420</c:v>
                </c:pt>
                <c:pt idx="1">
                  <c:v>193937</c:v>
                </c:pt>
                <c:pt idx="2">
                  <c:v>201920</c:v>
                </c:pt>
                <c:pt idx="3">
                  <c:v>198482</c:v>
                </c:pt>
                <c:pt idx="4">
                  <c:v>196330</c:v>
                </c:pt>
              </c:numCache>
            </c:numRef>
          </c:val>
          <c:smooth val="0"/>
          <c:extLst>
            <c:ext xmlns:c16="http://schemas.microsoft.com/office/drawing/2014/chart" uri="{C3380CC4-5D6E-409C-BE32-E72D297353CC}">
              <c16:uniqueId val="{0000000B-96A4-41C5-AFE8-B8E655368F58}"/>
            </c:ext>
          </c:extLst>
        </c:ser>
        <c:ser>
          <c:idx val="2"/>
          <c:order val="2"/>
          <c:tx>
            <c:strRef>
              <c:f>'Credentials Chart'!$L$4</c:f>
              <c:strCache>
                <c:ptCount val="1"/>
                <c:pt idx="0">
                  <c:v>Prepared in another state</c:v>
                </c:pt>
              </c:strCache>
            </c:strRef>
          </c:tx>
          <c:spPr>
            <a:ln w="28575" cap="rnd">
              <a:solidFill>
                <a:schemeClr val="tx2">
                  <a:lumMod val="75000"/>
                </a:schemeClr>
              </a:solidFill>
              <a:round/>
            </a:ln>
            <a:effectLst/>
          </c:spPr>
          <c:marker>
            <c:symbol val="circle"/>
            <c:size val="5"/>
            <c:spPr>
              <a:solidFill>
                <a:schemeClr val="tx2">
                  <a:lumMod val="75000"/>
                </a:schemeClr>
              </a:solidFill>
              <a:ln w="9525">
                <a:noFill/>
              </a:ln>
              <a:effectLst/>
            </c:spPr>
          </c:marker>
          <c:dLbls>
            <c:dLbl>
              <c:idx val="0"/>
              <c:tx>
                <c:rich>
                  <a:bodyPr/>
                  <a:lstStyle/>
                  <a:p>
                    <a:r>
                      <a:rPr lang="en-US"/>
                      <a:t>Prepared in </a:t>
                    </a:r>
                  </a:p>
                  <a:p>
                    <a:r>
                      <a:rPr lang="en-US"/>
                      <a:t>another state</a:t>
                    </a:r>
                  </a:p>
                  <a:p>
                    <a:r>
                      <a:rPr lang="en-US"/>
                      <a:t>54,922</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9B9-4B0D-8754-56EE0FFBC51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2">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'Credentials Chart'!$I$5:$I$9</c:f>
              <c:strCache>
                <c:ptCount val="5"/>
                <c:pt idx="0">
                  <c:v>AY 2010-11</c:v>
                </c:pt>
                <c:pt idx="1">
                  <c:v>AY 2011-12</c:v>
                </c:pt>
                <c:pt idx="2">
                  <c:v>AY 2012-13</c:v>
                </c:pt>
                <c:pt idx="3">
                  <c:v>AY 2013-14</c:v>
                </c:pt>
                <c:pt idx="4">
                  <c:v>AY 2014-15</c:v>
                </c:pt>
              </c:strCache>
            </c:strRef>
          </c:cat>
          <c:val>
            <c:numRef>
              <c:f>'Credentials Chart'!$L$5:$L$9</c:f>
              <c:numCache>
                <c:formatCode>#,##0</c:formatCode>
                <c:ptCount val="5"/>
                <c:pt idx="0">
                  <c:v>54922</c:v>
                </c:pt>
                <c:pt idx="1">
                  <c:v>54105</c:v>
                </c:pt>
                <c:pt idx="2">
                  <c:v>54204</c:v>
                </c:pt>
                <c:pt idx="3">
                  <c:v>56481</c:v>
                </c:pt>
                <c:pt idx="4">
                  <c:v>52169</c:v>
                </c:pt>
              </c:numCache>
            </c:numRef>
          </c:val>
          <c:smooth val="0"/>
          <c:extLst>
            <c:ext xmlns:c16="http://schemas.microsoft.com/office/drawing/2014/chart" uri="{C3380CC4-5D6E-409C-BE32-E72D297353CC}">
              <c16:uniqueId val="{00000011-96A4-41C5-AFE8-B8E655368F58}"/>
            </c:ext>
          </c:extLst>
        </c:ser>
        <c:dLbls>
          <c:dLblPos val="ctr"/>
          <c:showLegendKey val="0"/>
          <c:showVal val="1"/>
          <c:showCatName val="0"/>
          <c:showSerName val="0"/>
          <c:showPercent val="0"/>
          <c:showBubbleSize val="0"/>
        </c:dLbls>
        <c:marker val="1"/>
        <c:smooth val="0"/>
        <c:axId val="76641024"/>
        <c:axId val="76642560"/>
      </c:lineChart>
      <c:catAx>
        <c:axId val="766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42560"/>
        <c:crosses val="autoZero"/>
        <c:auto val="1"/>
        <c:lblAlgn val="ctr"/>
        <c:lblOffset val="100"/>
        <c:noMultiLvlLbl val="0"/>
      </c:catAx>
      <c:valAx>
        <c:axId val="76642560"/>
        <c:scaling>
          <c:orientation val="minMax"/>
        </c:scaling>
        <c:delete val="1"/>
        <c:axPos val="l"/>
        <c:numFmt formatCode="#,##0" sourceLinked="1"/>
        <c:majorTickMark val="none"/>
        <c:minorTickMark val="none"/>
        <c:tickLblPos val="nextTo"/>
        <c:crossAx val="766410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Individuals enrolled in </a:t>
            </a:r>
            <a:r>
              <a:rPr lang="en-US" baseline="0"/>
              <a:t>teacher preparation programs are overwhelmingly </a:t>
            </a:r>
            <a:r>
              <a:rPr lang="en-US" b="1" baseline="0">
                <a:solidFill>
                  <a:schemeClr val="accent5">
                    <a:lumMod val="50000"/>
                  </a:schemeClr>
                </a:solidFill>
              </a:rPr>
              <a:t>female</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5">
                <a:lumMod val="75000"/>
              </a:schemeClr>
            </a:solidFill>
            <a:ln>
              <a:noFill/>
            </a:ln>
            <a:effectLst/>
          </c:spPr>
          <c:invertIfNegative val="0"/>
          <c:dPt>
            <c:idx val="1"/>
            <c:invertIfNegative val="0"/>
            <c:bubble3D val="0"/>
            <c:spPr>
              <a:solidFill>
                <a:schemeClr val="bg1">
                  <a:lumMod val="50000"/>
                </a:schemeClr>
              </a:solidFill>
              <a:ln>
                <a:noFill/>
              </a:ln>
              <a:effectLst/>
            </c:spPr>
            <c:extLst>
              <c:ext xmlns:c16="http://schemas.microsoft.com/office/drawing/2014/chart" uri="{C3380CC4-5D6E-409C-BE32-E72D297353CC}">
                <c16:uniqueId val="{00000001-132F-49A5-A377-CC73492F79C8}"/>
              </c:ext>
            </c:extLst>
          </c:dPt>
          <c:dLbls>
            <c:dLbl>
              <c:idx val="0"/>
              <c:layout>
                <c:manualLayout>
                  <c:x val="-8.3333333333333297E-3"/>
                  <c:y val="0.14351851851851899"/>
                </c:manualLayout>
              </c:layout>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32F-49A5-A377-CC73492F79C8}"/>
                </c:ext>
              </c:extLst>
            </c:dLbl>
            <c:dLbl>
              <c:idx val="1"/>
              <c:layout>
                <c:manualLayout>
                  <c:x val="-1.0185067526416E-16"/>
                  <c:y val="0.11111111111111099"/>
                </c:manualLayout>
              </c:layout>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32F-49A5-A377-CC73492F79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'Gender Table'!$A$14:$B$14</c:f>
              <c:strCache>
                <c:ptCount val="2"/>
                <c:pt idx="0">
                  <c:v>Female</c:v>
                </c:pt>
                <c:pt idx="1">
                  <c:v>Male</c:v>
                </c:pt>
              </c:strCache>
            </c:strRef>
          </c:cat>
          <c:val>
            <c:numRef>
              <c:f>'Gender Table'!$A$15:$B$15</c:f>
              <c:numCache>
                <c:formatCode>0%</c:formatCode>
                <c:ptCount val="2"/>
                <c:pt idx="0">
                  <c:v>0.76</c:v>
                </c:pt>
                <c:pt idx="1">
                  <c:v>0.24</c:v>
                </c:pt>
              </c:numCache>
            </c:numRef>
          </c:val>
          <c:extLst>
            <c:ext xmlns:c16="http://schemas.microsoft.com/office/drawing/2014/chart" uri="{C3380CC4-5D6E-409C-BE32-E72D297353CC}">
              <c16:uniqueId val="{00000003-132F-49A5-A377-CC73492F79C8}"/>
            </c:ext>
          </c:extLst>
        </c:ser>
        <c:dLbls>
          <c:showLegendKey val="0"/>
          <c:showVal val="0"/>
          <c:showCatName val="0"/>
          <c:showSerName val="0"/>
          <c:showPercent val="0"/>
          <c:showBubbleSize val="0"/>
        </c:dLbls>
        <c:gapWidth val="219"/>
        <c:overlap val="-27"/>
        <c:axId val="76666752"/>
        <c:axId val="76668288"/>
      </c:barChart>
      <c:catAx>
        <c:axId val="7666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68288"/>
        <c:crosses val="autoZero"/>
        <c:auto val="1"/>
        <c:lblAlgn val="ctr"/>
        <c:lblOffset val="100"/>
        <c:noMultiLvlLbl val="0"/>
      </c:catAx>
      <c:valAx>
        <c:axId val="76668288"/>
        <c:scaling>
          <c:orientation val="minMax"/>
        </c:scaling>
        <c:delete val="1"/>
        <c:axPos val="l"/>
        <c:numFmt formatCode="0%" sourceLinked="0"/>
        <c:majorTickMark val="none"/>
        <c:minorTickMark val="none"/>
        <c:tickLblPos val="nextTo"/>
        <c:crossAx val="766667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gender</a:t>
            </a:r>
            <a:r>
              <a:rPr lang="en-US" baseline="0"/>
              <a:t> distribution of teacher preparation program enrollees has seen little change in recent years.</a:t>
            </a:r>
            <a:endParaRPr lang="en-US"/>
          </a:p>
        </c:rich>
      </c:tx>
      <c:overlay val="0"/>
      <c:spPr>
        <a:noFill/>
        <a:ln>
          <a:noFill/>
        </a:ln>
        <a:effectLst/>
      </c:spPr>
    </c:title>
    <c:autoTitleDeleted val="0"/>
    <c:plotArea>
      <c:layout>
        <c:manualLayout>
          <c:layoutTarget val="inner"/>
          <c:xMode val="edge"/>
          <c:yMode val="edge"/>
          <c:x val="2.5319369317527908E-2"/>
          <c:y val="0.32797413793103447"/>
          <c:w val="0.94936126136494414"/>
          <c:h val="0.55533023350529465"/>
        </c:manualLayout>
      </c:layout>
      <c:lineChart>
        <c:grouping val="standard"/>
        <c:varyColors val="0"/>
        <c:ser>
          <c:idx val="0"/>
          <c:order val="0"/>
          <c:tx>
            <c:strRef>
              <c:f>'Gender Over Time'!$B$9</c:f>
              <c:strCache>
                <c:ptCount val="1"/>
                <c:pt idx="0">
                  <c:v>% Females</c:v>
                </c:pt>
              </c:strCache>
            </c:strRef>
          </c:tx>
          <c:spPr>
            <a:ln w="28575" cap="rnd">
              <a:solidFill>
                <a:srgbClr val="5B9BD5">
                  <a:lumMod val="50000"/>
                </a:srgbClr>
              </a:solidFill>
              <a:round/>
            </a:ln>
            <a:effectLst/>
          </c:spPr>
          <c:marker>
            <c:symbol val="circle"/>
            <c:size val="5"/>
            <c:spPr>
              <a:solidFill>
                <a:srgbClr val="5B9BD5">
                  <a:lumMod val="50000"/>
                </a:srgbClr>
              </a:solidFill>
              <a:ln w="9525">
                <a:noFill/>
              </a:ln>
              <a:effectLst/>
            </c:spPr>
          </c:marker>
          <c:dLbls>
            <c:dLbl>
              <c:idx val="0"/>
              <c:tx>
                <c:rich>
                  <a:bodyPr/>
                  <a:lstStyle/>
                  <a:p>
                    <a:r>
                      <a:rPr lang="en-US"/>
                      <a:t>Females</a:t>
                    </a:r>
                  </a:p>
                  <a:p>
                    <a:r>
                      <a:rPr lang="en-US"/>
                      <a:t>75%</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1A-45F1-AEFF-71BB4045C4F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'Gender Over Time'!$A$10:$A$14</c:f>
              <c:strCache>
                <c:ptCount val="5"/>
                <c:pt idx="0">
                  <c:v>2010-11</c:v>
                </c:pt>
                <c:pt idx="1">
                  <c:v>2011-12</c:v>
                </c:pt>
                <c:pt idx="2">
                  <c:v>2012-13</c:v>
                </c:pt>
                <c:pt idx="3">
                  <c:v>2013-14</c:v>
                </c:pt>
                <c:pt idx="4">
                  <c:v>2014-15</c:v>
                </c:pt>
              </c:strCache>
            </c:strRef>
          </c:cat>
          <c:val>
            <c:numRef>
              <c:f>'Gender Over Time'!$B$10:$B$14</c:f>
              <c:numCache>
                <c:formatCode>0%</c:formatCode>
                <c:ptCount val="5"/>
                <c:pt idx="0">
                  <c:v>0.75</c:v>
                </c:pt>
                <c:pt idx="1">
                  <c:v>0.76</c:v>
                </c:pt>
                <c:pt idx="2">
                  <c:v>0.76</c:v>
                </c:pt>
                <c:pt idx="3">
                  <c:v>0.76</c:v>
                </c:pt>
                <c:pt idx="4">
                  <c:v>0.76</c:v>
                </c:pt>
              </c:numCache>
            </c:numRef>
          </c:val>
          <c:smooth val="0"/>
          <c:extLst>
            <c:ext xmlns:c16="http://schemas.microsoft.com/office/drawing/2014/chart" uri="{C3380CC4-5D6E-409C-BE32-E72D297353CC}">
              <c16:uniqueId val="{00000000-2B80-4731-84D5-7FE4D76DE052}"/>
            </c:ext>
          </c:extLst>
        </c:ser>
        <c:ser>
          <c:idx val="1"/>
          <c:order val="1"/>
          <c:tx>
            <c:strRef>
              <c:f>'Gender Over Time'!$C$9</c:f>
              <c:strCache>
                <c:ptCount val="1"/>
                <c:pt idx="0">
                  <c:v>%Males</c:v>
                </c:pt>
              </c:strCache>
            </c:strRef>
          </c:tx>
          <c:spPr>
            <a:ln w="28575" cap="rnd">
              <a:solidFill>
                <a:schemeClr val="accent3">
                  <a:lumMod val="75000"/>
                </a:schemeClr>
              </a:solidFill>
              <a:round/>
            </a:ln>
            <a:effectLst/>
          </c:spPr>
          <c:marker>
            <c:symbol val="circle"/>
            <c:size val="5"/>
            <c:spPr>
              <a:solidFill>
                <a:schemeClr val="accent3">
                  <a:lumMod val="75000"/>
                </a:schemeClr>
              </a:solidFill>
              <a:ln w="9525">
                <a:noFill/>
              </a:ln>
              <a:effectLst/>
            </c:spPr>
          </c:marker>
          <c:dLbls>
            <c:dLbl>
              <c:idx val="0"/>
              <c:tx>
                <c:rich>
                  <a:bodyPr/>
                  <a:lstStyle/>
                  <a:p>
                    <a:r>
                      <a:rPr lang="en-US"/>
                      <a:t>Males</a:t>
                    </a:r>
                  </a:p>
                  <a:p>
                    <a:r>
                      <a:rPr lang="en-US"/>
                      <a:t>25%</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1A-45F1-AEFF-71BB4045C4F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3">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'Gender Over Time'!$A$10:$A$14</c:f>
              <c:strCache>
                <c:ptCount val="5"/>
                <c:pt idx="0">
                  <c:v>2010-11</c:v>
                </c:pt>
                <c:pt idx="1">
                  <c:v>2011-12</c:v>
                </c:pt>
                <c:pt idx="2">
                  <c:v>2012-13</c:v>
                </c:pt>
                <c:pt idx="3">
                  <c:v>2013-14</c:v>
                </c:pt>
                <c:pt idx="4">
                  <c:v>2014-15</c:v>
                </c:pt>
              </c:strCache>
            </c:strRef>
          </c:cat>
          <c:val>
            <c:numRef>
              <c:f>'Gender Over Time'!$C$10:$C$14</c:f>
              <c:numCache>
                <c:formatCode>0%</c:formatCode>
                <c:ptCount val="5"/>
                <c:pt idx="0">
                  <c:v>0.25</c:v>
                </c:pt>
                <c:pt idx="1">
                  <c:v>0.24</c:v>
                </c:pt>
                <c:pt idx="2">
                  <c:v>0.24</c:v>
                </c:pt>
                <c:pt idx="3">
                  <c:v>0.24</c:v>
                </c:pt>
                <c:pt idx="4">
                  <c:v>0.24</c:v>
                </c:pt>
              </c:numCache>
            </c:numRef>
          </c:val>
          <c:smooth val="0"/>
          <c:extLst>
            <c:ext xmlns:c16="http://schemas.microsoft.com/office/drawing/2014/chart" uri="{C3380CC4-5D6E-409C-BE32-E72D297353CC}">
              <c16:uniqueId val="{00000001-2B80-4731-84D5-7FE4D76DE052}"/>
            </c:ext>
          </c:extLst>
        </c:ser>
        <c:dLbls>
          <c:showLegendKey val="0"/>
          <c:showVal val="0"/>
          <c:showCatName val="0"/>
          <c:showSerName val="0"/>
          <c:showPercent val="0"/>
          <c:showBubbleSize val="0"/>
        </c:dLbls>
        <c:marker val="1"/>
        <c:smooth val="0"/>
        <c:axId val="76711424"/>
        <c:axId val="76712960"/>
      </c:lineChart>
      <c:catAx>
        <c:axId val="7671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12960"/>
        <c:crosses val="autoZero"/>
        <c:auto val="1"/>
        <c:lblAlgn val="ctr"/>
        <c:lblOffset val="100"/>
        <c:noMultiLvlLbl val="0"/>
      </c:catAx>
      <c:valAx>
        <c:axId val="76712960"/>
        <c:scaling>
          <c:orientation val="minMax"/>
        </c:scaling>
        <c:delete val="1"/>
        <c:axPos val="l"/>
        <c:numFmt formatCode="0%" sourceLinked="0"/>
        <c:majorTickMark val="none"/>
        <c:minorTickMark val="none"/>
        <c:tickLblPos val="nextTo"/>
        <c:crossAx val="76711424"/>
        <c:crosses val="autoZero"/>
        <c:crossBetween val="between"/>
      </c:valAx>
      <c:spPr>
        <a:noFill/>
        <a:ln w="25400">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solidFill>
                  <a:schemeClr val="tx1">
                    <a:lumMod val="65000"/>
                    <a:lumOff val="35000"/>
                  </a:schemeClr>
                </a:solidFill>
              </a:defRPr>
            </a:pPr>
            <a:r>
              <a:rPr lang="en-US" sz="1400" b="0" i="0" baseline="0">
                <a:solidFill>
                  <a:schemeClr val="tx1">
                    <a:lumMod val="65000"/>
                    <a:lumOff val="35000"/>
                  </a:schemeClr>
                </a:solidFill>
                <a:effectLst/>
              </a:rPr>
              <a:t>Alternative teacher preparation programs enroll a higher proprotion of males than traditional programs.</a:t>
            </a:r>
            <a:endParaRPr lang="en-US" sz="1400">
              <a:solidFill>
                <a:schemeClr val="tx1">
                  <a:lumMod val="65000"/>
                  <a:lumOff val="35000"/>
                </a:schemeClr>
              </a:solidFill>
              <a:effectLst/>
            </a:endParaRPr>
          </a:p>
        </c:rich>
      </c:tx>
      <c:overlay val="0"/>
    </c:title>
    <c:autoTitleDeleted val="0"/>
    <c:plotArea>
      <c:layout/>
      <c:barChart>
        <c:barDir val="col"/>
        <c:grouping val="clustered"/>
        <c:varyColors val="0"/>
        <c:ser>
          <c:idx val="0"/>
          <c:order val="0"/>
          <c:tx>
            <c:strRef>
              <c:f>Sheet1!$B$1</c:f>
              <c:strCache>
                <c:ptCount val="1"/>
                <c:pt idx="0">
                  <c:v>Male</c:v>
                </c:pt>
              </c:strCache>
            </c:strRef>
          </c:tx>
          <c:spPr>
            <a:solidFill>
              <a:schemeClr val="bg1">
                <a:lumMod val="65000"/>
              </a:schemeClr>
            </a:solidFill>
          </c:spPr>
          <c:invertIfNegative val="0"/>
          <c:dLbls>
            <c:spPr>
              <a:noFill/>
              <a:ln>
                <a:noFill/>
              </a:ln>
              <a:effectLst/>
            </c:spPr>
            <c:txPr>
              <a:bodyPr/>
              <a:lstStyle/>
              <a:p>
                <a:pPr>
                  <a:defRPr b="1">
                    <a:solidFill>
                      <a:schemeClr val="bg1"/>
                    </a:solidFill>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Traditional programs </c:v>
                </c:pt>
                <c:pt idx="1">
                  <c:v>Alternative programs</c:v>
                </c:pt>
              </c:strCache>
            </c:strRef>
          </c:cat>
          <c:val>
            <c:numRef>
              <c:f>Sheet1!$B$2:$B$3</c:f>
              <c:numCache>
                <c:formatCode>0%</c:formatCode>
                <c:ptCount val="2"/>
                <c:pt idx="0">
                  <c:v>0.24</c:v>
                </c:pt>
                <c:pt idx="1">
                  <c:v>0.15</c:v>
                </c:pt>
              </c:numCache>
            </c:numRef>
          </c:val>
          <c:extLst>
            <c:ext xmlns:c16="http://schemas.microsoft.com/office/drawing/2014/chart" uri="{C3380CC4-5D6E-409C-BE32-E72D297353CC}">
              <c16:uniqueId val="{00000000-B5D3-486F-ADA5-012B38C5843E}"/>
            </c:ext>
          </c:extLst>
        </c:ser>
        <c:ser>
          <c:idx val="1"/>
          <c:order val="1"/>
          <c:tx>
            <c:strRef>
              <c:f>Sheet1!$C$1</c:f>
              <c:strCache>
                <c:ptCount val="1"/>
                <c:pt idx="0">
                  <c:v>Female</c:v>
                </c:pt>
              </c:strCache>
            </c:strRef>
          </c:tx>
          <c:spPr>
            <a:solidFill>
              <a:schemeClr val="accent5">
                <a:lumMod val="75000"/>
              </a:schemeClr>
            </a:solidFill>
          </c:spPr>
          <c:invertIfNegative val="0"/>
          <c:dLbls>
            <c:spPr>
              <a:noFill/>
              <a:ln>
                <a:noFill/>
              </a:ln>
              <a:effectLst/>
            </c:spPr>
            <c:txPr>
              <a:bodyPr/>
              <a:lstStyle/>
              <a:p>
                <a:pPr>
                  <a:defRPr b="1">
                    <a:solidFill>
                      <a:schemeClr val="bg1"/>
                    </a:solidFill>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Traditional programs </c:v>
                </c:pt>
                <c:pt idx="1">
                  <c:v>Alternative programs</c:v>
                </c:pt>
              </c:strCache>
            </c:strRef>
          </c:cat>
          <c:val>
            <c:numRef>
              <c:f>Sheet1!$C$2:$C$3</c:f>
              <c:numCache>
                <c:formatCode>0%</c:formatCode>
                <c:ptCount val="2"/>
                <c:pt idx="0">
                  <c:v>0.76</c:v>
                </c:pt>
                <c:pt idx="1">
                  <c:v>0.85</c:v>
                </c:pt>
              </c:numCache>
            </c:numRef>
          </c:val>
          <c:extLst>
            <c:ext xmlns:c16="http://schemas.microsoft.com/office/drawing/2014/chart" uri="{C3380CC4-5D6E-409C-BE32-E72D297353CC}">
              <c16:uniqueId val="{00000001-B5D3-486F-ADA5-012B38C5843E}"/>
            </c:ext>
          </c:extLst>
        </c:ser>
        <c:dLbls>
          <c:showLegendKey val="0"/>
          <c:showVal val="0"/>
          <c:showCatName val="0"/>
          <c:showSerName val="0"/>
          <c:showPercent val="0"/>
          <c:showBubbleSize val="0"/>
        </c:dLbls>
        <c:gapWidth val="150"/>
        <c:axId val="76767616"/>
        <c:axId val="76769152"/>
      </c:barChart>
      <c:catAx>
        <c:axId val="76767616"/>
        <c:scaling>
          <c:orientation val="minMax"/>
        </c:scaling>
        <c:delete val="0"/>
        <c:axPos val="b"/>
        <c:numFmt formatCode="General" sourceLinked="0"/>
        <c:majorTickMark val="none"/>
        <c:minorTickMark val="none"/>
        <c:tickLblPos val="nextTo"/>
        <c:spPr>
          <a:ln>
            <a:solidFill>
              <a:schemeClr val="tx1">
                <a:lumMod val="65000"/>
                <a:lumOff val="35000"/>
              </a:schemeClr>
            </a:solidFill>
          </a:ln>
        </c:spPr>
        <c:txPr>
          <a:bodyPr/>
          <a:lstStyle/>
          <a:p>
            <a:pPr>
              <a:defRPr b="0">
                <a:solidFill>
                  <a:schemeClr val="tx1">
                    <a:lumMod val="65000"/>
                    <a:lumOff val="35000"/>
                  </a:schemeClr>
                </a:solidFill>
              </a:defRPr>
            </a:pPr>
            <a:endParaRPr lang="en-US"/>
          </a:p>
        </c:txPr>
        <c:crossAx val="76769152"/>
        <c:crosses val="autoZero"/>
        <c:auto val="1"/>
        <c:lblAlgn val="ctr"/>
        <c:lblOffset val="100"/>
        <c:noMultiLvlLbl val="0"/>
      </c:catAx>
      <c:valAx>
        <c:axId val="76769152"/>
        <c:scaling>
          <c:orientation val="minMax"/>
        </c:scaling>
        <c:delete val="0"/>
        <c:axPos val="l"/>
        <c:numFmt formatCode="0%" sourceLinked="1"/>
        <c:majorTickMark val="none"/>
        <c:minorTickMark val="none"/>
        <c:tickLblPos val="none"/>
        <c:spPr>
          <a:ln>
            <a:noFill/>
          </a:ln>
        </c:spPr>
        <c:crossAx val="76767616"/>
        <c:crosses val="autoZero"/>
        <c:crossBetween val="between"/>
      </c:valAx>
    </c:plotArea>
    <c:legend>
      <c:legendPos val="b"/>
      <c:overlay val="0"/>
      <c:txPr>
        <a:bodyPr/>
        <a:lstStyle/>
        <a:p>
          <a:pPr>
            <a:defRPr b="0">
              <a:solidFill>
                <a:schemeClr val="tx1">
                  <a:lumMod val="65000"/>
                  <a:lumOff val="35000"/>
                </a:schemeClr>
              </a:solidFill>
            </a:defRPr>
          </a:pPr>
          <a:endParaRPr lang="en-US"/>
        </a:p>
      </c:txPr>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Individuals</a:t>
            </a:r>
            <a:r>
              <a:rPr lang="en-US" baseline="0"/>
              <a:t> enrolled teacher preparation programs are overwhelmingly </a:t>
            </a:r>
            <a:r>
              <a:rPr lang="en-US" b="1" baseline="0">
                <a:solidFill>
                  <a:schemeClr val="accent5">
                    <a:lumMod val="75000"/>
                  </a:schemeClr>
                </a:solidFill>
              </a:rPr>
              <a:t>white</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bg1">
                <a:lumMod val="65000"/>
              </a:schemeClr>
            </a:solidFill>
            <a:ln>
              <a:noFill/>
            </a:ln>
            <a:effectLst/>
          </c:spPr>
          <c:invertIfNegative val="0"/>
          <c:dPt>
            <c:idx val="5"/>
            <c:invertIfNegative val="0"/>
            <c:bubble3D val="0"/>
            <c:spPr>
              <a:solidFill>
                <a:schemeClr val="accent5">
                  <a:lumMod val="75000"/>
                </a:schemeClr>
              </a:solidFill>
              <a:ln>
                <a:noFill/>
              </a:ln>
              <a:effectLst/>
            </c:spPr>
            <c:extLst>
              <c:ext xmlns:c16="http://schemas.microsoft.com/office/drawing/2014/chart" uri="{C3380CC4-5D6E-409C-BE32-E72D297353CC}">
                <c16:uniqueId val="{00000001-45FB-4BBF-9B29-A6A84DB64EB7}"/>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2-BE35-481F-97BB-93C9E9A29373}"/>
                </c:ext>
              </c:extLst>
            </c:dLbl>
            <c:dLbl>
              <c:idx val="2"/>
              <c:layout>
                <c:manualLayout>
                  <c:x val="-9.3419281139080906E-3"/>
                  <c:y val="3.67647058823529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5FB-4BBF-9B29-A6A84DB64EB7}"/>
                </c:ext>
              </c:extLst>
            </c:dLbl>
            <c:dLbl>
              <c:idx val="3"/>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3-BE35-481F-97BB-93C9E9A29373}"/>
                </c:ext>
              </c:extLst>
            </c:dLbl>
            <c:dLbl>
              <c:idx val="5"/>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1-45FB-4BBF-9B29-A6A84DB64EB7}"/>
                </c:ext>
              </c:extLst>
            </c:dLbl>
            <c:dLbl>
              <c:idx val="6"/>
              <c:layout>
                <c:manualLayout>
                  <c:x val="-9.298682224307399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5FB-4BBF-9B29-A6A84DB64EB7}"/>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'Race Table'!$A$11:$A$17</c:f>
              <c:strCache>
                <c:ptCount val="7"/>
                <c:pt idx="0">
                  <c:v>Hispanic</c:v>
                </c:pt>
                <c:pt idx="1">
                  <c:v>American Indian or Alaska Native</c:v>
                </c:pt>
                <c:pt idx="2">
                  <c:v>Asian</c:v>
                </c:pt>
                <c:pt idx="3">
                  <c:v>Black or African American </c:v>
                </c:pt>
                <c:pt idx="4">
                  <c:v>Native Hawaiian or Pacific Islander</c:v>
                </c:pt>
                <c:pt idx="5">
                  <c:v>White</c:v>
                </c:pt>
                <c:pt idx="6">
                  <c:v>Multi Racial </c:v>
                </c:pt>
              </c:strCache>
            </c:strRef>
          </c:cat>
          <c:val>
            <c:numRef>
              <c:f>'Race Table'!$B$11:$B$17</c:f>
              <c:numCache>
                <c:formatCode>0%</c:formatCode>
                <c:ptCount val="7"/>
                <c:pt idx="0">
                  <c:v>0.13489999999999999</c:v>
                </c:pt>
                <c:pt idx="1">
                  <c:v>7.4000000000000003E-3</c:v>
                </c:pt>
                <c:pt idx="2">
                  <c:v>2.63E-2</c:v>
                </c:pt>
                <c:pt idx="3">
                  <c:v>9.2600000000000002E-2</c:v>
                </c:pt>
                <c:pt idx="4">
                  <c:v>6.7999999999999996E-3</c:v>
                </c:pt>
                <c:pt idx="5">
                  <c:v>0.70189999999999997</c:v>
                </c:pt>
                <c:pt idx="6">
                  <c:v>2.9700000000000001E-2</c:v>
                </c:pt>
              </c:numCache>
            </c:numRef>
          </c:val>
          <c:extLst>
            <c:ext xmlns:c16="http://schemas.microsoft.com/office/drawing/2014/chart" uri="{C3380CC4-5D6E-409C-BE32-E72D297353CC}">
              <c16:uniqueId val="{00000006-45FB-4BBF-9B29-A6A84DB64EB7}"/>
            </c:ext>
          </c:extLst>
        </c:ser>
        <c:dLbls>
          <c:showLegendKey val="0"/>
          <c:showVal val="0"/>
          <c:showCatName val="0"/>
          <c:showSerName val="0"/>
          <c:showPercent val="0"/>
          <c:showBubbleSize val="0"/>
        </c:dLbls>
        <c:gapWidth val="75"/>
        <c:axId val="76846208"/>
        <c:axId val="76847744"/>
      </c:barChart>
      <c:catAx>
        <c:axId val="768462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47744"/>
        <c:crosses val="autoZero"/>
        <c:auto val="1"/>
        <c:lblAlgn val="ctr"/>
        <c:lblOffset val="100"/>
        <c:noMultiLvlLbl val="0"/>
      </c:catAx>
      <c:valAx>
        <c:axId val="76847744"/>
        <c:scaling>
          <c:orientation val="minMax"/>
        </c:scaling>
        <c:delete val="1"/>
        <c:axPos val="b"/>
        <c:numFmt formatCode="0%" sourceLinked="1"/>
        <c:majorTickMark val="none"/>
        <c:minorTickMark val="none"/>
        <c:tickLblPos val="nextTo"/>
        <c:crossAx val="768462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a:t>
            </a:r>
            <a:r>
              <a:rPr lang="en-US" sz="1400" b="0" i="0" u="none" strike="noStrike" baseline="0">
                <a:effectLst/>
              </a:rPr>
              <a:t>field of prospective teachers has become increasingly more diverse.</a:t>
            </a:r>
            <a:endParaRPr lang="en-US"/>
          </a:p>
        </c:rich>
      </c:tx>
      <c:overlay val="0"/>
      <c:spPr>
        <a:noFill/>
        <a:ln>
          <a:noFill/>
        </a:ln>
        <a:effectLst/>
      </c:spPr>
    </c:title>
    <c:autoTitleDeleted val="0"/>
    <c:plotArea>
      <c:layout/>
      <c:lineChart>
        <c:grouping val="standard"/>
        <c:varyColors val="0"/>
        <c:ser>
          <c:idx val="0"/>
          <c:order val="0"/>
          <c:tx>
            <c:strRef>
              <c:f>'Race Over Time'!$G$1</c:f>
              <c:strCache>
                <c:ptCount val="1"/>
                <c:pt idx="0">
                  <c:v>Total Minority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10750215768564332"/>
                  <c:y val="-0.16440981335666374"/>
                </c:manualLayout>
              </c:layout>
              <c:tx>
                <c:rich>
                  <a:bodyPr/>
                  <a:lstStyle/>
                  <a:p>
                    <a:r>
                      <a:rPr lang="en-US"/>
                      <a:t>Minority enrollment</a:t>
                    </a:r>
                    <a:r>
                      <a:rPr lang="en-US" baseline="0"/>
                      <a:t> in teacher preparation programs</a:t>
                    </a:r>
                  </a:p>
                  <a:p>
                    <a:r>
                      <a:rPr lang="en-US"/>
                      <a:t>25%</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019-432E-8C58-896EB0EBB0F6}"/>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'Race Over Time'!$F$2:$F$6</c:f>
              <c:strCache>
                <c:ptCount val="5"/>
                <c:pt idx="0">
                  <c:v>2010-11</c:v>
                </c:pt>
                <c:pt idx="1">
                  <c:v>2011-12</c:v>
                </c:pt>
                <c:pt idx="2">
                  <c:v>2012-13</c:v>
                </c:pt>
                <c:pt idx="3">
                  <c:v>2013-14</c:v>
                </c:pt>
                <c:pt idx="4">
                  <c:v>2014-15</c:v>
                </c:pt>
              </c:strCache>
            </c:strRef>
          </c:cat>
          <c:val>
            <c:numRef>
              <c:f>'Race Over Time'!$G$2:$G$6</c:f>
              <c:numCache>
                <c:formatCode>0%</c:formatCode>
                <c:ptCount val="5"/>
                <c:pt idx="0">
                  <c:v>0.25</c:v>
                </c:pt>
                <c:pt idx="1">
                  <c:v>0.26</c:v>
                </c:pt>
                <c:pt idx="2">
                  <c:v>0.27</c:v>
                </c:pt>
                <c:pt idx="3">
                  <c:v>0.28999999999999998</c:v>
                </c:pt>
                <c:pt idx="4">
                  <c:v>0.3</c:v>
                </c:pt>
              </c:numCache>
            </c:numRef>
          </c:val>
          <c:smooth val="0"/>
          <c:extLst>
            <c:ext xmlns:c16="http://schemas.microsoft.com/office/drawing/2014/chart" uri="{C3380CC4-5D6E-409C-BE32-E72D297353CC}">
              <c16:uniqueId val="{00000000-C2F6-444B-A20C-662340A61340}"/>
            </c:ext>
          </c:extLst>
        </c:ser>
        <c:dLbls>
          <c:showLegendKey val="0"/>
          <c:showVal val="0"/>
          <c:showCatName val="0"/>
          <c:showSerName val="0"/>
          <c:showPercent val="0"/>
          <c:showBubbleSize val="0"/>
        </c:dLbls>
        <c:marker val="1"/>
        <c:smooth val="0"/>
        <c:axId val="76856320"/>
        <c:axId val="76862208"/>
      </c:lineChart>
      <c:catAx>
        <c:axId val="7685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62208"/>
        <c:crosses val="autoZero"/>
        <c:auto val="1"/>
        <c:lblAlgn val="ctr"/>
        <c:lblOffset val="100"/>
        <c:noMultiLvlLbl val="0"/>
      </c:catAx>
      <c:valAx>
        <c:axId val="76862208"/>
        <c:scaling>
          <c:orientation val="minMax"/>
        </c:scaling>
        <c:delete val="1"/>
        <c:axPos val="l"/>
        <c:numFmt formatCode="0%" sourceLinked="0"/>
        <c:majorTickMark val="none"/>
        <c:minorTickMark val="none"/>
        <c:tickLblPos val="nextTo"/>
        <c:crossAx val="768563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0E743-539F-444F-9EDB-3A099DDA0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3F1086F2.dotm</Template>
  <TotalTime>0</TotalTime>
  <Pages>12</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Choong</dc:creator>
  <cp:lastModifiedBy>Shen Lee</cp:lastModifiedBy>
  <cp:revision>2</cp:revision>
  <cp:lastPrinted>2016-12-16T18:58:00Z</cp:lastPrinted>
  <dcterms:created xsi:type="dcterms:W3CDTF">2017-02-01T22:29:00Z</dcterms:created>
  <dcterms:modified xsi:type="dcterms:W3CDTF">2017-02-01T22:29:00Z</dcterms:modified>
</cp:coreProperties>
</file>