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2347C0"/>
          <w:sz w:val="18"/>
        </w:rPr>
        <w:t>YOUR EFDS COMMITTEE ACCOUNT</w:t>
      </w:r>
    </w:p>
    <w:p>
      <w:pPr>
        <w:spacing w:after="120"/>
      </w:pPr>
      <w:r>
        <w:rPr>
          <w:b/>
          <w:color w:val="15232B"/>
          <w:sz w:val="46"/>
        </w:rPr>
        <w:t>Create your sign-in. Connect your role.</w:t>
      </w:r>
    </w:p>
    <w:p>
      <w:pPr>
        <w:spacing w:after="120"/>
      </w:pPr>
      <w:r>
        <w:rPr>
          <w:b w:val="0"/>
        </w:rPr>
        <w:t>Each committee member uses a personal account. First sign-in creates member access; an EFDS administrator then grants committee access and links that account to the correct officer roster entry. That link lets the ticket workspace show who owns each task.</w:t>
      </w:r>
    </w:p>
    <w:p>
      <w:pPr>
        <w:pStyle w:val="Heading2"/>
        <w:spacing w:before="280" w:after="100"/>
      </w:pPr>
      <w:r>
        <w:rPr>
          <w:b w:val="0"/>
        </w:rPr>
        <w:t>For committee members</w:t>
      </w:r>
    </w:p>
    <w:tbl>
      <w:tblPr>
        <w:tblW w:type="auto" w:w="0"/>
        <w:tblLayout w:type="fixed"/>
        <w:tblLook w:firstColumn="1" w:firstRow="1" w:lastColumn="0" w:lastRow="0" w:noHBand="0" w:noVBand="1" w:val="04A0"/>
      </w:tblPr>
      <w:tblGrid>
        <w:gridCol w:w="677"/>
        <w:gridCol w:w="9317"/>
      </w:tblGrid>
      <w:tr>
        <w:tc>
          <w:tcPr>
            <w:tcW w:type="dxa" w:w="677"/>
            <w:vAlign w:val="center"/>
            <w:shd w:fill="2347C0"/>
          </w:tcPr>
          <w:p>
            <w:pPr>
              <w:jc w:val="center"/>
            </w:pPr>
            <w:r>
              <w:rPr>
                <w:b/>
                <w:color w:val="FFFFFF"/>
                <w:sz w:val="20"/>
              </w:rPr>
              <w:t>01</w:t>
            </w:r>
          </w:p>
        </w:tc>
        <w:tc>
          <w:tcPr>
            <w:tcW w:type="dxa" w:w="9317"/>
          </w:tcPr>
          <w:p>
            <w:pPr>
              <w:spacing w:after="0"/>
            </w:pPr>
            <w:r>
              <w:rPr>
                <w:b/>
                <w:color w:val="15232B"/>
              </w:rPr>
              <w:t xml:space="preserve">Open EFDS sign-in.  </w:t>
            </w:r>
            <w:r>
              <w:rPr>
                <w:b w:val="0"/>
              </w:rPr>
              <w:t>Go to www.imperial-efds.com/login. Use your own verified @imperial.ac.uk or @ic.ac.uk address. If you use another address, ask the EFDS administrator to approve it first.</w:t>
            </w:r>
          </w:p>
        </w:tc>
      </w:tr>
    </w:tbl>
    <w:p>
      <w:pPr>
        <w:spacing w:after="0"/>
      </w:pPr>
    </w:p>
    <w:tbl>
      <w:tblPr>
        <w:tblW w:type="auto" w:w="0"/>
        <w:tblLayout w:type="fixed"/>
        <w:tblLook w:firstColumn="1" w:firstRow="1" w:lastColumn="0" w:lastRow="0" w:noHBand="0" w:noVBand="1" w:val="04A0"/>
      </w:tblPr>
      <w:tblGrid>
        <w:gridCol w:w="677"/>
        <w:gridCol w:w="9317"/>
      </w:tblGrid>
      <w:tr>
        <w:tc>
          <w:tcPr>
            <w:tcW w:type="dxa" w:w="677"/>
            <w:vAlign w:val="center"/>
            <w:shd w:fill="2347C0"/>
          </w:tcPr>
          <w:p>
            <w:pPr>
              <w:jc w:val="center"/>
            </w:pPr>
            <w:r>
              <w:rPr>
                <w:b/>
                <w:color w:val="FFFFFF"/>
                <w:sz w:val="20"/>
              </w:rPr>
              <w:t>02</w:t>
            </w:r>
          </w:p>
        </w:tc>
        <w:tc>
          <w:tcPr>
            <w:tcW w:type="dxa" w:w="9317"/>
          </w:tcPr>
          <w:p>
            <w:pPr>
              <w:spacing w:after="0"/>
            </w:pPr>
            <w:r>
              <w:rPr>
                <w:b/>
                <w:color w:val="15232B"/>
              </w:rPr>
              <w:t xml:space="preserve">Set up your sign-in.  </w:t>
            </w:r>
            <w:r>
              <w:rPr>
                <w:b w:val="0"/>
              </w:rPr>
              <w:t>Select “First time? Set up password”, enter that same email, then select “Send setup email”. You can instead choose “Sign in by email link”. If Google says “being configured”, use email. Microsoft sign-in is no longer offered on the site.</w:t>
            </w:r>
          </w:p>
        </w:tc>
      </w:tr>
    </w:tbl>
    <w:p>
      <w:pPr>
        <w:spacing w:after="0"/>
      </w:pPr>
    </w:p>
    <w:tbl>
      <w:tblPr>
        <w:tblW w:type="auto" w:w="0"/>
        <w:tblLayout w:type="fixed"/>
        <w:tblLook w:firstColumn="1" w:firstRow="1" w:lastColumn="0" w:lastRow="0" w:noHBand="0" w:noVBand="1" w:val="04A0"/>
      </w:tblPr>
      <w:tblGrid>
        <w:gridCol w:w="677"/>
        <w:gridCol w:w="9317"/>
      </w:tblGrid>
      <w:tr>
        <w:tc>
          <w:tcPr>
            <w:tcW w:type="dxa" w:w="677"/>
            <w:vAlign w:val="center"/>
            <w:shd w:fill="2347C0"/>
          </w:tcPr>
          <w:p>
            <w:pPr>
              <w:jc w:val="center"/>
            </w:pPr>
            <w:r>
              <w:rPr>
                <w:b/>
                <w:color w:val="FFFFFF"/>
                <w:sz w:val="20"/>
              </w:rPr>
              <w:t>03</w:t>
            </w:r>
          </w:p>
        </w:tc>
        <w:tc>
          <w:tcPr>
            <w:tcW w:type="dxa" w:w="9317"/>
          </w:tcPr>
          <w:p>
            <w:pPr>
              <w:spacing w:after="0"/>
            </w:pPr>
            <w:r>
              <w:rPr>
                <w:b/>
                <w:color w:val="15232B"/>
              </w:rPr>
              <w:t xml:space="preserve">Finish from your inbox.  </w:t>
            </w:r>
            <w:r>
              <w:rPr>
                <w:b w:val="0"/>
              </w:rPr>
              <w:t>Open the newest EFDS email on the same device and browser, follow the link, then set and confirm your password if prompted. If the link has expired or was already used, request a new one. Check junk mail if no message arrives.</w:t>
            </w:r>
          </w:p>
        </w:tc>
      </w:tr>
    </w:tbl>
    <w:p>
      <w:pPr>
        <w:spacing w:after="0"/>
      </w:pPr>
    </w:p>
    <w:tbl>
      <w:tblPr>
        <w:tblW w:type="auto" w:w="0"/>
        <w:tblLayout w:type="fixed"/>
        <w:tblLook w:firstColumn="1" w:firstRow="1" w:lastColumn="0" w:lastRow="0" w:noHBand="0" w:noVBand="1" w:val="04A0"/>
      </w:tblPr>
      <w:tblGrid>
        <w:gridCol w:w="677"/>
        <w:gridCol w:w="9317"/>
      </w:tblGrid>
      <w:tr>
        <w:tc>
          <w:tcPr>
            <w:tcW w:type="dxa" w:w="677"/>
            <w:vAlign w:val="center"/>
            <w:shd w:fill="2347C0"/>
          </w:tcPr>
          <w:p>
            <w:pPr>
              <w:jc w:val="center"/>
            </w:pPr>
            <w:r>
              <w:rPr>
                <w:b/>
                <w:color w:val="FFFFFF"/>
                <w:sz w:val="20"/>
              </w:rPr>
              <w:t>04</w:t>
            </w:r>
          </w:p>
        </w:tc>
        <w:tc>
          <w:tcPr>
            <w:tcW w:type="dxa" w:w="9317"/>
          </w:tcPr>
          <w:p>
            <w:pPr>
              <w:spacing w:after="0"/>
            </w:pPr>
            <w:r>
              <w:rPr>
                <w:b/>
                <w:color w:val="15232B"/>
              </w:rPr>
              <w:t xml:space="preserve">Ask for committee access.  </w:t>
            </w:r>
            <w:r>
              <w:rPr>
                <w:b w:val="0"/>
              </w:rPr>
              <w:t>Through your usual committee channel, tell the EFDS administrator your full name, exact signed-in email, official committee title, and academic year. “Member access” before promotion is expected. Never share a password or sign-in link.</w:t>
            </w:r>
          </w:p>
        </w:tc>
      </w:tr>
    </w:tbl>
    <w:p>
      <w:pPr>
        <w:spacing w:after="0"/>
      </w:pPr>
    </w:p>
    <w:tbl>
      <w:tblPr>
        <w:tblW w:type="auto" w:w="0"/>
        <w:tblLayout w:type="fixed"/>
        <w:tblLook w:firstColumn="1" w:firstRow="1" w:lastColumn="0" w:lastRow="0" w:noHBand="0" w:noVBand="1" w:val="04A0"/>
      </w:tblPr>
      <w:tblGrid>
        <w:gridCol w:w="677"/>
        <w:gridCol w:w="9317"/>
      </w:tblGrid>
      <w:tr>
        <w:tc>
          <w:tcPr>
            <w:tcW w:type="dxa" w:w="677"/>
            <w:vAlign w:val="center"/>
            <w:shd w:fill="2347C0"/>
          </w:tcPr>
          <w:p>
            <w:pPr>
              <w:jc w:val="center"/>
            </w:pPr>
            <w:r>
              <w:rPr>
                <w:b/>
                <w:color w:val="FFFFFF"/>
                <w:sz w:val="20"/>
              </w:rPr>
              <w:t>05</w:t>
            </w:r>
          </w:p>
        </w:tc>
        <w:tc>
          <w:tcPr>
            <w:tcW w:type="dxa" w:w="9317"/>
          </w:tcPr>
          <w:p>
            <w:pPr>
              <w:spacing w:after="0"/>
            </w:pPr>
            <w:r>
              <w:rPr>
                <w:b/>
                <w:color w:val="15232B"/>
              </w:rPr>
              <w:t xml:space="preserve">Verify your role.  </w:t>
            </w:r>
            <w:r>
              <w:rPr>
                <w:b w:val="0"/>
              </w:rPr>
              <w:t>After the administrator confirms, refresh or sign in again. At www.imperial-efds.com/dashboard/profile, check for “committee access” plus your linked name, title, and year. Open /dashboard/tickets to see committee work. Report any mismatch.</w:t>
            </w:r>
          </w:p>
        </w:tc>
      </w:tr>
    </w:tbl>
    <w:p>
      <w:pPr>
        <w:spacing w:after="0"/>
      </w:pPr>
    </w:p>
    <w:tbl>
      <w:tblPr>
        <w:tblW w:type="auto" w:w="0"/>
        <w:tblLook w:firstColumn="1" w:firstRow="1" w:lastColumn="0" w:lastRow="0" w:noHBand="0" w:noVBand="1" w:val="04A0"/>
      </w:tblPr>
      <w:tblGrid>
        <w:gridCol w:w="10166"/>
      </w:tblGrid>
      <w:tr>
        <w:tc>
          <w:tcPr>
            <w:tcW w:type="dxa" w:w="10166"/>
            <w:shd w:fill="F2F5FC"/>
          </w:tcPr>
          <w:p>
            <w:pPr>
              <w:spacing w:after="0"/>
            </w:pPr>
            <w:r>
              <w:rPr>
                <w:b w:val="0"/>
                <w:color w:val="15232B"/>
              </w:rPr>
              <w:t>Use the same email every time. A different email or Google identity can create a separate account. Ticket assignments follow the officer entry linked to your account.</w:t>
            </w:r>
          </w:p>
        </w:tc>
      </w:tr>
    </w:tbl>
    <w:p>
      <w:r>
        <w:br w:type="page"/>
      </w:r>
    </w:p>
    <w:p>
      <w:pPr>
        <w:pStyle w:val="Heading2"/>
        <w:spacing w:before="280" w:after="100"/>
      </w:pPr>
      <w:r>
        <w:rPr>
          <w:b w:val="0"/>
        </w:rPr>
        <w:t>For the EFDS account administrator</w:t>
      </w:r>
    </w:p>
    <w:p>
      <w:pPr>
        <w:spacing w:after="120"/>
      </w:pPr>
      <w:r>
        <w:rPr>
          <w:b w:val="0"/>
        </w:rPr>
        <w:t>Verify the person against the current committee roster and a trusted committee channel. Promotion happens only after they have signed in once. Use the knowledge-base backend with its already configured DATABASE_URL; never place a database credential in a command or shared guide.</w:t>
      </w:r>
    </w:p>
    <w:p>
      <w:pPr>
        <w:spacing w:after="120"/>
      </w:pPr>
      <w:r>
        <w:rPr>
          <w:b/>
        </w:rPr>
        <w:t xml:space="preserve">1  Check the profile and roster. </w:t>
      </w:r>
      <w:r>
        <w:rPr>
          <w:b w:val="0"/>
        </w:rPr>
        <w:t>On www.imperial-efds.com/admin/committee, confirm that the person signed in with the claimed email and the active officers roster has the correct full name, title, and year. Correct a missing or wrong roster entry first.</w:t>
      </w:r>
    </w:p>
    <w:p>
      <w:pPr>
        <w:spacing w:after="120"/>
      </w:pPr>
      <w:r>
        <w:rPr>
          <w:b/>
        </w:rPr>
        <w:t xml:space="preserve">2  Grant committee access and link the roster identity. </w:t>
      </w:r>
      <w:r>
        <w:rPr>
          <w:b w:val="0"/>
        </w:rPr>
        <w:t>From the efds-knowledge-base directory, in its configured Python environment, run:</w:t>
      </w:r>
    </w:p>
    <w:tbl>
      <w:tblPr>
        <w:tblW w:type="auto" w:w="0"/>
        <w:tblLook w:firstColumn="1" w:firstRow="1" w:lastColumn="0" w:lastRow="0" w:noHBand="0" w:noVBand="1" w:val="04A0"/>
      </w:tblPr>
      <w:tblGrid>
        <w:gridCol w:w="10166"/>
      </w:tblGrid>
      <w:tr>
        <w:tc>
          <w:tcPr>
            <w:tcW w:type="dxa" w:w="10166"/>
            <w:shd w:fill="15232B"/>
          </w:tcPr>
          <w:p>
            <w:r>
              <w:rPr>
                <w:b w:val="0"/>
                <w:color w:val="FFFFFF"/>
                <w:sz w:val="17"/>
              </w:rPr>
              <w:t>python scripts/grant_access.py person@imperial.ac.uk \</w:t>
            </w:r>
          </w:p>
          <w:p>
            <w:r>
              <w:rPr>
                <w:b w:val="0"/>
                <w:color w:val="FFFFFF"/>
                <w:sz w:val="17"/>
              </w:rPr>
              <w:t xml:space="preserve">  --role committee --officer-name "Full Roster Name"</w:t>
            </w:r>
          </w:p>
        </w:tc>
      </w:tr>
    </w:tbl>
    <w:p>
      <w:pPr>
        <w:spacing w:after="120"/>
      </w:pPr>
      <w:r>
        <w:rPr>
          <w:b w:val="0"/>
        </w:rPr>
        <w:t>Use the exact signed-in email and roster name. If the name repeats across years, add --academic-year "2026/27" with the actual roster year. The command refuses an ambiguous name or a roster entry already linked to another active account.</w:t>
      </w:r>
    </w:p>
    <w:p>
      <w:pPr>
        <w:spacing w:after="120"/>
      </w:pPr>
      <w:r>
        <w:rPr>
          <w:b/>
        </w:rPr>
        <w:t xml:space="preserve">3  Verify the result. </w:t>
      </w:r>
      <w:r>
        <w:rPr>
          <w:b w:val="0"/>
        </w:rPr>
        <w:t>Check that the output names the right email, officer title, and year. Ask the member to refresh or sign in again and inspect their Profile and Tickets. Repeating the same grant is safe.</w:t>
      </w:r>
    </w:p>
    <w:p>
      <w:pPr>
        <w:pStyle w:val="Heading2"/>
        <w:spacing w:before="280" w:after="100"/>
      </w:pPr>
      <w:r>
        <w:rPr>
          <w:b w:val="0"/>
        </w:rPr>
        <w:t>Quick fixes</w:t>
      </w:r>
    </w:p>
    <w:tbl>
      <w:tblPr>
        <w:tblW w:type="auto" w:w="0"/>
        <w:tblLayout w:type="fixed"/>
        <w:tblLook w:firstColumn="1" w:firstRow="1" w:lastColumn="0" w:lastRow="0" w:noHBand="0" w:noVBand="1" w:val="04A0"/>
      </w:tblPr>
      <w:tblGrid>
        <w:gridCol w:w="2664"/>
        <w:gridCol w:w="7272"/>
      </w:tblGrid>
      <w:tr>
        <w:tc>
          <w:tcPr>
            <w:tcW w:type="dxa" w:w="2664"/>
            <w:vAlign w:val="center"/>
            <w:shd w:fill="F2F5FC"/>
          </w:tcPr>
          <w:p>
            <w:r>
              <w:rPr>
                <w:b/>
                <w:color w:val="15232B"/>
              </w:rPr>
              <w:t>No email arrives</w:t>
            </w:r>
          </w:p>
        </w:tc>
        <w:tc>
          <w:tcPr>
            <w:tcW w:type="dxa" w:w="7272"/>
            <w:vAlign w:val="center"/>
            <w:shd w:fill="F2F5FC"/>
          </w:tcPr>
          <w:p>
            <w:r>
              <w:rPr>
                <w:b w:val="0"/>
              </w:rPr>
              <w:t>Check junk mail and the address; request a fresh setup email. Ask the admin to check delivery if it still fails.</w:t>
            </w:r>
          </w:p>
        </w:tc>
      </w:tr>
      <w:tr>
        <w:tc>
          <w:tcPr>
            <w:tcW w:type="dxa" w:w="2664"/>
            <w:vAlign w:val="center"/>
          </w:tcPr>
          <w:p>
            <w:r>
              <w:rPr>
                <w:b/>
                <w:color w:val="15232B"/>
              </w:rPr>
              <w:t>Link lands on home or expires</w:t>
            </w:r>
          </w:p>
        </w:tc>
        <w:tc>
          <w:tcPr>
            <w:tcW w:type="dxa" w:w="7272"/>
            <w:vAlign w:val="center"/>
          </w:tcPr>
          <w:p>
            <w:r>
              <w:rPr>
                <w:b w:val="0"/>
              </w:rPr>
              <w:t>Request a new link; use the newest one in the same browser. Share only the error text, never the link or code.</w:t>
            </w:r>
          </w:p>
        </w:tc>
      </w:tr>
      <w:tr>
        <w:tc>
          <w:tcPr>
            <w:tcW w:type="dxa" w:w="2664"/>
            <w:vAlign w:val="center"/>
            <w:shd w:fill="F2F5FC"/>
          </w:tcPr>
          <w:p>
            <w:r>
              <w:rPr>
                <w:b/>
                <w:color w:val="15232B"/>
              </w:rPr>
              <w:t>Still member access</w:t>
            </w:r>
          </w:p>
        </w:tc>
        <w:tc>
          <w:tcPr>
            <w:tcW w:type="dxa" w:w="7272"/>
            <w:vAlign w:val="center"/>
            <w:shd w:fill="F2F5FC"/>
          </w:tcPr>
          <w:p>
            <w:r>
              <w:rPr>
                <w:b w:val="0"/>
              </w:rPr>
              <w:t>Admin: promote the exact signed-in email. First sign-in never grants committee status automatically.</w:t>
            </w:r>
          </w:p>
        </w:tc>
      </w:tr>
      <w:tr>
        <w:tc>
          <w:tcPr>
            <w:tcW w:type="dxa" w:w="2664"/>
            <w:vAlign w:val="center"/>
          </w:tcPr>
          <w:p>
            <w:r>
              <w:rPr>
                <w:b/>
                <w:color w:val="15232B"/>
              </w:rPr>
              <w:t>Wrong or missing title</w:t>
            </w:r>
          </w:p>
        </w:tc>
        <w:tc>
          <w:tcPr>
            <w:tcW w:type="dxa" w:w="7272"/>
            <w:vAlign w:val="center"/>
          </w:tcPr>
          <w:p>
            <w:r>
              <w:rPr>
                <w:b w:val="0"/>
              </w:rPr>
              <w:t>Admin: correct the officer roster link. Member: do not create a second account.</w:t>
            </w:r>
          </w:p>
        </w:tc>
      </w:tr>
      <w:tr>
        <w:tc>
          <w:tcPr>
            <w:tcW w:type="dxa" w:w="2664"/>
            <w:vAlign w:val="center"/>
            <w:shd w:fill="F2F5FC"/>
          </w:tcPr>
          <w:p>
            <w:r>
              <w:rPr>
                <w:b/>
                <w:color w:val="15232B"/>
              </w:rPr>
              <w:t>Password fails</w:t>
            </w:r>
          </w:p>
        </w:tc>
        <w:tc>
          <w:tcPr>
            <w:tcW w:type="dxa" w:w="7272"/>
            <w:vAlign w:val="center"/>
            <w:shd w:fill="F2F5FC"/>
          </w:tcPr>
          <w:p>
            <w:r>
              <w:rPr>
                <w:b w:val="0"/>
              </w:rPr>
              <w:t>Use “Forgot password?” or “Sign in by email link”.</w:t>
            </w:r>
          </w:p>
        </w:tc>
      </w:tr>
      <w:tr>
        <w:tc>
          <w:tcPr>
            <w:tcW w:type="dxa" w:w="2664"/>
            <w:vAlign w:val="center"/>
          </w:tcPr>
          <w:p>
            <w:r>
              <w:rPr>
                <w:b/>
                <w:color w:val="15232B"/>
              </w:rPr>
              <w:t>Google unavailable</w:t>
            </w:r>
          </w:p>
        </w:tc>
        <w:tc>
          <w:tcPr>
            <w:tcW w:type="dxa" w:w="7272"/>
            <w:vAlign w:val="center"/>
          </w:tcPr>
          <w:p>
            <w:r>
              <w:rPr>
                <w:b w:val="0"/>
              </w:rPr>
              <w:t>Use email. Google sign-in requires separate provider setup before activation.</w:t>
            </w:r>
          </w:p>
        </w:tc>
      </w:tr>
    </w:tbl>
    <w:p>
      <w:pPr>
        <w:spacing w:after="120" w:before="160"/>
      </w:pPr>
      <w:r>
        <w:rPr>
          <w:b w:val="0"/>
          <w:color w:val="52616A"/>
          <w:sz w:val="16"/>
        </w:rPr>
        <w:t>EFDS is a student society. Its account access is managed by the society and is separate from Imperial College London’s own account permissions.</w:t>
      </w:r>
    </w:p>
    <w:sectPr w:rsidR="00FC693F" w:rsidRPr="0006063C" w:rsidSect="00034616">
      <w:headerReference w:type="default" r:id="rId9"/>
      <w:footerReference w:type="default" r:id="rId10"/>
      <w:pgSz w:w="12240" w:h="15840"/>
      <w:pgMar w:top="950" w:right="1037" w:bottom="864" w:left="1037" w:header="374"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color w:val="52616A"/>
        <w:sz w:val="14"/>
      </w:rPr>
      <w:t>Economics, Finance &amp; Data Science Society  ·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color="D9E1E7"/>
      </w:pBdr>
    </w:pPr>
    <w:r>
      <w:rPr>
        <w:b/>
        <w:color w:val="2347C0"/>
        <w:sz w:val="15"/>
      </w:rPr>
      <w:t>EFDS  /  MEMBER ACCESS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pPr>
    <w:rPr>
      <w:rFonts w:ascii="Aptos" w:hAnsi="Aptos"/>
      <w:color w:val="1523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47C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EFDS Committee Account Setup Guide</dc:title>
  <dc:subject>Individual sign-in, committee promotion, and officer identity linking</dc:subject>
  <dc:creator>EFDS</dc:creator>
  <cp:keywords/>
  <dc:description>generated by python-docx</dc:description>
  <cp:lastModifiedBy/>
  <cp:revision>1</cp:revision>
  <dcterms:created xsi:type="dcterms:W3CDTF">2013-12-23T23:15:00Z</dcterms:created>
  <dcterms:modified xsi:type="dcterms:W3CDTF">2013-12-23T23:15:00Z</dcterms:modified>
  <cp:category/>
</cp:coreProperties>
</file>