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6" w:space="2" w:color="1F3A5F"/>
        </w:pBdr>
        <w:spacing w:before="120" w:after="0" w:line="240" w:lineRule="auto"/>
        <w:ind w:firstLine="0"/>
      </w:pPr>
    </w:p>
    <w:p>
      <w:pPr>
        <w:spacing w:before="2360" w:after="0" w:line="240" w:lineRule="auto"/>
        <w:ind w:firstLine="0"/>
      </w:pPr>
      <w:r>
        <w:rPr>
          <w:rFonts w:ascii="微软雅黑" w:hAnsi="微软雅黑" w:eastAsia="微软雅黑" w:cs="微软雅黑"/>
          <w:b/>
          <w:color w:val="C0803A"/>
          <w:sz w:val="18"/>
        </w:rPr>
        <w:t>RESEARCH REPORT　·　2026</w:t>
      </w:r>
    </w:p>
    <w:p>
      <w:pPr>
        <w:spacing w:before="200" w:after="0" w:line="240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80"/>
        </w:rPr>
        <w:t>单细胞大模型</w:t>
      </w:r>
    </w:p>
    <w:p>
      <w:pPr>
        <w:spacing w:before="80" w:after="280" w:line="240" w:lineRule="auto"/>
        <w:ind w:firstLine="0"/>
      </w:pPr>
      <w:r>
        <w:rPr>
          <w:rFonts w:ascii="微软雅黑" w:hAnsi="微软雅黑" w:eastAsia="微软雅黑" w:cs="微软雅黑"/>
          <w:b/>
          <w:color w:val="2E5C8A"/>
          <w:sz w:val="80"/>
        </w:rPr>
        <w:t>问题、方案与架构</w:t>
      </w:r>
    </w:p>
    <w:p>
      <w:pPr>
        <w:pBdr>
          <w:bottom w:val="single" w:sz="10" w:space="1" w:color="C0803A"/>
        </w:pBdr>
        <w:spacing w:before="0" w:after="320" w:line="240" w:lineRule="auto"/>
        <w:ind w:firstLine="0"/>
      </w:pPr>
    </w:p>
    <w:p>
      <w:pPr>
        <w:spacing w:before="0" w:after="40" w:line="336" w:lineRule="auto"/>
        <w:ind w:firstLine="0"/>
      </w:pPr>
      <w:r>
        <w:rPr>
          <w:rFonts w:ascii="微软雅黑" w:hAnsi="微软雅黑" w:eastAsia="微软雅黑" w:cs="微软雅黑"/>
          <w:b w:val="0"/>
          <w:color w:val="3D4B5C"/>
          <w:sz w:val="26"/>
        </w:rPr>
        <w:t>十二个可验证问题 · 六个架构大类 · 二十七个模型的设计取舍</w:t>
      </w:r>
    </w:p>
    <w:p>
      <w:pPr>
        <w:spacing w:before="80" w:after="0" w:line="336" w:lineRule="auto"/>
        <w:ind w:firstLine="0"/>
      </w:pPr>
      <w:r>
        <w:rPr>
          <w:rFonts w:ascii="Times New Roman" w:hAnsi="Times New Roman" w:eastAsia="宋体" w:cs="Times New Roman"/>
          <w:b w:val="0"/>
          <w:color w:val="5D6B7A"/>
          <w:sz w:val="20"/>
        </w:rPr>
        <w:t>从“把 BERT 搬到细胞”到“用分布预测干预”：一次以代价为中心的技术盘点</w:t>
      </w:r>
    </w:p>
    <w:p>
      <w:pPr>
        <w:spacing w:before="2720" w:after="0" w:line="240" w:lineRule="auto"/>
        <w:ind w:firstLine="0"/>
      </w:pPr>
    </w:p>
    <w:p>
      <w:pPr>
        <w:tabs>
          <w:tab w:pos="1928" w:val="left"/>
        </w:tabs>
        <w:spacing w:before="0" w:after="50" w:line="240" w:lineRule="auto"/>
        <w:ind w:firstLine="0"/>
      </w:pPr>
      <w:r>
        <w:rPr>
          <w:rFonts w:ascii="微软雅黑" w:hAnsi="微软雅黑" w:eastAsia="微软雅黑" w:cs="微软雅黑"/>
          <w:b w:val="0"/>
          <w:color w:val="8A94A6"/>
          <w:sz w:val="16"/>
        </w:rPr>
        <w:t>版　　本</w:t>
      </w:r>
      <w:r>
        <w:rPr>
          <w:rFonts w:ascii="微软雅黑" w:hAnsi="微软雅黑" w:eastAsia="微软雅黑" w:cs="微软雅黑"/>
          <w:b w:val="0"/>
          <w:color w:val="8A94A6"/>
          <w:sz w:val="16"/>
        </w:rPr>
        <w:tab/>
      </w:r>
      <w:r>
        <w:rPr>
          <w:rFonts w:ascii="Times New Roman" w:hAnsi="Times New Roman" w:eastAsia="宋体" w:cs="Times New Roman"/>
          <w:b w:val="0"/>
          <w:color w:val="3D4B5C"/>
          <w:sz w:val="17"/>
        </w:rPr>
        <w:t>v1.0（汇报版）</w:t>
      </w:r>
    </w:p>
    <w:p>
      <w:pPr>
        <w:tabs>
          <w:tab w:pos="1928" w:val="left"/>
        </w:tabs>
        <w:spacing w:before="0" w:after="50" w:line="240" w:lineRule="auto"/>
        <w:ind w:firstLine="0"/>
      </w:pPr>
      <w:r>
        <w:rPr>
          <w:rFonts w:ascii="微软雅黑" w:hAnsi="微软雅黑" w:eastAsia="微软雅黑" w:cs="微软雅黑"/>
          <w:b w:val="0"/>
          <w:color w:val="8A94A6"/>
          <w:sz w:val="16"/>
        </w:rPr>
        <w:t>完成时间</w:t>
      </w:r>
      <w:r>
        <w:rPr>
          <w:rFonts w:ascii="微软雅黑" w:hAnsi="微软雅黑" w:eastAsia="微软雅黑" w:cs="微软雅黑"/>
          <w:b w:val="0"/>
          <w:color w:val="8A94A6"/>
          <w:sz w:val="16"/>
        </w:rPr>
        <w:tab/>
      </w:r>
      <w:r>
        <w:rPr>
          <w:rFonts w:ascii="Times New Roman" w:hAnsi="Times New Roman" w:eastAsia="宋体" w:cs="Times New Roman"/>
          <w:b w:val="0"/>
          <w:color w:val="3D4B5C"/>
          <w:sz w:val="17"/>
        </w:rPr>
        <w:t>2026 年 10 月 26 日</w:t>
      </w:r>
    </w:p>
    <w:p>
      <w:pPr>
        <w:tabs>
          <w:tab w:pos="1928" w:val="left"/>
        </w:tabs>
        <w:spacing w:before="0" w:after="50" w:line="240" w:lineRule="auto"/>
        <w:ind w:firstLine="0"/>
      </w:pPr>
      <w:r>
        <w:rPr>
          <w:rFonts w:ascii="微软雅黑" w:hAnsi="微软雅黑" w:eastAsia="微软雅黑" w:cs="微软雅黑"/>
          <w:b w:val="0"/>
          <w:color w:val="8A94A6"/>
          <w:sz w:val="16"/>
        </w:rPr>
        <w:t>覆盖范围</w:t>
      </w:r>
      <w:r>
        <w:rPr>
          <w:rFonts w:ascii="微软雅黑" w:hAnsi="微软雅黑" w:eastAsia="微软雅黑" w:cs="微软雅黑"/>
          <w:b w:val="0"/>
          <w:color w:val="8A94A6"/>
          <w:sz w:val="16"/>
        </w:rPr>
        <w:tab/>
      </w:r>
      <w:r>
        <w:rPr>
          <w:rFonts w:ascii="Times New Roman" w:hAnsi="Times New Roman" w:eastAsia="宋体" w:cs="Times New Roman"/>
          <w:b w:val="0"/>
          <w:color w:val="3D4B5C"/>
          <w:sz w:val="17"/>
        </w:rPr>
        <w:t>2021–2026 年公开的单细胞基础模型、评测与批评性研究</w:t>
      </w:r>
    </w:p>
    <w:p>
      <w:pPr>
        <w:tabs>
          <w:tab w:pos="1928" w:val="left"/>
        </w:tabs>
        <w:spacing w:before="0" w:after="50" w:line="240" w:lineRule="auto"/>
        <w:ind w:firstLine="0"/>
      </w:pPr>
      <w:r>
        <w:rPr>
          <w:rFonts w:ascii="微软雅黑" w:hAnsi="微软雅黑" w:eastAsia="微软雅黑" w:cs="微软雅黑"/>
          <w:b w:val="0"/>
          <w:color w:val="8A94A6"/>
          <w:sz w:val="16"/>
        </w:rPr>
        <w:t>资料口径</w:t>
      </w:r>
      <w:r>
        <w:rPr>
          <w:rFonts w:ascii="微软雅黑" w:hAnsi="微软雅黑" w:eastAsia="微软雅黑" w:cs="微软雅黑"/>
          <w:b w:val="0"/>
          <w:color w:val="8A94A6"/>
          <w:sz w:val="16"/>
        </w:rPr>
        <w:tab/>
      </w:r>
      <w:r>
        <w:rPr>
          <w:rFonts w:ascii="Times New Roman" w:hAnsi="Times New Roman" w:eastAsia="宋体" w:cs="Times New Roman"/>
          <w:b w:val="0"/>
          <w:color w:val="3D4B5C"/>
          <w:sz w:val="17"/>
        </w:rPr>
        <w:t>论文原文、预印本、官方仓库与模型卡；厂商口径单独标注</w:t>
      </w:r>
    </w:p>
    <w:p>
      <w:pPr>
        <w:tabs>
          <w:tab w:pos="1928" w:val="left"/>
        </w:tabs>
        <w:spacing w:before="0" w:after="50" w:line="240" w:lineRule="auto"/>
        <w:ind w:firstLine="0"/>
      </w:pPr>
      <w:r>
        <w:rPr>
          <w:rFonts w:ascii="微软雅黑" w:hAnsi="微软雅黑" w:eastAsia="微软雅黑" w:cs="微软雅黑"/>
          <w:b w:val="0"/>
          <w:color w:val="8A94A6"/>
          <w:sz w:val="16"/>
        </w:rPr>
        <w:t>引用数量</w:t>
      </w:r>
      <w:r>
        <w:rPr>
          <w:rFonts w:ascii="微软雅黑" w:hAnsi="微软雅黑" w:eastAsia="微软雅黑" w:cs="微软雅黑"/>
          <w:b w:val="0"/>
          <w:color w:val="8A94A6"/>
          <w:sz w:val="16"/>
        </w:rPr>
        <w:tab/>
      </w:r>
      <w:r>
        <w:rPr>
          <w:rFonts w:ascii="Times New Roman" w:hAnsi="Times New Roman" w:eastAsia="宋体" w:cs="Times New Roman"/>
          <w:b w:val="0"/>
          <w:color w:val="3D4B5C"/>
          <w:sz w:val="17"/>
        </w:rPr>
        <w:t>27 款模型 · 29 张表 · 47 条来源</w:t>
      </w:r>
    </w:p>
    <w:p>
      <w:pPr>
        <w:pBdr>
          <w:top w:val="single" w:sz="4" w:space="6" w:color="D5DCE6"/>
        </w:pBdr>
        <w:spacing w:before="280" w:after="0" w:line="240" w:lineRule="auto"/>
        <w:ind w:firstLine="0"/>
      </w:pPr>
    </w:p>
    <w:p>
      <w:pPr>
        <w:spacing w:before="80" w:after="0" w:line="336" w:lineRule="auto"/>
        <w:ind w:firstLine="0"/>
      </w:pPr>
      <w:r>
        <w:rPr>
          <w:rFonts w:ascii="Times New Roman" w:hAnsi="Times New Roman" w:eastAsia="宋体" w:cs="Times New Roman"/>
          <w:b w:val="0"/>
          <w:color w:val="8A94A6"/>
          <w:sz w:val="14"/>
        </w:rPr>
        <w:t>说明：本报告区分“论文/官方数据”与“厂商宣称”，凡属后者均在正文标注；未标注者可在附录 C 找到来源。报告不构成投资建议。</w:t>
      </w:r>
    </w:p>
    <w:p>
      <w:pPr>
        <w:sectPr>
          <w:pgSz w:w="11906" w:h="16838"/>
          <w:pgMar w:top="1389" w:right="1361" w:bottom="1247" w:left="1361" w:header="737" w:footer="709" w:gutter="0"/>
          <w:cols w:space="720"/>
          <w:titlePg/>
          <w:docGrid w:linePitch="360"/>
        </w:sectPr>
      </w:pPr>
    </w:p>
    <w:p>
      <w:pPr>
        <w:keepNext/>
        <w:spacing w:before="40" w:after="80"/>
        <w:ind w:firstLine="0"/>
      </w:pPr>
      <w:r>
        <w:rPr>
          <w:rFonts w:ascii="微软雅黑" w:hAnsi="微软雅黑" w:eastAsia="微软雅黑" w:cs="微软雅黑"/>
          <w:b/>
          <w:color w:val="C0803A"/>
          <w:sz w:val="20"/>
        </w:rPr>
        <w:t>摘 要</w:t>
      </w:r>
    </w:p>
    <w:p>
      <w:pPr>
        <w:keepNext/>
        <w:pBdr>
          <w:bottom w:val="single" w:sz="6" w:space="6" w:color="C9D2DE"/>
        </w:pBdr>
        <w:spacing w:before="0" w:after="240"/>
        <w:ind w:firstLine="0"/>
      </w:pPr>
      <w:r>
        <w:rPr>
          <w:rFonts w:ascii="微软雅黑" w:hAnsi="微软雅黑" w:eastAsia="微软雅黑" w:cs="微软雅黑"/>
          <w:b/>
          <w:color w:val="1F3A5F"/>
          <w:sz w:val="38"/>
        </w:rPr>
        <w:t>十二个问题、六个大类与二十七个模型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这份报告不按“模型年表”组织，而按两个更稳定的坐标来组织：模型要解决什么问题，以及它把什么当作建模的第一性对象。前者解释“为什么每个模型都长得不一样”，后者解释“为什么它们最终会收敛到少数几种结构”。</w:t>
      </w:r>
    </w:p>
    <w:p>
      <w:pPr>
        <w:keepNext/>
        <w:pBdr>
          <w:bottom w:val="single" w:sz="4" w:space="3" w:color="C9D2DE"/>
        </w:pBdr>
        <w:spacing w:before="200" w:after="80"/>
        <w:ind w:firstLine="0"/>
      </w:pPr>
      <w:r>
        <w:rPr>
          <w:rFonts w:ascii="微软雅黑" w:hAnsi="微软雅黑" w:eastAsia="微软雅黑" w:cs="微软雅黑"/>
          <w:b/>
          <w:color w:val="1F3A5F"/>
          <w:sz w:val="22"/>
        </w:rPr>
        <w:t>核心判断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一、问题是分层的，而且会向下游传导。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十二个问题分布在数据、表示、目标、适配与评价四层。修好一层，代价往往以另一种形式出现在下一层：把表达值离散化，换来的是与语言模型词表的兼容，代价是幅值信息；把细胞当成集合来预测，换来的是对噪声的鲁棒，代价是单细胞分辨率。理解这条链，比记住任何一个模型的分数都重要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二、最硬的问题不在模型侧。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数据泄漏（P3）没有架构解，只能靠时间切分与逐细胞审计；数据规模饱和（P1）说明“再大一倍”不再是有效策略；噪声与批次（P2）本质上是测量问题。三者共同构成了比参数量更硬的约束。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三、六个架构大类，是建模对象与学习信号的六种可行组合。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建模对象是基因、细胞、表达谱整体、状态分布与自然语言；学习信号是掩码重建、似然生成与对齐/预测。六个大类不是六个“流派”，而是六组被数据形态逼出来的取舍。主干网络（Transformer、Performer、RetNet、Mamba）是正交的工程选择，不决定模型学什么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四、每一类都有结构性代价，没有免费午餐。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秩编码丢绝对幅值，硬分箱丢序，连续投影怕噪声，细胞为 token 丢基因间关系，集合预测丢单细胞分辨率，扩散模型丢可解释性，文本接口丢定量精度。选型不是找“最强”，而是找“代价可以接受”。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五、2026 年的前沿不是“更大”，而是“换监督信号”。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2021–2024 年的主线是把 BERT/GPT 的配方搬到转录组；2025–2026 年的新模型几乎都在做同一件事：从“重建自己的表达”转向“预测干预后的分布”。State 用 256 个细胞的集合与 MMD 损失，AlphaCell 用最优传输流匹配，Lingshu-Cell 用条件离散扩散，CellOS 用 JEPA 在隐空间预测。这是一次从表示学习到世界模型的迁移。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六、评测仍停在“重建指标”，与“干预正确性”错位。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多数基准用 MSE、Pearson 或聚类一致性打分，而模型真正要回答的是“敲掉这个基因之后，哪些基因会变”。在 Norman 双扰动上，所有被测模型的误差都高于“两个单扰动相加”的朴素基线，而真正有信息的交互只占 4.2%。这不是模型不够大，是指标没有对准问题。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七、zero-shot 的叙事已经破产，但微调与特征提取的价值仍然成立。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多项独立评测显示，零样本嵌入常常不如 HVG、Harmony、逻辑回归；但同一批研究也确认：预训练优于随机初始化，微调后在分布外数据上仍有增益，且样本越少优势越明显。正确的用法是“高质量初始化 + 轻量适配”，不是“开箱即用的通用智能”。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八、最值得下注的三个方向。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词表无关的基因身份（UCE、TranscriptFormer、scPRINT 用蛋白语言模型替代固定词表）、分布级/集合级的学习目标（State 的集合损失、AlphaCell 的流匹配）、以及把先验变成结构而不是特征（GeneCompass 的知识拼接、RegFormer 的调控排序、CellVQ 的本体矩阵）。三者分别对应 P5、P9、P8 三个最难的问题。</w:t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一句话结论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单细胞大模型已经完成了“范式验证”，还没有完成“价值验证”。它现在缺的不是参数，而是三样东西：能检验干预的评测、能持续产生扰动数据的闭环、以及把结构性代价讲清楚的选型语言。本报告试图提供第三种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pBdr>
          <w:bottom w:val="single" w:sz="4" w:space="3" w:color="C9D2DE"/>
        </w:pBdr>
        <w:spacing w:before="200" w:after="80"/>
        <w:ind w:firstLine="0"/>
      </w:pPr>
      <w:r>
        <w:rPr>
          <w:rFonts w:ascii="微软雅黑" w:hAnsi="微软雅黑" w:eastAsia="微软雅黑" w:cs="微软雅黑"/>
          <w:b/>
          <w:color w:val="1F3A5F"/>
          <w:sz w:val="22"/>
        </w:rPr>
        <w:t>报告结构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第 1 章交代范围、分析框架与资料口径。第 2 章把问题拆成十二个可验证的条目，每个条目给出机理、证据、各模型的解法与验收判据。第 3 章给出架构分类学：先定义分类的两个坐标，再逐类拆解其归纳偏置与共同天花板。第 4 章逐个模型讲“独特之处”，并给出二十七款模型的速查表。第 5 章把问题与架构交叉，给出选型路径与四种反模式。第 6 章做现实检验：哪些结论站得住，哪些还没有被证明。第 7 章给出五条判断与三组建议。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如果只有十分钟：读摘要的八条判断、图 1 的问题地图、图 3 的架构分类、第 5 章的选型矩阵。如果要做技术选型：加读第 2 章的判据框、第 4 章的逐模型点评、第 6 章的八问清单。</w:t>
      </w:r>
    </w:p>
    <w:tbl>
      <w:tblPr>
        <w:tblW w:type="auto" w:w="0"/>
        <w:jc w:val="center"/>
        <w:tblBorders>
          <w:top w:val="single" w:sz="6" w:space="0" w:color="C9D2DE"/>
          <w:bottom w:val="none" w:sz="0" w:space="0" w:color="C9D2DE"/>
          <w:left w:val="none" w:sz="0" w:space="0" w:color="C9D2DE"/>
          <w:right w:val="none" w:sz="0" w:space="0" w:color="C9D2DE"/>
          <w:insideH w:val="none" w:sz="0" w:space="0" w:color="C9D2DE"/>
          <w:insideV w:val="none" w:sz="0" w:space="0" w:color="C9D2DE"/>
        </w:tblBorders>
        <w:tblLayout w:type="fixed"/>
        <w:tblCellMar>
          <w:top w:w="150" w:type="dxa"/>
          <w:left w:w="11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0" w:line="24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1F3A5F"/>
                <w:sz w:val="34"/>
              </w:rPr>
              <w:t>3.905 亿</w:t>
            </w:r>
          </w:p>
          <w:p>
            <w:pPr>
              <w:spacing w:before="4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5D6B7A"/>
                <w:sz w:val="14"/>
              </w:rPr>
              <w:t>公开报道中最大的预训练语料（厂商口径）</w:t>
            </w:r>
          </w:p>
        </w:tc>
        <w:tc>
          <w:tcPr>
            <w:tcW w:type="dxa" w:w="2296"/>
          </w:tcPr>
          <w:p>
            <w:pPr>
              <w:spacing w:after="0" w:line="24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1F3A5F"/>
                <w:sz w:val="34"/>
              </w:rPr>
              <w:t>12B</w:t>
            </w:r>
          </w:p>
          <w:p>
            <w:pPr>
              <w:spacing w:before="4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5D6B7A"/>
                <w:sz w:val="14"/>
              </w:rPr>
              <w:t>公开报道中最大的参数量（MoE，厂商口径）</w:t>
            </w:r>
          </w:p>
        </w:tc>
        <w:tc>
          <w:tcPr>
            <w:tcW w:type="dxa" w:w="2296"/>
          </w:tcPr>
          <w:p>
            <w:pPr>
              <w:spacing w:after="0" w:line="24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1F3A5F"/>
                <w:sz w:val="34"/>
              </w:rPr>
              <w:t>1%–10%</w:t>
            </w:r>
          </w:p>
          <w:p>
            <w:pPr>
              <w:spacing w:before="4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5D6B7A"/>
                <w:sz w:val="14"/>
              </w:rPr>
              <w:t>预训练数据即进入下游性能平台期</w:t>
            </w:r>
          </w:p>
        </w:tc>
        <w:tc>
          <w:tcPr>
            <w:tcW w:type="dxa" w:w="2296"/>
          </w:tcPr>
          <w:p>
            <w:pPr>
              <w:spacing w:after="0" w:line="24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1F3A5F"/>
                <w:sz w:val="34"/>
              </w:rPr>
              <w:t>4.2%</w:t>
            </w:r>
          </w:p>
          <w:p>
            <w:pPr>
              <w:spacing w:before="4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5D6B7A"/>
                <w:sz w:val="14"/>
              </w:rPr>
              <w:t>扰动数据中可检出真实基因交互的比例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20"/>
        </w:rPr>
      </w:r>
    </w:p>
    <w:p>
      <w:pPr>
        <w:pageBreakBefore/>
        <w:spacing w:before="0" w:after="40"/>
        <w:ind w:firstLine="0"/>
      </w:pPr>
      <w:r>
        <w:rPr>
          <w:rFonts w:ascii="微软雅黑" w:hAnsi="微软雅黑" w:eastAsia="微软雅黑" w:cs="微软雅黑"/>
          <w:b/>
          <w:color w:val="1F3A5F"/>
          <w:sz w:val="40"/>
        </w:rPr>
        <w:t>目　录</w:t>
      </w:r>
    </w:p>
    <w:p>
      <w:pPr>
        <w:pBdr>
          <w:bottom w:val="single" w:sz="6" w:space="4" w:color="C9D2DE"/>
        </w:pBdr>
        <w:spacing w:after="200"/>
      </w:pPr>
    </w:p>
    <w:p>
      <w:pPr>
        <w:tabs>
          <w:tab w:pos="9184" w:val="right" w:leader="dot"/>
        </w:tabs>
        <w:spacing w:line="307" w:lineRule="auto" w:after="60" w:before="120"/>
        <w:ind w:left="0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>摘要</w:t>
      </w:r>
      <w:r>
        <w:rPr>
          <w:rFonts w:ascii="微软雅黑" w:hAnsi="微软雅黑" w:eastAsia="微软雅黑" w:cs="微软雅黑"/>
          <w:b/>
          <w:color w:val="1F3A5F"/>
          <w:sz w:val="18"/>
        </w:rPr>
        <w:tab/>
        <w:t xml:space="preserve"> i</w:t>
      </w:r>
    </w:p>
    <w:p>
      <w:pPr>
        <w:tabs>
          <w:tab w:pos="9184" w:val="right" w:leader="dot"/>
        </w:tabs>
        <w:spacing w:line="307" w:lineRule="auto" w:after="60" w:before="120"/>
        <w:ind w:left="0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>第 1 章　研究范围与分析框架</w:t>
      </w:r>
      <w:r>
        <w:rPr>
          <w:rFonts w:ascii="微软雅黑" w:hAnsi="微软雅黑" w:eastAsia="微软雅黑" w:cs="微软雅黑"/>
          <w:b/>
          <w:color w:val="1F3A5F"/>
          <w:sz w:val="18"/>
        </w:rPr>
        <w:tab/>
        <w:t xml:space="preserve"> 1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1.1　定义与边界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1.2　分析框架：一条管线、两个坐标、四个解剖位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1.3　资料、口径与覆盖范围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2</w:t>
      </w:r>
    </w:p>
    <w:p>
      <w:pPr>
        <w:tabs>
          <w:tab w:pos="9184" w:val="right" w:leader="dot"/>
        </w:tabs>
        <w:spacing w:line="307" w:lineRule="auto" w:after="60" w:before="120"/>
        <w:ind w:left="0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>第 2 章　问题图谱：十二个可验证的问题</w:t>
      </w:r>
      <w:r>
        <w:rPr>
          <w:rFonts w:ascii="微软雅黑" w:hAnsi="微软雅黑" w:eastAsia="微软雅黑" w:cs="微软雅黑"/>
          <w:b/>
          <w:color w:val="1F3A5F"/>
          <w:sz w:val="18"/>
        </w:rPr>
        <w:tab/>
        <w:t xml:space="preserve"> 3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2.1　P1　规模幻觉：更多数据没有换来更强模型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2.2　P2　噪声与批次：模型学到的可能是平台，不是生物学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4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2.3　P3　数据泄漏：零样本成绩被预训练污染抬高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5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2.4　P4　长尾与偏移：总体 97.5%，稀有类仍然失败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6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2.5　P5　词表与顺序：基因不是词，细胞不是句子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7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2.6　P6　值的离散化：分箱丢了什么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8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2.7　P7　语境缺失：细胞不是孤岛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10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2.8　P8　重建不等于理解：注意力不是基因调控网络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10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2.9　P9　扰动与因果：打不过加法基线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11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2.10　P10　生成与多模态：从描述到干预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12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2.11　P11　适配成本：最后一公里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13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2.12　P12　评测失焦：指标与生物学脱节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14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2.13　十二条问题的相互位置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15</w:t>
      </w:r>
    </w:p>
    <w:p>
      <w:pPr>
        <w:tabs>
          <w:tab w:pos="9184" w:val="right" w:leader="dot"/>
        </w:tabs>
        <w:spacing w:line="307" w:lineRule="auto" w:after="60" w:before="120"/>
        <w:ind w:left="0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>第 3 章　架构分类学：六个大类</w:t>
      </w:r>
      <w:r>
        <w:rPr>
          <w:rFonts w:ascii="微软雅黑" w:hAnsi="微软雅黑" w:eastAsia="微软雅黑" w:cs="微软雅黑"/>
          <w:b/>
          <w:color w:val="1F3A5F"/>
          <w:sz w:val="18"/>
        </w:rPr>
        <w:tab/>
        <w:t xml:space="preserve"> 16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3.1　分类原则：建模单元 × 学习信号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16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3.2　A 类　掩码基因序列：看一半，猜一半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17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3.3　B 类　自回归基因序列：顺着往下写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18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3.4　C 类　连续谱编解码：压成向量，再还原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19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3.5　D 类　细胞集合模型：细胞看细胞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20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3.6　E 类　状态分布模型：学分布，不学点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20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3.7　F 类　语言接口模型：把细胞翻译成人话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21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3.8　主干是正交维度：能读多长、多快，不决定学什么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22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3.9　混血与边界：分类是为了预测代价，不是为了贴标签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22</w:t>
      </w:r>
    </w:p>
    <w:p>
      <w:pPr>
        <w:tabs>
          <w:tab w:pos="9184" w:val="right" w:leader="dot"/>
        </w:tabs>
        <w:spacing w:line="307" w:lineRule="auto" w:after="60" w:before="120"/>
        <w:ind w:left="0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>第 4 章　逐模型：独特之处与代价</w:t>
      </w:r>
      <w:r>
        <w:rPr>
          <w:rFonts w:ascii="微软雅黑" w:hAnsi="微软雅黑" w:eastAsia="微软雅黑" w:cs="微软雅黑"/>
          <w:b/>
          <w:color w:val="1F3A5F"/>
          <w:sz w:val="18"/>
        </w:rPr>
        <w:tab/>
        <w:t xml:space="preserve"> 23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4.1　A 类：八个模型的独特之处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24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4.2　B 类：三个模型的独特之处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27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4.3　C 类：四个模型的独特之处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28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4.4　D 类：四个模型的独特之处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29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4.5　E 类：四个模型的独特之处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30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4.6　F 类：四个模型的独特之处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31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4.7　边界之外：五款值得知道的模型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32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4.8　三个被高估、三个被低估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32</w:t>
      </w:r>
    </w:p>
    <w:p>
      <w:pPr>
        <w:tabs>
          <w:tab w:pos="9184" w:val="right" w:leader="dot"/>
        </w:tabs>
        <w:spacing w:line="307" w:lineRule="auto" w:after="60" w:before="120"/>
        <w:ind w:left="0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>第 5 章　交叉矩阵：哪类架构回应了哪个问题</w:t>
      </w:r>
      <w:r>
        <w:rPr>
          <w:rFonts w:ascii="微软雅黑" w:hAnsi="微软雅黑" w:eastAsia="微软雅黑" w:cs="微软雅黑"/>
          <w:b/>
          <w:color w:val="1F3A5F"/>
          <w:sz w:val="18"/>
        </w:rPr>
        <w:tab/>
        <w:t xml:space="preserve"> 33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5.1　覆盖矩阵怎么读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33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5.2　五条规律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34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5.3　四种反模式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34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5.4　从任务出发的选型路径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35</w:t>
      </w:r>
    </w:p>
    <w:p>
      <w:pPr>
        <w:tabs>
          <w:tab w:pos="9184" w:val="right" w:leader="dot"/>
        </w:tabs>
        <w:spacing w:line="307" w:lineRule="auto" w:after="60" w:before="120"/>
        <w:ind w:left="0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>第 6 章　现实检验：哪些结论站得住</w:t>
      </w:r>
      <w:r>
        <w:rPr>
          <w:rFonts w:ascii="微软雅黑" w:hAnsi="微软雅黑" w:eastAsia="微软雅黑" w:cs="微软雅黑"/>
          <w:b/>
          <w:color w:val="1F3A5F"/>
          <w:sz w:val="18"/>
        </w:rPr>
        <w:tab/>
        <w:t xml:space="preserve"> 37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6.1　独立评测的证据总表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37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6.2　仍然成立的四条优势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38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6.3　三个还没有被证明的承诺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38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6.4　一张八问验收清单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39</w:t>
      </w:r>
    </w:p>
    <w:p>
      <w:pPr>
        <w:tabs>
          <w:tab w:pos="9184" w:val="right" w:leader="dot"/>
        </w:tabs>
        <w:spacing w:line="307" w:lineRule="auto" w:after="60" w:before="120"/>
        <w:ind w:left="0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>第 7 章　判断与建议</w:t>
      </w:r>
      <w:r>
        <w:rPr>
          <w:rFonts w:ascii="微软雅黑" w:hAnsi="微软雅黑" w:eastAsia="微软雅黑" w:cs="微软雅黑"/>
          <w:b/>
          <w:color w:val="1F3A5F"/>
          <w:sz w:val="18"/>
        </w:rPr>
        <w:tab/>
        <w:t xml:space="preserve"> 40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7.1　五条判断（2026–2028）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40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7.2　给研究团队：三条值得走的路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40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7.3　给选型者：三张表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41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7.4　五个开放问题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41</w:t>
      </w:r>
    </w:p>
    <w:p>
      <w:pPr>
        <w:tabs>
          <w:tab w:pos="9184" w:val="right" w:leader="dot"/>
        </w:tabs>
        <w:spacing w:line="307" w:lineRule="auto" w:after="60" w:before="120"/>
        <w:ind w:left="0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>附 录　术语、资源与来源</w:t>
      </w:r>
      <w:r>
        <w:rPr>
          <w:rFonts w:ascii="微软雅黑" w:hAnsi="微软雅黑" w:eastAsia="微软雅黑" w:cs="微软雅黑"/>
          <w:b/>
          <w:color w:val="1F3A5F"/>
          <w:sz w:val="18"/>
        </w:rPr>
        <w:tab/>
        <w:t xml:space="preserve"> 42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A　术语表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42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B　可复现资源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43</w:t>
      </w:r>
    </w:p>
    <w:p>
      <w:pPr>
        <w:tabs>
          <w:tab w:pos="9184" w:val="right" w:leader="dot"/>
        </w:tabs>
        <w:spacing w:line="307" w:lineRule="auto" w:after="30" w:before="0"/>
        <w:ind w:left="369" w:firstLine="0"/>
      </w:pPr>
      <w:r>
        <w:rPr>
          <w:rFonts w:ascii="Times New Roman" w:hAnsi="Times New Roman" w:eastAsia="宋体" w:cs="Times New Roman"/>
          <w:b w:val="0"/>
          <w:color w:val="3D4B5C"/>
          <w:sz w:val="18"/>
        </w:rPr>
        <w:t>C　主要来源</w:t>
      </w:r>
      <w:r>
        <w:rPr>
          <w:rFonts w:ascii="微软雅黑" w:hAnsi="微软雅黑" w:eastAsia="微软雅黑" w:cs="微软雅黑"/>
          <w:b w:val="0"/>
          <w:color w:val="5D6B7A"/>
          <w:sz w:val="18"/>
        </w:rPr>
        <w:tab/>
        <w:t xml:space="preserve"> 43</w:t>
      </w:r>
    </w:p>
    <w:p>
      <w:pPr>
        <w:spacing w:before="360"/>
        <w:ind w:firstLine="0"/>
      </w:pPr>
      <w:r>
        <w:rPr>
          <w:rFonts w:ascii="Times New Roman" w:hAnsi="Times New Roman" w:eastAsia="宋体" w:cs="Times New Roman"/>
          <w:b w:val="0"/>
          <w:color w:val="8A94A6"/>
          <w:sz w:val="15"/>
        </w:rPr>
        <w:t>页码为正文页码；图表编号在全书内连续。</w:t>
      </w:r>
    </w:p>
    <w:p>
      <w:pPr>
        <w:sectPr>
          <w:headerReference w:type="default" r:id="rId9"/>
          <w:footerReference w:type="default" r:id="rId10"/>
          <w:pgSz w:w="11906" w:h="16838"/>
          <w:pgMar w:top="1389" w:right="1361" w:bottom="1247" w:left="1361" w:header="737" w:footer="709" w:gutter="0"/>
          <w:cols w:space="720"/>
          <w:titlePg/>
          <w:docGrid w:linePitch="360"/>
          <w:pgNumType w:fmt="lowerRoman" w:start="1"/>
        </w:sectPr>
      </w:pPr>
    </w:p>
    <w:p>
      <w:pPr>
        <w:keepNext/>
        <w:spacing w:before="40" w:after="80"/>
        <w:ind w:firstLine="0"/>
      </w:pPr>
      <w:r>
        <w:rPr>
          <w:rFonts w:ascii="微软雅黑" w:hAnsi="微软雅黑" w:eastAsia="微软雅黑" w:cs="微软雅黑"/>
          <w:b/>
          <w:color w:val="C0803A"/>
          <w:sz w:val="20"/>
        </w:rPr>
        <w:t>第 1 章</w:t>
      </w:r>
    </w:p>
    <w:p>
      <w:pPr>
        <w:keepNext/>
        <w:pBdr>
          <w:bottom w:val="single" w:sz="6" w:space="6" w:color="C9D2DE"/>
        </w:pBdr>
        <w:spacing w:before="0" w:after="240"/>
        <w:ind w:firstLine="0"/>
      </w:pPr>
      <w:r>
        <w:rPr>
          <w:rFonts w:ascii="微软雅黑" w:hAnsi="微软雅黑" w:eastAsia="微软雅黑" w:cs="微软雅黑"/>
          <w:b/>
          <w:color w:val="1F3A5F"/>
          <w:sz w:val="38"/>
        </w:rPr>
        <w:t>研究范围与分析框架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在讨论“哪个模型更强”之前，需要先约定三件事：什么算单细胞大模型、用什么框架拆解它、以及本报告的数字从哪里来。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1.1　</w:t>
      </w:r>
      <w:r>
        <w:rPr>
          <w:rFonts w:ascii="微软雅黑" w:hAnsi="微软雅黑" w:eastAsia="微软雅黑" w:cs="微软雅黑"/>
          <w:b/>
          <w:color w:val="2E5C8A"/>
          <w:sz w:val="27"/>
        </w:rPr>
        <w:t>定义与边界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单细胞基础模型（single-cell foundation model，scFM）指：在千万到亿级单细胞组学数据上以自监督方式预训练、可通过微调或提示迁移到多种下游任务的深度神经网络。它的核心隐喻是“细胞即句子，基因即词”，但这个隐喻只在部分模型里成立——有的模型把细胞当词，有的把整条表达谱当向量，有的干脆把细胞当分布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它与任务专用工具的区别不在规模，而在承诺：Seurat、Harmony、scVI、CellTypist 是“一个任务一个模型、一组假设”；scFM 承诺“一个主干、多种任务”，预训练学到的是可迁移的基因共表达语法。这个承诺在 2023–2024 年被广泛接受，在 2025–2026 年受到系统性质疑（第 6 章）。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本报告讨论二十七款模型，选取标准是：有论文、预印本或官方模型卡可查，且代表了某一种架构选择。纯商业 API 且无技术细节的模型只在产业语境中提及。</w:t>
      </w:r>
      <w:r>
        <w:rPr>
          <w:rFonts w:ascii="Times New Roman" w:hAnsi="Times New Roman" w:eastAsia="宋体" w:cs="Times New Roman"/>
          <w:b/>
          <w:color w:val="22303F"/>
          <w:sz w:val="21"/>
        </w:rPr>
        <w:t>报告不评估“谁最强”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——不同模型的训练语料、评测集与任务定义都不同，跨论文的分数不可直接比较；报告评估的是“每种设计换来了什么、付出了什么”。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1.2　</w:t>
      </w:r>
      <w:r>
        <w:rPr>
          <w:rFonts w:ascii="微软雅黑" w:hAnsi="微软雅黑" w:eastAsia="微软雅黑" w:cs="微软雅黑"/>
          <w:b/>
          <w:color w:val="2E5C8A"/>
          <w:sz w:val="27"/>
        </w:rPr>
        <w:t>分析框架：一条管线、两个坐标、四个解剖位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拆解一个 scFM，最有效的方式不是看它的名字，而是沿着数据管线问四个问题。这四个问题构成本报告反复使用的“解剖位”：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① Tokenizer（怎么读）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把稀疏计数变成 token 序列：秩、硬分箱、软分箱、连续投影、分布参数，还是细胞级码字。它决定模型保留了多少定量信息、能覆盖多少基因。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② Backbone（用什么算）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标准 Transformer、Performer 的线性注意力、RetNet、Mamba、Flowformer，或扩散/流匹配的去噪网络。它决定能读多长、多快、多省显存。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③ Objective（学什么）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掩码重建、自回归似然、对比对齐、分布参数回归、集合距离、流匹配。它决定模型能力的上限——这是六个大类真正的分界线。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④ Interface（怎么用）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输出是细胞嵌入、基因嵌入与注意力、生成谱，还是自然语言；适配是全参微调、LoRA、冻结探针还是提示。它决定落地成本。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沿着管线，问题自然分成四层：</w:t>
      </w:r>
      <w:r>
        <w:rPr>
          <w:rFonts w:ascii="Times New Roman" w:hAnsi="Times New Roman" w:eastAsia="宋体" w:cs="Times New Roman"/>
          <w:b/>
          <w:color w:val="22303F"/>
          <w:sz w:val="21"/>
        </w:rPr>
        <w:t>数据层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（模型吃什么）、</w:t>
      </w:r>
      <w:r>
        <w:rPr>
          <w:rFonts w:ascii="Times New Roman" w:hAnsi="Times New Roman" w:eastAsia="宋体" w:cs="Times New Roman"/>
          <w:b/>
          <w:color w:val="22303F"/>
          <w:sz w:val="21"/>
        </w:rPr>
        <w:t>表示层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（模型怎么读）、</w:t>
      </w:r>
      <w:r>
        <w:rPr>
          <w:rFonts w:ascii="Times New Roman" w:hAnsi="Times New Roman" w:eastAsia="宋体" w:cs="Times New Roman"/>
          <w:b/>
          <w:color w:val="22303F"/>
          <w:sz w:val="21"/>
        </w:rPr>
        <w:t>目标层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（模型学什么）、</w:t>
      </w:r>
      <w:r>
        <w:rPr>
          <w:rFonts w:ascii="Times New Roman" w:hAnsi="Times New Roman" w:eastAsia="宋体" w:cs="Times New Roman"/>
          <w:b/>
          <w:color w:val="22303F"/>
          <w:sz w:val="21"/>
        </w:rPr>
        <w:t>适配与评价层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（模型怎么用、怎么判）。第十二个问题（评测失焦）横跨后两层，因为它既影响适配，也影响我们对前十一件事的判断。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第二个坐标用于架构分类。</w:t>
      </w:r>
      <w:r>
        <w:rPr>
          <w:rFonts w:ascii="Times New Roman" w:hAnsi="Times New Roman" w:eastAsia="宋体" w:cs="Times New Roman"/>
          <w:b/>
          <w:color w:val="22303F"/>
          <w:sz w:val="21"/>
        </w:rPr>
        <w:t>建模单元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回答“一次前向传播里，第一性对象是什么”：基因、细胞、整条表达谱、状态分布，还是自然语言。</w:t>
      </w:r>
      <w:r>
        <w:rPr>
          <w:rFonts w:ascii="Times New Roman" w:hAnsi="Times New Roman" w:eastAsia="宋体" w:cs="Times New Roman"/>
          <w:b/>
          <w:color w:val="22303F"/>
          <w:sz w:val="21"/>
        </w:rPr>
        <w:t>学习信号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回答“监督从哪里来”：重建自己、最大化似然、对齐另一模态，还是在隐空间做预测。两个坐标的可行组合只有六个，这就是第 3 章的六个大类。主干网络不参与分类，因为同一个 Mamba 既可以做掩码基因模型（RegFormer），也可以做状态转移模型（AlphaCell）。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1.3　</w:t>
      </w:r>
      <w:r>
        <w:rPr>
          <w:rFonts w:ascii="微软雅黑" w:hAnsi="微软雅黑" w:eastAsia="微软雅黑" w:cs="微软雅黑"/>
          <w:b/>
          <w:color w:val="2E5C8A"/>
          <w:sz w:val="27"/>
        </w:rPr>
        <w:t>资料、口径与覆盖范围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资料以论文原文、预印本、官方仓库与模型卡为准；厂商口径（如 CellOS 的 12B 参数、3.905 亿细胞、Pearson_edist 0.619）单独标注，未做独立复现。细胞计数口径差异很大——是否去重、是否质控后、是否含多物种——跨模型比较只作数量级参考。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其中十七款模型（scBERT、Geneformer、scGPT、scFoundation、UCE、CellFM、TranscriptFormer、State、CellPLM、Nicheformer、GeneCompass、scMulan、scPRINT、CAPTAIN、CellVQ、CellWhisperer、Tahoe-100M）的架构参数经过官方源码核对，包括层数、维度、分箱数、掩码比例、损失权重与词表大小；这些数字与论文正文偶有出入时，以代码为准并在第 4 章注明。信息截至 2026 年 10 月。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本报告覆盖的模型与架构类别</w:t>
      </w:r>
    </w:p>
    <w:tbl>
      <w:tblPr>
        <w:tblW w:type="dxa" w:w="9185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2608"/>
        <w:gridCol w:w="4082"/>
        <w:gridCol w:w="567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60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建模单元 / 学习信号</w:t>
            </w:r>
          </w:p>
        </w:tc>
        <w:tc>
          <w:tcPr>
            <w:tcW w:type="dxa" w:w="4082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56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数量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A 掩码基因序列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基因 / 掩码重建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scBERT、Geneformer、GeneCompass、Nicheformer、UCE、CellFM、scPRINT、RegFormer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8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B 自回归基因序列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基因 / 似然生成</w:t>
            </w:r>
          </w:p>
        </w:tc>
        <w:tc>
          <w:tcPr>
            <w:tcW w:type="dxa" w:w="4082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scGPT、TranscriptFormer、scMulan</w:t>
            </w:r>
          </w:p>
        </w:tc>
        <w:tc>
          <w:tcPr>
            <w:tcW w:type="dxa" w:w="56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C 连续谱编解码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表达谱 / 重建或量化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scFoundation、xTrimoGene、CellVQ、CAPTAIN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D 细胞集合模型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细胞或集合 / 集合建模</w:t>
            </w:r>
          </w:p>
        </w:tc>
        <w:tc>
          <w:tcPr>
            <w:tcW w:type="dxa" w:w="4082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CellPLM、State、tGPT、Tahoe-x1</w:t>
            </w:r>
          </w:p>
        </w:tc>
        <w:tc>
          <w:tcPr>
            <w:tcW w:type="dxa" w:w="56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E 状态分布模型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状态分布 / 生成与预测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Lingshu-Cell、AlphaCell、CellOS、scDifformer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F 语言接口模型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自然语言 / 对齐</w:t>
            </w:r>
          </w:p>
        </w:tc>
        <w:tc>
          <w:tcPr>
            <w:tcW w:type="dxa" w:w="4082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Cell2Sentence、GenePT、LangCell、CellWhisperer</w:t>
            </w:r>
          </w:p>
        </w:tc>
        <w:tc>
          <w:tcPr>
            <w:tcW w:type="dxa" w:w="56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4</w:t>
            </w:r>
          </w:p>
        </w:tc>
      </w:tr>
    </w:tbl>
    <w:p>
      <w:pPr>
        <w:spacing w:before="40" w:after="200" w:line="312" w:lineRule="auto"/>
        <w:ind w:firstLine="0"/>
      </w:pPr>
      <w:r>
        <w:rPr>
          <w:rFonts w:ascii="Times New Roman" w:hAnsi="Times New Roman" w:eastAsia="宋体" w:cs="Times New Roman"/>
          <w:b w:val="0"/>
          <w:color w:val="8A94A6"/>
          <w:sz w:val="15"/>
        </w:rPr>
        <w:t>注：表中的“建模单元 / 学习信号”是分类依据，不代表模型的全部能力；跨类混血（如 RegFormer 用 Mamba 主干做 A 类目标）在 §3.8 讨论。</w:t>
      </w:r>
    </w:p>
    <w:p>
      <w:pPr>
        <w:keepNext/>
        <w:pageBreakBefore/>
        <w:spacing w:before="40" w:after="80"/>
        <w:ind w:firstLine="0"/>
      </w:pPr>
      <w:r>
        <w:rPr>
          <w:rFonts w:ascii="微软雅黑" w:hAnsi="微软雅黑" w:eastAsia="微软雅黑" w:cs="微软雅黑"/>
          <w:b/>
          <w:color w:val="C0803A"/>
          <w:sz w:val="20"/>
        </w:rPr>
        <w:t>第 2 章</w:t>
      </w:r>
    </w:p>
    <w:p>
      <w:pPr>
        <w:keepNext/>
        <w:pBdr>
          <w:bottom w:val="single" w:sz="6" w:space="6" w:color="C9D2DE"/>
        </w:pBdr>
        <w:spacing w:before="0" w:after="240"/>
        <w:ind w:firstLine="0"/>
      </w:pPr>
      <w:r>
        <w:rPr>
          <w:rFonts w:ascii="微软雅黑" w:hAnsi="微软雅黑" w:eastAsia="微软雅黑" w:cs="微软雅黑"/>
          <w:b/>
          <w:color w:val="1F3A5F"/>
          <w:sz w:val="38"/>
        </w:rPr>
        <w:t>问题图谱：十二个可验证的问题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这一章不罗列“挑战”这类空话。每个问题都必须满足三个条件：能被观察、有可引用的数字、能追溯到数据或架构的具体机制。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单细胞大模型的问题清单可以列得很长，但真正独立的只有十二个。它们分布在四个层：数据层决定模型能学到什么，表示层决定模型能看见什么，目标层决定模型被奖励什么，适配与评价层决定模型最终被如何使用、如何判断。图 1 给出全局位置，本章逐条展开。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99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blem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9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12" w:lineRule="auto"/>
        <w:ind w:firstLine="0"/>
        <w:jc w:val="center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图 1　</w:t>
      </w:r>
      <w:r>
        <w:rPr>
          <w:rFonts w:ascii="Times New Roman" w:hAnsi="Times New Roman" w:eastAsia="宋体" w:cs="Times New Roman"/>
          <w:b w:val="0"/>
          <w:color w:val="5D6B7A"/>
          <w:sz w:val="17"/>
        </w:rPr>
        <w:t>单细胞大模型的十二个可验证问题：按管线四层归置</w:t>
      </w:r>
    </w:p>
    <w:p>
      <w:pPr>
        <w:spacing w:after="200" w:line="30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color w:val="8A94A6"/>
          <w:sz w:val="15"/>
        </w:rPr>
        <w:t xml:space="preserve">　　图中箭头表示问题的传导方向：上游的取舍会以下游代价的形式出现。例如 P6 的离散化是为了兼容语言模型词表，代价转嫁给 P8（重建目标与生物学理解错位）。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2.1　</w:t>
      </w:r>
      <w:r>
        <w:rPr>
          <w:rFonts w:ascii="微软雅黑" w:hAnsi="微软雅黑" w:eastAsia="微软雅黑" w:cs="微软雅黑"/>
          <w:b/>
          <w:color w:val="2E5C8A"/>
          <w:sz w:val="27"/>
        </w:rPr>
        <w:t>P1　规模幻觉：更多数据没有换来更强模型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预训练语料从三千万涨到近四亿，下游任务的增益却在 1%–10% 的数据处就停了。单细胞领域目前没有可用的数据 scaling law。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语言模型的 scaling law 成立，有一个常被忽略的前提：下一个词提供了近乎无限的新监督，语料越多，新组合越多。单细胞的自监督目标是重建自己，新增细胞如果与已有细胞同分布，只增加冗余，不增加信息。更硬的是维度约束：输入被基因数锁死（人类约两万），细胞类型数远小于细胞数，观测落在低维流形上。于是“更多细胞”很快退化为“同一流形的更多采样”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2026 年 6 月的一项系统研究把这件事量化了：2,220 万细胞、400 个模型、6,400 次训练，性能在只用 1%–10% 预训练数据时就进入平台期，某些任务上简单基线（HVG、Harmony）与复杂 Transformer 持平甚至更好。这与 scFoundation 报告的“loss 随 FLOPs 幂律下降”并不矛盾——能 scale 的是预训练损失，不是下游能力。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对 P1 的代表性回应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2268"/>
        <w:gridCol w:w="3288"/>
        <w:gridCol w:w="1814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 / 工作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328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代价或边界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scFoundation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把 scaling 做在预训练损失上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300 万 / 1,000 万 / 1 亿参数三档，报告 loss 随 FLOPs 的幂律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证明“能 scale”，未证明“scale 有用”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CellFM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把稠密参数量推到 8 亿</w:t>
            </w:r>
          </w:p>
        </w:tc>
        <w:tc>
          <w:tcPr>
            <w:tcW w:type="dxa" w:w="328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40 层 ERetNet、1.02 亿人类细胞、32 张昇腾 910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单物种；参数量与下游增益未解耦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UCE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换多样性而不是数量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8 物种、300+ 数据集、无固定基因词表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零样本强，定量任务弱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TranscriptFormer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换进化跨度</w:t>
            </w:r>
          </w:p>
        </w:tc>
        <w:tc>
          <w:tcPr>
            <w:tcW w:type="dxa" w:w="328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12 物种、15.3 亿年、247,388 个基因词表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计算贵；物种仍偏脊椎动物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CellOS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换稀疏容量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3.905 亿细胞、12B MoE（厂商口径）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未开源，无独立复现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scBaseCount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换数据工程</w:t>
            </w:r>
          </w:p>
        </w:tc>
        <w:tc>
          <w:tcPr>
            <w:tcW w:type="dxa" w:w="328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用 AI agent 统一清洗约 2 亿细胞、统一元数据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不产出模型，但决定所有模型的上限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要求一条“下游指标—预训练 token 数”的曲线，且测试集按时间切分。曲线要同时给出饱和点与边际增益。拿不出这条曲线时，“更大”只是叙事，不是证据。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2.2　</w:t>
      </w:r>
      <w:r>
        <w:rPr>
          <w:rFonts w:ascii="微软雅黑" w:hAnsi="微软雅黑" w:eastAsia="微软雅黑" w:cs="微软雅黑"/>
          <w:b/>
          <w:color w:val="2E5C8A"/>
          <w:sz w:val="27"/>
        </w:rPr>
        <w:t>P2　噪声与批次：模型学到的可能是平台，不是生物学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单细胞数据里最强的信号常常是技术性的：测序深度、平台、批次、解离方式。模型一旦走捷径，学到的是“这台机器”，不是“这个细胞”。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零值在 scRNA-seq 里是二义的：它可能表示“这个基因不表达”，也可能表示“表达了但没测到”。此外还有环境 RNA、双细胞、解离应激反应。批次效应的量级可以与真实生物效应相当，而模型没有任何先验知道“哪些差异是技术造成的”。这就是 shortcut learning 的温床：分类任务里，模型只要认出数据集编号，就能拿到很高的准确率。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更麻烦的是指标背离。Kedzierska 等的零样本评测发现，scGPT 的批次整合在多个数据集上不合格，但同一批实验里的 ASW（平均轮廓系数）仍然好看——因为 ASW 同时被细胞类型可分性与批次混合度影响，两者可以互相抵消。scContam 进一步证明，数据集级的 ASW 比较会被标注协议系统性混淆。换句话说，</w:t>
      </w:r>
      <w:r>
        <w:rPr>
          <w:rFonts w:ascii="Times New Roman" w:hAnsi="Times New Roman" w:eastAsia="宋体" w:cs="Times New Roman"/>
          <w:b/>
          <w:color w:val="22303F"/>
          <w:sz w:val="21"/>
        </w:rPr>
        <w:t>你以为在测“整合得好不好”，实际可能在测“标注得粗不粗”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3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对 P2 的代表性回应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2494"/>
        <w:gridCol w:w="3175"/>
        <w:gridCol w:w="2041"/>
      </w:tblGrid>
      <w:tr>
        <w:trPr>
          <w:cantSplit w:val="true"/>
          <w:tblHeader w:val="true"/>
        </w:trPr>
        <w:tc>
          <w:tcPr>
            <w:tcW w:type="dxa" w:w="147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49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3175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204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代价或边界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scGPT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条件 token 加到每个基因位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批次、模态作为可学习嵌入，与基因、表达值逐元素相加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推理时必须给定协变量；新批次仍是分布外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Geneformer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先除基因中位表达，再排序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去量纲、把管家基因压到后面、突出转录因子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排序对 dropout 敏感，丢一个计数会整条平移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scFoundation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末尾拼 T/S 两个深度 token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把目标与输入总计数写成可参与注意力的位置，配 RDA 旋钮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深度外推依赖训练覆盖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UCE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按表达量加权、有放回抽 1,024 个基因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深度被编码成“出现频率”，而不是另一路数值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抽样随机；复现需固定种子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CellPLM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批次标签只进解码器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逼隐空间与批次无关，重建时才用批次信息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只在训练分布内成立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Nicheformer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除以技术特异的非零均值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在排序前扣掉平台差异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需要技术标签；新平台仍失配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scPRINT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泊松下采样 + dropout 模拟重测序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学“从稀疏还原稠密”，而不是遮 token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假设噪声模型正确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State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集合级损失（MMD / 能量距离）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把细胞异质性与技术噪声一起吸收进分布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丢单细胞分辨率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必须做两组对照：同一生物学、不同批次；同一批次、不同生物学。两组同时报告 iLISI（批次混合）与生物保守性（NMI/ARI、标记基因保留率），再做一次噪声注入（如 20% 高斯噪声或计数下采样），看性能掉多少。只报一组，结论不可信。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2.3　</w:t>
      </w:r>
      <w:r>
        <w:rPr>
          <w:rFonts w:ascii="微软雅黑" w:hAnsi="微软雅黑" w:eastAsia="微软雅黑" w:cs="微软雅黑"/>
          <w:b/>
          <w:color w:val="2E5C8A"/>
          <w:sz w:val="27"/>
        </w:rPr>
        <w:t>P3　数据泄漏：零样本成绩被预训练污染抬高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这是十二个问题里唯一没有架构解的：模型越好，越容易把预训练时见过的细胞“认出来”，而评测恰恰用这些细胞。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公共图谱既是训练语料，又是评测集。模型方通常不公开逐细胞训练清单，评测方也无法确认测试集是否被见过。于是“零样本”在信息论上接近“近似检索”：模型并不需要理解生物学，只需要把见过的嵌入取出来。这在方法学上叫“双重 dipping”——同一批细胞既塑造了预训练表征，又充当了零样本评测集。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2026 年的一项审计用 MinHash 逐细胞比对，给出了目前最硬的数字：PBMC 3k 有 80.4% 的细胞、人胰岛图谱有 77.0% 的细胞与 Genecorpus-30M 显著重叠（p&lt;0.05）；而截止日之后发布的 AIDA v2 与 Tahoe-100M 重叠率为 0%。被污染细胞的嵌入在同供体、同细胞类型内显著更“紧”（置换检验 p=0.030 / 0.014 / &lt;0.002）——这正是记忆的指纹。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4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对 P3 的工程性缓解（没有模型解）</w:t>
      </w:r>
    </w:p>
    <w:tbl>
      <w:tblPr>
        <w:tblW w:type="dxa" w:w="9185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3175"/>
        <w:gridCol w:w="2381"/>
        <w:gridCol w:w="1928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手段</w:t>
            </w:r>
          </w:p>
        </w:tc>
        <w:tc>
          <w:tcPr>
            <w:tcW w:type="dxa" w:w="3175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局限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时间切分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只评测预训练截止日之后发布的数据集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最硬，可直接排除记忆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需要模型方公布截止日；新数据少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逐细胞指纹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MinHash / 局部敏感哈希比对训练语料</w:t>
            </w:r>
          </w:p>
        </w:tc>
        <w:tc>
          <w:tcPr>
            <w:tcW w:type="dxa" w:w="238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可量化污染比例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依赖语料公开；算力开销大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成员推断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用损失或嵌入距离判断样本是否被训练过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可发现隐性记忆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假阳性率难控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数据卡规范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公开语料清单、去重方法、许可证</w:t>
            </w:r>
          </w:p>
        </w:tc>
        <w:tc>
          <w:tcPr>
            <w:tcW w:type="dxa" w:w="238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低成本、可审计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目前无强制力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后截止评测池</w:t>
            </w:r>
          </w:p>
        </w:tc>
        <w:tc>
          <w:tcPr>
            <w:tcW w:type="dxa" w:w="3175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Tahoe-100M、AIDA v2 等作为公共测试床</w:t>
            </w:r>
          </w:p>
        </w:tc>
        <w:tc>
          <w:tcPr>
            <w:tcW w:type="dxa" w:w="238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天然防泄漏</w:t>
            </w:r>
          </w:p>
        </w:tc>
        <w:tc>
          <w:tcPr>
            <w:tcW w:type="dxa" w:w="192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只覆盖部分任务与组织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看三件事：论文是否给出预训练截止日；是否公布逐细胞语料清单或指纹；零样本结果是否只来自截止日之后的数据。三者缺一，把结论降级为“域内性能”。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2.4　</w:t>
      </w:r>
      <w:r>
        <w:rPr>
          <w:rFonts w:ascii="微软雅黑" w:hAnsi="微软雅黑" w:eastAsia="微软雅黑" w:cs="微软雅黑"/>
          <w:b/>
          <w:color w:val="2E5C8A"/>
          <w:sz w:val="27"/>
        </w:rPr>
        <w:t>P4　长尾与偏移：总体 97.5%，稀有类仍然失败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稀有细胞往往是疾病的关键——干细胞、罕见免疫亚群、微小转移灶。但模型与指标都偏向常见类型。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细胞类型分布接近幂律：少数类型占绝大多数细胞，长尾类型可能只有几十个细胞。更糟的是，长尾类型的标记基因往往表达量低，而 HVG 选择、top-k 截断、2,048 token 上限这些常规操作，恰好优先丢掉低表达基因。跨物种与跨 panel 时，词表与分布同时偏移，失败会叠加。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2026 年的一项受控实验做了 162 次训练（3 种骨架 × 3 个数据集 × 6 种长尾损失 × 3 个种子），总体准确率可达 97.5%，但稀有类召回率系统性失败，且失败主要由数据集结构决定，而不是预训练。这解释了为什么“换损失函数”几乎没有效果：信息在截断那一步就已经丢了。另一项评测显示，只有改用 macro-F1，scBERT 在难分 CD8 亚群上的劣势才暴露出来。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5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对 P4 的代表性回应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587"/>
        <w:gridCol w:w="2494"/>
        <w:gridCol w:w="3175"/>
        <w:gridCol w:w="1928"/>
      </w:tblGrid>
      <w:tr>
        <w:trPr>
          <w:cantSplit w:val="true"/>
          <w:tblHeader w:val="true"/>
        </w:trPr>
        <w:tc>
          <w:tcPr>
            <w:tcW w:type="dxa" w:w="158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49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3175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代价或边界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TranscriptFormer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全基因词表（247,388）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输出头覆盖所有基因，不依赖 HVG 预选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输出 softmax 巨大；计算贵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Lingshu-Cell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约 18,000 基因全量建模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离散扩散不预选 HVG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采样成本高；预印本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AlphaCell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19,253 个 HGNC 基因全量输入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Mamba + Transformer 压到连续隐流形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1.2B 解码器；预印本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UCE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无基因词表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蛋白嵌入让未见基因也能有表示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二分类目标，丢幅值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Geneformer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秩截断到 2,048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按表达量排序，截掉的是最不表达的一端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低表达但关键的调控基因可能被截掉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长尾损失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重采样、重加权、focal loss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在 162 次受控实验中被系统比较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几乎无效：失败由数据结构决定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要求 per-class recall 与稀有类的外部验证集，而不是总体 accuracy；跨 panel 实验要报告“测试基因中有多少比例出现在预训练词表里”。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2.5　</w:t>
      </w:r>
      <w:r>
        <w:rPr>
          <w:rFonts w:ascii="微软雅黑" w:hAnsi="微软雅黑" w:eastAsia="微软雅黑" w:cs="微软雅黑"/>
          <w:b/>
          <w:color w:val="2E5C8A"/>
          <w:sz w:val="27"/>
        </w:rPr>
        <w:t>P5　词表与顺序：基因不是词，细胞不是句子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基因没有自然顺序，词表随物种与平台变化，新基因无法表示。所有“把细胞当句子”的模型，都必须先回答这个问题。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自然语言里，词的身份由词表给定，顺序由语法给定。基因两者都没有：人类基因可以用 Ensembl ID 固定，但小鼠、斑马鱼、植物各有自己的词表；测序 panel 可以只覆盖 1,000 个基因；新发现的转录本不在任何词表里。顺序更是人为的——按染色体排、按表达量排、按调控关系排，都是归纳偏置，不是事实。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领域里出现过四种回答。第一种是</w:t>
      </w:r>
      <w:r>
        <w:rPr>
          <w:rFonts w:ascii="Times New Roman" w:hAnsi="Times New Roman" w:eastAsia="宋体" w:cs="Times New Roman"/>
          <w:b/>
          <w:color w:val="22303F"/>
          <w:sz w:val="21"/>
        </w:rPr>
        <w:t>学一个位置嵌入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：每个基因一个向量，等价于“基因身份证”，scGPT 与 scFoundation 都这么做；好处是简单，代价是词表封闭。第二种是</w:t>
      </w:r>
      <w:r>
        <w:rPr>
          <w:rFonts w:ascii="Times New Roman" w:hAnsi="Times New Roman" w:eastAsia="宋体" w:cs="Times New Roman"/>
          <w:b/>
          <w:color w:val="22303F"/>
          <w:sz w:val="21"/>
        </w:rPr>
        <w:t>用表达量排序当顺序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：Geneformer 的 rank value encoding，顺序本身携带“强弱”语义，代价是丢绝对幅值且对 dropout 敏感。第三种是</w:t>
      </w:r>
      <w:r>
        <w:rPr>
          <w:rFonts w:ascii="Times New Roman" w:hAnsi="Times New Roman" w:eastAsia="宋体" w:cs="Times New Roman"/>
          <w:b/>
          <w:color w:val="22303F"/>
          <w:sz w:val="21"/>
        </w:rPr>
        <w:t>用蛋白序列当身份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：UCE 与 TranscriptFormer 用 ESM-2 的蛋白嵌入替代基因 ID，词表可以无限扩展，代价是预计算表巨大、且同一基因在不同物种得到不同向量。第四种是</w:t>
      </w:r>
      <w:r>
        <w:rPr>
          <w:rFonts w:ascii="Times New Roman" w:hAnsi="Times New Roman" w:eastAsia="宋体" w:cs="Times New Roman"/>
          <w:b/>
          <w:color w:val="22303F"/>
          <w:sz w:val="21"/>
        </w:rPr>
        <w:t>用调控关系排序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：RegFormer 用 GRN 引导基因顺序，把“谁调控谁”变成序列先验，代价是先验质量决定上限。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6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基因身份与顺序的四种解法</w:t>
      </w:r>
    </w:p>
    <w:tbl>
      <w:tblPr>
        <w:tblW w:type="dxa" w:w="9185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2835"/>
        <w:gridCol w:w="2494"/>
        <w:gridCol w:w="1928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解法</w:t>
            </w:r>
          </w:p>
        </w:tc>
        <w:tc>
          <w:tcPr>
            <w:tcW w:type="dxa" w:w="2835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代表</w:t>
            </w:r>
          </w:p>
        </w:tc>
        <w:tc>
          <w:tcPr>
            <w:tcW w:type="dxa" w:w="249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可学习位置嵌入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scGPT、scFoundation、CellVQ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每个基因一个 512 维向量，随词表扩展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词表封闭；新基因需重训或扩表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表达量排序</w:t>
            </w:r>
          </w:p>
        </w:tc>
        <w:tc>
          <w:tcPr>
            <w:tcW w:type="dxa" w:w="283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Geneformer、Nicheformer、CellFM（top-k）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细胞内排序，名次即语义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丢绝对量；dropout 导致整条平移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蛋白语言模型身份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UCE、TranscriptFormer、scPRINT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ESM-2 蛋白嵌入，基因名不再必需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5,120 维表常驻显存；物种间向量不同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调控/本体先验</w:t>
            </w:r>
          </w:p>
        </w:tc>
        <w:tc>
          <w:tcPr>
            <w:tcW w:type="dxa" w:w="283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RegFormer（GRN 排序）、GeneCompass（同源映射）、CellVQ（GO 矩阵）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把先验结构写进输入或顺序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先验质量与覆盖决定上限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文本身份</w:t>
            </w:r>
          </w:p>
        </w:tc>
        <w:tc>
          <w:tcPr>
            <w:tcW w:type="dxa" w:w="2835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GenePT、Cell2Sentence、LangCell</w:t>
            </w:r>
          </w:p>
        </w:tc>
        <w:tc>
          <w:tcPr>
            <w:tcW w:type="dxa" w:w="249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基因名/描述经 LLM 编码</w:t>
            </w:r>
          </w:p>
        </w:tc>
        <w:tc>
          <w:tcPr>
            <w:tcW w:type="dxa" w:w="192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分词与命名规范问题；定量精度低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能否嵌入训练时未见的基因或物种；换一套基因 panel 后性能保持率是多少；词表扩展是否需要重训。三个问题答不上来，跨物种能力就是营销词。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2.6　</w:t>
      </w:r>
      <w:r>
        <w:rPr>
          <w:rFonts w:ascii="微软雅黑" w:hAnsi="微软雅黑" w:eastAsia="微软雅黑" w:cs="微软雅黑"/>
          <w:b/>
          <w:color w:val="2E5C8A"/>
          <w:sz w:val="27"/>
        </w:rPr>
        <w:t>P6　值的离散化：分箱丢了什么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把连续表达切成 bin，是把回归问题变成分类问题的代价。这个代价在分布偏移时才会暴露。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Transformer 并不排斥连续值——连续标量完全可以过 MLP 再加到基因嵌入上。离散化的真正动机是复用交叉熵目标、复用语言模型词表、以及量化自带的 regularization。但它引入五类可分离的损失：bin 内的幅值损失（同一个 bin 的所有值被折叠成一个点）、序损失（bin 编号被当作无序类别）、有效码率损失（零膨胀让绝大多数概率质量挤在最低几个 bin，名义 5.6 bit 实际远低）、边界不可迁移（边界由训练集统计定死，换平台就失配）、以及目标错配（预训练预测 bin，下游要 log fold-change）。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2026 年最大规模的对照实验给出了明确排序：在 1,000 万细胞、100 个数据集上从头训练八种配置，</w:t>
      </w:r>
      <w:r>
        <w:rPr>
          <w:rFonts w:ascii="Times New Roman" w:hAnsi="Times New Roman" w:eastAsia="宋体" w:cs="Times New Roman"/>
          <w:b/>
          <w:color w:val="22303F"/>
          <w:sz w:val="21"/>
        </w:rPr>
        <w:t>soft binning &gt; 连续编码 ≈ log 分箱 &gt; 硬分箱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；最佳配置（可学习基因嵌入 + soft binning）macro-F1 为 0.860，最差配置（ESM-2 + log 分箱）为 0.547。同一实验还有一个更重要的结论：基因侧编码的影响远大于表达值侧——这提醒所有做 value encoder 改进的人，必须先固定基因侧再做消融。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7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表达值编码的六条路线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2948"/>
        <w:gridCol w:w="2494"/>
        <w:gridCol w:w="2041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路线</w:t>
            </w:r>
          </w:p>
        </w:tc>
        <w:tc>
          <w:tcPr>
            <w:tcW w:type="dxa" w:w="294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代表</w:t>
            </w:r>
          </w:p>
        </w:tc>
        <w:tc>
          <w:tcPr>
            <w:tcW w:type="dxa" w:w="249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204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关键代价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硬分箱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scBERT（7 档）、scGPT（每细胞 51 档）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分位数切段，bin 编号查表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幅值与序都受损；边界随细胞漂移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秩编码</w:t>
            </w:r>
          </w:p>
        </w:tc>
        <w:tc>
          <w:tcPr>
            <w:tcW w:type="dxa" w:w="294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Geneformer、Nicheformer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只保留名次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丢绝对幅值；dropout 敏感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软分箱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scFoundation、CellVQ、State（10 箱）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标量 → bin 权重 → 加权词向量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可微、保序，但多一层超参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连续投影</w:t>
            </w:r>
          </w:p>
        </w:tc>
        <w:tc>
          <w:tcPr>
            <w:tcW w:type="dxa" w:w="294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CellFM、CellPLM、CAPTAIN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标量直接过 MLP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保留幅值，怕噪声与尺度漂移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分布参数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scPRINT（ZINB）、TranscriptFormer（ZTP）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输出 μ/θ/π 或零截断泊松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假设强；训练不稳定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细胞级量化</w:t>
            </w:r>
          </w:p>
        </w:tc>
        <w:tc>
          <w:tcPr>
            <w:tcW w:type="dxa" w:w="294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CellVQ（2^16 码本）、RVQ / CellTok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整细胞压成码字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面向生成；丢基因级分辨率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图 2 把六种编码放在同一条光谱上：左端把表达压成序，右端把表达压成分布或码字。越往右信息越完整，但与离散词表和交叉熵目标的距离越远。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79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kenizer_spectr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7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12" w:lineRule="auto"/>
        <w:ind w:firstLine="0"/>
        <w:jc w:val="center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图 2　</w:t>
      </w:r>
      <w:r>
        <w:rPr>
          <w:rFonts w:ascii="Times New Roman" w:hAnsi="Times New Roman" w:eastAsia="宋体" w:cs="Times New Roman"/>
          <w:b w:val="0"/>
          <w:color w:val="5D6B7A"/>
          <w:sz w:val="17"/>
        </w:rPr>
        <w:t>表达值编码的取舍光谱：从秩到细胞级量化</w:t>
      </w:r>
    </w:p>
    <w:p>
      <w:pPr>
        <w:spacing w:after="200" w:line="30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color w:val="8A94A6"/>
          <w:sz w:val="15"/>
        </w:rPr>
        <w:t xml:space="preserve">　　越往右信息越完整，但与离散词表和交叉熵目标的距离越远。图中括号内的数字是该模型的分箱数（scBERT 7、scGPT 51、State 10）。</w:t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在跨数据集与逆扰动任务上比较，而不是同分布测试；报告差异表达端的误差（log fold-change 的相关性、DE 基因重叠），而不只是重建 MSE。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2.7　</w:t>
      </w:r>
      <w:r>
        <w:rPr>
          <w:rFonts w:ascii="微软雅黑" w:hAnsi="微软雅黑" w:eastAsia="微软雅黑" w:cs="微软雅黑"/>
          <w:b/>
          <w:color w:val="2E5C8A"/>
          <w:sz w:val="27"/>
        </w:rPr>
        <w:t>P7　语境缺失：细胞不是孤岛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解离测序把组织打散成独立细胞，而生物学发生在细胞之间：邻接、信号、 niche、组织结构。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主流 scFM 的预训练假设是“细胞独立同分布”：每个细胞一条序列，互不相见。这个假设在注释任务上问题不大，但在组织生物学、细胞通讯、微环境相关任务上直接失效。空间转录组提供了位置，但分辨率与基因 panel 往往不如解离数据；把两者放在一起训练，是 2024–2026 年的一条主线。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Nicheformer 的立论最直接：只在解离数据上训练的模型学不会空间微环境，而联合训练后可以把空间信息迁移回普通 scRNA-seq，做空间组成预测与空间标签预测。CellPLM 则把“切片”当成句子、细胞当成词，让同一张切片里的细胞互相提供上下文。但 2026 年 7 月的统一评测给这股热潮泼了冷水：在六个代表性模型上，没有模型在所有空间任务上领先；空间/图模型更擅长保留组织结构，表达模型更擅长细胞身份。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8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对 P7 的代表性回应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587"/>
        <w:gridCol w:w="2154"/>
        <w:gridCol w:w="3402"/>
        <w:gridCol w:w="2041"/>
      </w:tblGrid>
      <w:tr>
        <w:trPr>
          <w:cantSplit w:val="true"/>
          <w:tblHeader w:val="true"/>
        </w:trPr>
        <w:tc>
          <w:tcPr>
            <w:tcW w:type="dxa" w:w="158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15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建模单元</w:t>
            </w:r>
          </w:p>
        </w:tc>
        <w:tc>
          <w:tcPr>
            <w:tcW w:type="dxa" w:w="3402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204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CellPLM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细胞为 token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切片内 N 个细胞做 Flowformer 注意力；SRT 用 2D 正弦位置编码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基因间关系被压成加权和；推理需邻域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State（ST）</w:t>
            </w:r>
          </w:p>
        </w:tc>
        <w:tc>
          <w:tcPr>
            <w:tcW w:type="dxa" w:w="215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256 个细胞的集合</w:t>
            </w:r>
          </w:p>
        </w:tc>
        <w:tc>
          <w:tcPr>
            <w:tcW w:type="dxa" w:w="3402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无位置编码的集合编码器，输出扰动后的分布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不做空间；集合丢单细胞分辨率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Nicheformer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基因序列 + 空间上下文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解离与空间联合预训练，预测空间语境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空间 panel 有限；排序丢幅值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tGPT</w:t>
            </w:r>
          </w:p>
        </w:tc>
        <w:tc>
          <w:tcPr>
            <w:tcW w:type="dxa" w:w="215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细胞为 token</w:t>
            </w:r>
          </w:p>
        </w:tc>
        <w:tc>
          <w:tcPr>
            <w:tcW w:type="dxa" w:w="3402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把细胞序列当文本做下一细胞预测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顺序人为；单细胞分辨率下降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PULSAR</w:t>
            </w:r>
          </w:p>
        </w:tc>
        <w:tc>
          <w:tcPr>
            <w:tcW w:type="dxa" w:w="215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多细胞组织语境</w:t>
            </w:r>
          </w:p>
        </w:tc>
        <w:tc>
          <w:tcPr>
            <w:tcW w:type="dxa" w:w="3402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显式建模 cell–cell interaction 与组织上下文</w:t>
            </w:r>
          </w:p>
        </w:tc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预印本；评测有限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空间任务的指标应是邻域一致性、空间标签预测、组成反卷积，而不是细胞类型准确率；同时报告“去掉空间坐标后性能掉多少”，以证明模型真的用了语境。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2.8　</w:t>
      </w:r>
      <w:r>
        <w:rPr>
          <w:rFonts w:ascii="微软雅黑" w:hAnsi="微软雅黑" w:eastAsia="微软雅黑" w:cs="微软雅黑"/>
          <w:b/>
          <w:color w:val="2E5C8A"/>
          <w:sz w:val="27"/>
        </w:rPr>
        <w:t>P8　重建不等于理解：注意力不是基因调控网络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掩码重建的最优解是“学共表达”，不是“学调控”。注意力权重是模型内部的路由，不是因果关系。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掩码语言模型在文本上有效，是因为“预测被遮的词”逼近了语法与语义。在单细胞上，预测被遮的基因只需要共表达——A 与 B 一起高表达，模型就能从 A 推 B，不需要知道是谁调控谁。共表达是相关，GRN 是有向、条件特异、稀疏的图。重建损失不惩罚“相关但错误”的边，因此注意力图与真实调控网络的重叠往往有限。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领域里有两条应对路线。第一条是</w:t>
      </w:r>
      <w:r>
        <w:rPr>
          <w:rFonts w:ascii="Times New Roman" w:hAnsi="Times New Roman" w:eastAsia="宋体" w:cs="Times New Roman"/>
          <w:b/>
          <w:color w:val="22303F"/>
          <w:sz w:val="21"/>
        </w:rPr>
        <w:t>把先验收进结构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：GeneCompass 把 GRN、启动子、基因家族、共表达四类知识拼进输入；RegFormer 用 GRN 引导基因排序；CellVQ 用 GO 本体矩阵做位置先验。第二条是</w:t>
      </w:r>
      <w:r>
        <w:rPr>
          <w:rFonts w:ascii="Times New Roman" w:hAnsi="Times New Roman" w:eastAsia="宋体" w:cs="Times New Roman"/>
          <w:b/>
          <w:color w:val="22303F"/>
          <w:sz w:val="21"/>
        </w:rPr>
        <w:t>把 GRN 当成第一目标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：scPRINT 的输出端不是重建值，而是每个基因的 ZINB 参数，并把注意力矩阵直接当作基因网络输出、用公开 GRN 基准评测。两条路线都比“事后解释注意力”更可信，但都受限于先验或真值的质量。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9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对 P8 的代表性回应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587"/>
        <w:gridCol w:w="1928"/>
        <w:gridCol w:w="3515"/>
        <w:gridCol w:w="2154"/>
      </w:tblGrid>
      <w:tr>
        <w:trPr>
          <w:cantSplit w:val="true"/>
          <w:tblHeader w:val="true"/>
        </w:trPr>
        <w:tc>
          <w:tcPr>
            <w:tcW w:type="dxa" w:w="158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路线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215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GeneCompass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先验注入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GRN / 启动子 / 基因家族 / 共表达四路拼接后投影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先验覆盖与质量决定上限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RegFormer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先验排序</w:t>
            </w:r>
          </w:p>
        </w:tc>
        <w:tc>
          <w:tcPr>
            <w:tcW w:type="dxa" w:w="351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GRN 层级引导基因顺序 + Mamba</w:t>
            </w:r>
          </w:p>
        </w:tc>
        <w:tc>
          <w:tcPr>
            <w:tcW w:type="dxa" w:w="215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人类单物种；独立复现少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scPRINT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GRN 为首要输出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双向 Transformer + ZINB，注意力即网络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注意力≠因果；真值本身有争议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CellVQ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本体先验</w:t>
            </w:r>
          </w:p>
        </w:tc>
        <w:tc>
          <w:tcPr>
            <w:tcW w:type="dxa" w:w="351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19,266×19,266 可训练 GO 矩阵（占总参数 73%）</w:t>
            </w:r>
          </w:p>
        </w:tc>
        <w:tc>
          <w:tcPr>
            <w:tcW w:type="dxa" w:w="215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参数效率极低；可解释性有限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Geneformer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in silico 扰动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删基因/改秩次，观察嵌入位移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相关性推断，非因果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scGPT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注意力 + 任务头</w:t>
            </w:r>
          </w:p>
        </w:tc>
        <w:tc>
          <w:tcPr>
            <w:tcW w:type="dxa" w:w="351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GRN 任务用注意力做边权重</w:t>
            </w:r>
          </w:p>
        </w:tc>
        <w:tc>
          <w:tcPr>
            <w:tcW w:type="dxa" w:w="215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注意力头不稳定，需扰动验证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与 ChIP-seq / Perturb-seq 的重叠率；held-out 转录因子的靶基因预测；注意力头消融后性能是否真的下降。三项都没有，就不要把注意力图当网络发表。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2.9　</w:t>
      </w:r>
      <w:r>
        <w:rPr>
          <w:rFonts w:ascii="微软雅黑" w:hAnsi="微软雅黑" w:eastAsia="微软雅黑" w:cs="微软雅黑"/>
          <w:b/>
          <w:color w:val="2E5C8A"/>
          <w:sz w:val="27"/>
        </w:rPr>
        <w:t>P9　扰动与因果：打不过加法基线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给定起始状态与干预，预测全转录组响应——这是当前最热也最难的问题。结论先说：纯端到端还没有赢过加法基线。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扰动的效应量通常很小，细胞间的异质性很大，技术噪声叠加其上。逐细胞回归会把异质性与噪声一起拟合，模型学到的是“平均细胞”，而不是“扰动效应”。更根本的是信号稀疏：在 Norman 双扰动数据上，FDR 5% 下 124,000 个基因对里只有 5,035 个（4.2%）是真实交互。也就是说，96% 的“交互预测”没有真值可学。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这正是 State 的设计动机：不预测单个细胞，而是预测 256 个细胞的集合分布，用 MMD/能量距离做损失。这样细胞异质性 H 与技术噪声 ε 被吸收进分布，模型只需要对准扰动效应 T。Arc 报告在 Tahoe-100M 上效应区分度提升 30% 以上、DEG 识别准确率翻倍（论文口径）。另一条路线是换生成范式：AlphaCell 用最优传输条件流匹配建模状态转移，Lingshu-Cell 用离散扩散做条件生成，CellOS 用 JEPA 在隐空间预测。它们的共同点是</w:t>
      </w:r>
      <w:r>
        <w:rPr>
          <w:rFonts w:ascii="Times New Roman" w:hAnsi="Times New Roman" w:eastAsia="宋体" w:cs="Times New Roman"/>
          <w:b/>
          <w:color w:val="22303F"/>
          <w:sz w:val="21"/>
        </w:rPr>
        <w:t>不再复述输入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10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对 P9 的代表性回应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1814"/>
        <w:gridCol w:w="3628"/>
        <w:gridCol w:w="2041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学习信号</w:t>
            </w:r>
          </w:p>
        </w:tc>
        <w:tc>
          <w:tcPr>
            <w:tcW w:type="dxa" w:w="36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204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State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集合分布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256 细胞集合 + MMD/能量距离；SE 学表征、ST 学变换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需扰动数据；丢单细胞分辨率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scGPT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掩码生成</w:t>
            </w:r>
          </w:p>
        </w:tc>
        <w:tc>
          <w:tcPr>
            <w:tcW w:type="dxa" w:w="36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把被敲除基因设为未知，用已知基因外推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逐细胞目标；对分布偏移敏感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scFoundation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重建 + 深度扰动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RDA 模拟测序深度；掩码基因预测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非因果；需微调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AlphaCell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流匹配</w:t>
            </w:r>
          </w:p>
        </w:tc>
        <w:tc>
          <w:tcPr>
            <w:tcW w:type="dxa" w:w="36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OT-CFM 在 32×128 隐流形上建模状态演化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预印本；1.2B 解码器成本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Lingshu-Cell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条件扩散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离散扩散，按细胞类型/供体 × 扰动条件生成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采样慢；预印本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xTrimoSCPerturb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混合特征</w:t>
            </w:r>
          </w:p>
        </w:tc>
        <w:tc>
          <w:tcPr>
            <w:tcW w:type="dxa" w:w="36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改进 scFoundation + DEG 频率/平均表达统计特征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VCC 冠军方案；场景特定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线性 / additive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无</w:t>
            </w:r>
          </w:p>
        </w:tc>
        <w:tc>
          <w:tcPr>
            <w:tcW w:type="dxa" w:w="362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两个单扰动响应相加</w:t>
            </w:r>
          </w:p>
        </w:tc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最强基线；交互预测接近“无变化”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必须报告 DES（差异表达签名）、PDS（扰动区分度）、MAE，且分开报告“见过的扰动”与“未见的扰动”；对照必须包含 additive 与“预测无变化”两个朴素基线。只报 MSE 的扰动论文，结论不可采信。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2.10　</w:t>
      </w:r>
      <w:r>
        <w:rPr>
          <w:rFonts w:ascii="微软雅黑" w:hAnsi="微软雅黑" w:eastAsia="微软雅黑" w:cs="微软雅黑"/>
          <w:b/>
          <w:color w:val="2E5C8A"/>
          <w:sz w:val="27"/>
        </w:rPr>
        <w:t>P10　生成与多模态：从描述到干预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从“描述细胞”到“生成细胞”是一次目标函数的更换，不只是加一个解码头。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生成全转录组很难，因为要同时建模两万个相关维度、零膨胀、以及条件（细胞类型、供体、扰动）。多模态更难：RNA + 蛋白的 CITE-seq 数据量远小于纯 RNA，RNA + ATAC 的配对更少，空间数据的 panel 有限。现实中的多模态任务往往不是“融合”，而是“补全”——给定 RNA 预测蛋白，或给定解离数据预测空间位置。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CAPTAIN 是目前把蛋白模态做得最实的一个：426 万个共测细胞、382 种表面蛋白，蛋白 token 作为 query、RNA 嵌入作为 key/value 做交叉注意力，损失由 RNA 重建、蛋白 MSE、蛋白分位数三部分按 0.2/0.6/0.2 加权。它证明了“跨模态预训练”可行，但也暴露了边界：382 种蛋白的面板仍然很窄，物种被写死为人和鼠。多组学整合的系统评测（SCMBench，23 种方法）给出的结论更冷静：基础模型在多组学整合上不如领域专用方法。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11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对 P10 的代表性回应</w:t>
      </w:r>
    </w:p>
    <w:tbl>
      <w:tblPr>
        <w:tblW w:type="dxa" w:w="9185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2268"/>
        <w:gridCol w:w="3402"/>
        <w:gridCol w:w="1814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3402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scMulan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条件生成 / 注释 / 整合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细胞句子 + 实体/数值双头，改句尾任务词即换任务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10 档离散值；decoder-only 长序列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Lingshu-Cell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条件生成</w:t>
            </w:r>
          </w:p>
        </w:tc>
        <w:tc>
          <w:tcPr>
            <w:tcW w:type="dxa" w:w="3402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离散扩散，覆盖约 18,000 基因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采样成本；预印本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AlphaCell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状态生成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全基因输入 + 流匹配 + 1.2B 解码器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解码器巨大；可解释性弱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scFoundation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重建 / 补全</w:t>
            </w:r>
          </w:p>
        </w:tc>
        <w:tc>
          <w:tcPr>
            <w:tcW w:type="dxa" w:w="3402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非对称编解码，只编码非零位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固定 19,264 基因；MSE 被高表达主导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CAPTAIN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RNA → 蛋白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蛋白 query 交叉注意力到 RNA 上下文；分位数头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382 蛋白；物种写死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Nicheformer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解离 → 空间</w:t>
            </w:r>
          </w:p>
        </w:tc>
        <w:tc>
          <w:tcPr>
            <w:tcW w:type="dxa" w:w="3402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空间语境预测 + 联合预训练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空间 panel 有限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生成任务看分布距离与下游 DE 保真度，而不是单细胞 MSE；补全任务看“缺失模态”的校准（分位数覆盖）；多模态看“去掉一个模态后性能掉多少”。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2.11　</w:t>
      </w:r>
      <w:r>
        <w:rPr>
          <w:rFonts w:ascii="微软雅黑" w:hAnsi="微软雅黑" w:eastAsia="微软雅黑" w:cs="微软雅黑"/>
          <w:b/>
          <w:color w:val="2E5C8A"/>
          <w:sz w:val="27"/>
        </w:rPr>
        <w:t>P11　适配成本：最后一公里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基础模型的最后一公里不是精度，而是“能不能在别人的数据和预算上跑起来”。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预训练要数十张 GPU、数周；微调要调参经验，且对随机种子与超参高度敏感——Boiarsky 等发现 scBERT 的微调结果在种子间波动显著，去掉预训练也没有统计差异（p=0.34/0.59）。许可则是另一道门槛：Apache-2.0、MIT、GPL-3.0、CC BY-NC-ND、无 LICENSE 并存，很多模型在法律上不能商用。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工程上的解法已经比较成熟：冻结主干 + 线性探针（UCE、CellPLM、SCimilarity）、LoRA（CellFM）、轻量适配器（CellWhisperer 只训适配器与文本塔）、小模型（Geneformer 10M 参数，单卡可跑）、蒸馏与量化。这些手段能把“能不能用”变成“好不好用”，但不能把零样本变成万能。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12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降低适配成本的四条路径</w:t>
      </w:r>
    </w:p>
    <w:tbl>
      <w:tblPr>
        <w:tblW w:type="dxa" w:w="9183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3061"/>
        <w:gridCol w:w="2551"/>
        <w:gridCol w:w="1757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306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代表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175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适用 / 代价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冻结 + 探针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UCE、CellPLM、SCimilarity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不更新主干，只训线性头</w:t>
            </w:r>
          </w:p>
        </w:tc>
        <w:tc>
          <w:tcPr>
            <w:tcW w:type="dxa" w:w="175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最省算力；上限受嵌入质量限制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参数高效微调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CellFM（LoRA）、scGPT（部分层解冻）</w:t>
            </w:r>
          </w:p>
        </w:tc>
        <w:tc>
          <w:tcPr>
            <w:tcW w:type="dxa" w:w="255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只更新低秩矩阵或最后几层</w:t>
            </w:r>
          </w:p>
        </w:tc>
        <w:tc>
          <w:tcPr>
            <w:tcW w:type="dxa" w:w="175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接近全参效果；仍需调参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适配器 / 双塔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CellWhisperer（Geneformer 冻结 + BioBERT）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只训模态接头</w:t>
            </w:r>
          </w:p>
        </w:tc>
        <w:tc>
          <w:tcPr>
            <w:tcW w:type="dxa" w:w="175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适合跨模态；精度受冻结塔限制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小模型 / 蒸馏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Geneformer（约 1,000 万参数）</w:t>
            </w:r>
          </w:p>
        </w:tc>
        <w:tc>
          <w:tcPr>
            <w:tcW w:type="dxa" w:w="255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用更小模型匹配数据规模</w:t>
            </w:r>
          </w:p>
        </w:tc>
        <w:tc>
          <w:tcPr>
            <w:tcW w:type="dxa" w:w="175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容量有限；跨域能力弱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用 10% 标注数据做微调，报告相对强基线的增益、调参预算（试了多少组超参）、以及单卡能否跑通。三项都过关，才叫“可用”。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2.12　</w:t>
      </w:r>
      <w:r>
        <w:rPr>
          <w:rFonts w:ascii="微软雅黑" w:hAnsi="微软雅黑" w:eastAsia="微软雅黑" w:cs="微软雅黑"/>
          <w:b/>
          <w:color w:val="2E5C8A"/>
          <w:sz w:val="27"/>
        </w:rPr>
        <w:t>P12　评测失焦：指标与生物学脱节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MSE 被近零差异基因稀释，benchmark 饱和，排行榜不可比——评测已经成为独立的技术问题。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在扰动预测里，绝大多数基因的差异接近零，L2 与 Pearson delta 会被这些近零值主导：一个模型即使完全没学到交互，也能拿到“接近”的分数。更严重的是任务定义不一致：同样是“细胞注释”，有的用训练集内随机划分，有的用跨数据集；同样是“零样本”，有的排除了预训练重叠，有的没有。于是排行榜上的名次会随预处理、tokenization、指标而翻转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2026 年 ICML 的一篇立场论文把这种现象命名为“可识别性失败”：benchmark 饱和不是因为能力到顶，而是因为指标无法区分“真会”与“记住”。对应的解法不是再刷一个榜，而是换任务化评测：VCC 用“能否替代一次 Perturb-seq 实验”定义任务，Cell_Eval 用七项指标覆盖 DES/PDS/MAE/Pearson/Spearman/AUPRC，scEval 把超参与训练稳定性列为核心维度。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13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评测体系的四层证据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3061"/>
        <w:gridCol w:w="2608"/>
        <w:gridCol w:w="1814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06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代表</w:t>
            </w:r>
          </w:p>
        </w:tc>
        <w:tc>
          <w:tcPr>
            <w:tcW w:type="dxa" w:w="260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回答的问题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局限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零样本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Kedzierska 2025、PertEval 2025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不微调能不能用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易被泄漏污染；强基线常常胜出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微调 / 少样本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scEval 2026、低监督评测 2026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给了标签能提升多少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超参与划分影响大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任务化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VCC 2025、Cell_Eval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能否替代一次实验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任务窄；成本高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审计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污染审计 2026、scContam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成绩是否可信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依赖语料公开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判据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预注册指标；时间切分；盲测；公开复现包（种子、超参、算力、失败案例）。四条缺一，排行榜只能当参考，不能当结论。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2.13　</w:t>
      </w:r>
      <w:r>
        <w:rPr>
          <w:rFonts w:ascii="微软雅黑" w:hAnsi="微软雅黑" w:eastAsia="微软雅黑" w:cs="微软雅黑"/>
          <w:b/>
          <w:color w:val="2E5C8A"/>
          <w:sz w:val="27"/>
        </w:rPr>
        <w:t>十二条问题的相互位置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把十二个问题放回管线，会发现一个不舒服的事实：</w:t>
      </w:r>
      <w:r>
        <w:rPr>
          <w:rFonts w:ascii="Times New Roman" w:hAnsi="Times New Roman" w:eastAsia="宋体" w:cs="Times New Roman"/>
          <w:b/>
          <w:color w:val="22303F"/>
          <w:sz w:val="21"/>
        </w:rPr>
        <w:t>只有 P3 与 P12 完全不在模型侧，而它们恰好决定了我们对其他十个问题的判断是否可信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。P1、P2、P4 是数据基础设施问题；P5–P8 是表示与目标的设计问题；P9、P10 是目标函数的换代问题；P11 是工程与许可问题。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14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十二条问题的责任归属与成熟度</w:t>
      </w:r>
    </w:p>
    <w:tbl>
      <w:tblPr>
        <w:tblW w:type="dxa" w:w="9185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907"/>
        <w:gridCol w:w="2041"/>
        <w:gridCol w:w="3175"/>
        <w:gridCol w:w="1134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90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层</w:t>
            </w:r>
          </w:p>
        </w:tc>
        <w:tc>
          <w:tcPr>
            <w:tcW w:type="dxa" w:w="204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主要责任方</w:t>
            </w:r>
          </w:p>
        </w:tc>
        <w:tc>
          <w:tcPr>
            <w:tcW w:type="dxa" w:w="3175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当前最好解法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成熟度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P1 规模幻觉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数据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数据联盟 / 模型方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多样性优先 + 数据选择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已识别，未解决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P2 噪声与批次</w:t>
            </w:r>
          </w:p>
        </w:tc>
        <w:tc>
          <w:tcPr>
            <w:tcW w:type="dxa" w:w="90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数据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测量 / 模型方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显式协变量 + 噪声建模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部分解决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P3 数据泄漏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数据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社区 / 评测方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时间切分 + 指纹审计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有解，执行不足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P4 长尾与偏移</w:t>
            </w:r>
          </w:p>
        </w:tc>
        <w:tc>
          <w:tcPr>
            <w:tcW w:type="dxa" w:w="90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数据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模型方 / 评测方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全基因词表 + 分层指标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部分解决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P5 词表与顺序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表示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模型方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蛋白语言模型身份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接近解决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P6 值的离散化</w:t>
            </w:r>
          </w:p>
        </w:tc>
        <w:tc>
          <w:tcPr>
            <w:tcW w:type="dxa" w:w="90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表示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模型方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软分箱 / 分布头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接近解决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P7 语境缺失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表示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模型方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细胞集合 / 空间联合预训练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早期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P8 重建≠理解</w:t>
            </w:r>
          </w:p>
        </w:tc>
        <w:tc>
          <w:tcPr>
            <w:tcW w:type="dxa" w:w="90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目标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模型方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先验注入 + 因果验证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早期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P9 扰动与因果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目标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模型方 + 湿实验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集合分布 / 流匹配 + 混合特征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早期，未证明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P10 生成与多模态</w:t>
            </w:r>
          </w:p>
        </w:tc>
        <w:tc>
          <w:tcPr>
            <w:tcW w:type="dxa" w:w="90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目标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模型方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条件扩散 / 跨模态注意力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早期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P11 适配成本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适配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工程 / 许可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冻结探针 / LoRA / 小模型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部分解决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P12 评测失焦</w:t>
            </w:r>
          </w:p>
        </w:tc>
        <w:tc>
          <w:tcPr>
            <w:tcW w:type="dxa" w:w="90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评价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评测方 / 期刊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任务化评测 + 预注册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有共识，缺标准</w:t>
            </w:r>
          </w:p>
        </w:tc>
      </w:tr>
    </w:tbl>
    <w:p>
      <w:pPr>
        <w:spacing w:before="40" w:after="200" w:line="312" w:lineRule="auto"/>
        <w:ind w:firstLine="0"/>
      </w:pPr>
      <w:r>
        <w:rPr>
          <w:rFonts w:ascii="Times New Roman" w:hAnsi="Times New Roman" w:eastAsia="宋体" w:cs="Times New Roman"/>
          <w:b w:val="0"/>
          <w:color w:val="8A94A6"/>
          <w:sz w:val="15"/>
        </w:rPr>
        <w:t>注：“成熟度”是作者依据公开证据的判断：已识别但无解、部分解决、接近解决、有解但执行不足、早期。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下一章转入架构。需要提醒的是：架构只能回答 P5–P10 的一部分，对 P1–P4 与 P11–P12 几乎没有直接作用。把架构当成万能药，是这个领域最常见的误配。</w:t>
      </w:r>
    </w:p>
    <w:p>
      <w:pPr>
        <w:keepNext/>
        <w:pageBreakBefore/>
        <w:spacing w:before="40" w:after="80"/>
        <w:ind w:firstLine="0"/>
      </w:pPr>
      <w:r>
        <w:rPr>
          <w:rFonts w:ascii="微软雅黑" w:hAnsi="微软雅黑" w:eastAsia="微软雅黑" w:cs="微软雅黑"/>
          <w:b/>
          <w:color w:val="C0803A"/>
          <w:sz w:val="20"/>
        </w:rPr>
        <w:t>第 3 章</w:t>
      </w:r>
    </w:p>
    <w:p>
      <w:pPr>
        <w:keepNext/>
        <w:pBdr>
          <w:bottom w:val="single" w:sz="6" w:space="6" w:color="C9D2DE"/>
        </w:pBdr>
        <w:spacing w:before="0" w:after="240"/>
        <w:ind w:firstLine="0"/>
      </w:pPr>
      <w:r>
        <w:rPr>
          <w:rFonts w:ascii="微软雅黑" w:hAnsi="微软雅黑" w:eastAsia="微软雅黑" w:cs="微软雅黑"/>
          <w:b/>
          <w:color w:val="1F3A5F"/>
          <w:sz w:val="38"/>
        </w:rPr>
        <w:t>架构分类学：六个大类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分类的价值不在于贴标签，而在于预测代价。知道一个模型属于哪一类，就能在读论文之前大致说出它会强在哪、弱在哪、以及在什么数据上会失效。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3.1　</w:t>
      </w:r>
      <w:r>
        <w:rPr>
          <w:rFonts w:ascii="微软雅黑" w:hAnsi="微软雅黑" w:eastAsia="微软雅黑" w:cs="微软雅黑"/>
          <w:b/>
          <w:color w:val="2E5C8A"/>
          <w:sz w:val="27"/>
        </w:rPr>
        <w:t>分类原则：建模单元 × 学习信号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最常见的分类方式是按主干网络分：Transformer、Performer、RetNet、Mamba、扩散。这种分法对工程有用，对理解无用——同一个 Mamba 可以出现在两类完全不同的模型里（RegFormer 用它做掩码基因建模，AlphaCell 用它做状态转移编码），而它们的失败模式毫无共同点。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本报告用两个坐标分类。</w:t>
      </w:r>
      <w:r>
        <w:rPr>
          <w:rFonts w:ascii="Times New Roman" w:hAnsi="Times New Roman" w:eastAsia="宋体" w:cs="Times New Roman"/>
          <w:b/>
          <w:color w:val="22303F"/>
          <w:sz w:val="21"/>
        </w:rPr>
        <w:t>横轴是建模单元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：一次前向传播里，模型把什么当作第一性对象——基因、细胞、整条表达谱、状态分布，还是自然语言。</w:t>
      </w:r>
      <w:r>
        <w:rPr>
          <w:rFonts w:ascii="Times New Roman" w:hAnsi="Times New Roman" w:eastAsia="宋体" w:cs="Times New Roman"/>
          <w:b/>
          <w:color w:val="22303F"/>
          <w:sz w:val="21"/>
        </w:rPr>
        <w:t>纵轴是学习信号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：监督从哪里来——重建被遮住的部分、最大化序列似然、对齐另一个模态、还是在隐空间预测下一状态。两个坐标的可行组合只有六个，这就是六个大类。主干网络是第三个、正交的维度，单独在 §3.7 讨论。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图 3 把六个大类画成一棵树。需要强调的是，树上的位置由“第一性对象 + 学习信号”决定，而不是由主干决定；同一个模型可以同时挂在两个枝上（§3.9）。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17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axonom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12" w:lineRule="auto"/>
        <w:ind w:firstLine="0"/>
        <w:jc w:val="center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图 3　</w:t>
      </w:r>
      <w:r>
        <w:rPr>
          <w:rFonts w:ascii="Times New Roman" w:hAnsi="Times New Roman" w:eastAsia="宋体" w:cs="Times New Roman"/>
          <w:b w:val="0"/>
          <w:color w:val="5D6B7A"/>
          <w:sz w:val="17"/>
        </w:rPr>
        <w:t>六个架构大类：建模单元与学习信号的可行组合</w:t>
      </w:r>
    </w:p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15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六个大类在四个解剖位上的取值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644"/>
        <w:gridCol w:w="2324"/>
        <w:gridCol w:w="2041"/>
        <w:gridCol w:w="1814"/>
        <w:gridCol w:w="1361"/>
      </w:tblGrid>
      <w:tr>
        <w:trPr>
          <w:cantSplit w:val="true"/>
          <w:tblHeader w:val="true"/>
        </w:trPr>
        <w:tc>
          <w:tcPr>
            <w:tcW w:type="dxa" w:w="164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32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Tokenizer</w:t>
            </w:r>
          </w:p>
        </w:tc>
        <w:tc>
          <w:tcPr>
            <w:tcW w:type="dxa" w:w="204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Backbone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Interface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A 掩码基因序列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秩 / 硬分箱 / 软分箱 / 连续 / 蛋白身份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双向 Transformer、Performer、RetNet、Mamba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掩码重建（值或身份）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细胞/基因嵌入、注意力</w:t>
            </w:r>
          </w:p>
        </w:tc>
      </w:tr>
      <w:tr>
        <w:trPr>
          <w:cantSplit w:val="true"/>
        </w:trPr>
        <w:tc>
          <w:tcPr>
            <w:tcW w:type="dxa" w:w="164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B 自回归基因序列</w:t>
            </w:r>
          </w:p>
        </w:tc>
        <w:tc>
          <w:tcPr>
            <w:tcW w:type="dxa" w:w="232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表达值分箱 + 基因身份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因果或块掩码 Transformer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序列似然（含计数分布）</w:t>
            </w:r>
          </w:p>
        </w:tc>
        <w:tc>
          <w:tcPr>
            <w:tcW w:type="dxa" w:w="13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生成谱、条件生成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C 连续谱编解码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全基因向量 + 深度 token / 码本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非对称编解码、VQ、交叉注意力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重建（MSE / 分布）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去噪、补全、跨模态</w:t>
            </w:r>
          </w:p>
        </w:tc>
      </w:tr>
      <w:tr>
        <w:trPr>
          <w:cantSplit w:val="true"/>
        </w:trPr>
        <w:tc>
          <w:tcPr>
            <w:tcW w:type="dxa" w:w="164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D 细胞集合模型</w:t>
            </w:r>
          </w:p>
        </w:tc>
        <w:tc>
          <w:tcPr>
            <w:tcW w:type="dxa" w:w="232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细胞级向量（基因嵌入加权和）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集合/图注意力、线性注意力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集合距离、对比、下一细胞</w:t>
            </w:r>
          </w:p>
        </w:tc>
        <w:tc>
          <w:tcPr>
            <w:tcW w:type="dxa" w:w="13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扰动分布、细胞检索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E 状态分布模型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全基因或隐变量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扩散、流匹配、JEPA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去噪/流/隐空间预测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条件生成、状态转移</w:t>
            </w:r>
          </w:p>
        </w:tc>
      </w:tr>
      <w:tr>
        <w:trPr>
          <w:cantSplit w:val="true"/>
        </w:trPr>
        <w:tc>
          <w:tcPr>
            <w:tcW w:type="dxa" w:w="164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F 语言接口模型</w:t>
            </w:r>
          </w:p>
        </w:tc>
        <w:tc>
          <w:tcPr>
            <w:tcW w:type="dxa" w:w="232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基因名文本 / 自然语言描述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LLM、双塔对比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对比对齐、下一词</w:t>
            </w:r>
          </w:p>
        </w:tc>
        <w:tc>
          <w:tcPr>
            <w:tcW w:type="dxa" w:w="136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检索、零样本注释、对话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3.2　</w:t>
      </w:r>
      <w:r>
        <w:rPr>
          <w:rFonts w:ascii="微软雅黑" w:hAnsi="微软雅黑" w:eastAsia="微软雅黑" w:cs="微软雅黑"/>
          <w:b/>
          <w:color w:val="2E5C8A"/>
          <w:sz w:val="27"/>
        </w:rPr>
        <w:t>A 类　掩码基因序列：看一半，猜一半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这是最早、也最多的一类。它把细胞写成一条基因 token 序列，随机遮住一部分，让模型从上下文猜回来。形式化地：给定表达向量 x 与选中的基因集合 S，遮住子集 M⊂S，最小化 Σ_{i∈M} ℓ(f_θ(x)_i, x_i)。BERT 的配方几乎可以原样复用，所以 2021–2023 年的模型大多落在这里。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它的归纳偏置是“共表达即语法”：如果两个基因总是一起出现，模型就能互相推断。这个偏置在注释、检索、基因功能预测上很有效，因为这些都是“共表达足够”的任务。但同一偏置也决定了它的天花板——它只需要学相关，不需要学因果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A 类内部的差异几乎全部来自 tokenizer，而不是主干。硬分箱（scBERT）最简单，但丢幅值与序；秩编码（Geneformer）抗深度差异，但丢绝对量；连续标量（CellFM）保留幅值，但怕噪声；蛋白身份（UCE）把词表打开，但把定量信息压成二分类；分布头（scPRINT）保留完整分布，但训练更难。</w:t>
      </w:r>
      <w:r>
        <w:rPr>
          <w:rFonts w:ascii="Times New Roman" w:hAnsi="Times New Roman" w:eastAsia="宋体" w:cs="Times New Roman"/>
          <w:b/>
          <w:color w:val="22303F"/>
          <w:sz w:val="21"/>
        </w:rPr>
        <w:t>换句话说，A 类的竞争史就是一部 tokenizer 迭代史。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16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A 类的七个变体</w:t>
      </w:r>
    </w:p>
    <w:tbl>
      <w:tblPr>
        <w:tblW w:type="dxa" w:w="9183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1587"/>
        <w:gridCol w:w="3061"/>
        <w:gridCol w:w="2494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变体</w:t>
            </w:r>
          </w:p>
        </w:tc>
        <w:tc>
          <w:tcPr>
            <w:tcW w:type="dxa" w:w="158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代表</w:t>
            </w:r>
          </w:p>
        </w:tc>
        <w:tc>
          <w:tcPr>
            <w:tcW w:type="dxa" w:w="306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关键设计</w:t>
            </w:r>
          </w:p>
        </w:tc>
        <w:tc>
          <w:tcPr>
            <w:tcW w:type="dxa" w:w="249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换来了什么 / 付出了什么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硬分箱 + Performer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scBERT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16,906 基因、7 档、gene2vec 身份、无位置编码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首次证明 BERT 可行 / 200 维窄、词表封闭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秩编码 + 窄 BERT</w:t>
            </w:r>
          </w:p>
        </w:tc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Geneformer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除以基因中位表达后排序，2,048 token，6 层 256 维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抗深度、参数极省 / 丢幅值、截断丢低表达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知识拼接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GeneCompass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GRN/启动子/家族/共表达四路拼成 3,841 维再投影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先验可解释 / 首层参数大、依赖先验质量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蛋白身份</w:t>
            </w:r>
          </w:p>
        </w:tc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UCE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ESM-2 嵌入替代基因 ID，按表达加权抽 1,024 基因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词表无限、跨物种 / 表巨大、二分类目标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连续标量 + 线性注意力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CellFM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2,048 基因、MLP 投影标量、40 层 ERetNet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8 亿参数、长序列省算力 / 单物种、无生成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分布头 + 重测序去噪</w:t>
            </w:r>
          </w:p>
        </w:tc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scPRINT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ZINB 输出、泊松下采样、注意力即 GRN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概率输出、GRN 首选 / 2,200 基因上限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GRN 排序 + 状态空间</w:t>
            </w:r>
          </w:p>
        </w:tc>
        <w:tc>
          <w:tcPr>
            <w:tcW w:type="dxa" w:w="158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RegFormer</w:t>
            </w:r>
          </w:p>
        </w:tc>
        <w:tc>
          <w:tcPr>
            <w:tcW w:type="dxa" w:w="306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调控层级引导顺序 + Mamba</w:t>
            </w:r>
          </w:p>
        </w:tc>
        <w:tc>
          <w:tcPr>
            <w:tcW w:type="dxa" w:w="249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长序列、先验结构化 / 单物种、复现少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A 类的共同天花板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目标只奖励“重建自己”，不奖励“干预正确”。因此在零样本嵌入任务上，它最容易被 HVG + 逻辑回归追平；它的价值主要在微调后的域内任务，以及作为下游模型的初始化。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3.3　</w:t>
      </w:r>
      <w:r>
        <w:rPr>
          <w:rFonts w:ascii="微软雅黑" w:hAnsi="微软雅黑" w:eastAsia="微软雅黑" w:cs="微软雅黑"/>
          <w:b/>
          <w:color w:val="2E5C8A"/>
          <w:sz w:val="27"/>
        </w:rPr>
        <w:t>B 类　自回归基因序列：顺着往下写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B 类把细胞建模成一个概率序列：p(x)=∏_j p(g_j, c_j | g_{&lt;j}, c_{&lt;j})。每一步先选“下一个基因是谁”，再决定“它有多少计数”。与 A 类的关键差别不是“能不能生成”，而是</w:t>
      </w:r>
      <w:r>
        <w:rPr>
          <w:rFonts w:ascii="Times New Roman" w:hAnsi="Times New Roman" w:eastAsia="宋体" w:cs="Times New Roman"/>
          <w:b/>
          <w:color w:val="22303F"/>
          <w:sz w:val="21"/>
        </w:rPr>
        <w:t>训练信号是似然，不是重建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：模型必须给整个联合分布分配概率质量，而不能只对被遮的位置负责。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这带来两个能力：条件生成（给定前一半基因，补全后一半；给定对照细胞，生成扰动后细胞）与不确定性（计数分布自带方差）。也带来两个代价：推理必须逐 token 进行，成本随基因数线性增长；基因没有自然顺序，必须人为定义或随机打乱，前者引入顺序伪影，后者让同一份表达谱有多种等价写法。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17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B 类的三种写法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2721"/>
        <w:gridCol w:w="2494"/>
        <w:gridCol w:w="2268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72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序列怎么定义</w:t>
            </w:r>
          </w:p>
        </w:tc>
        <w:tc>
          <w:tcPr>
            <w:tcW w:type="dxa" w:w="249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学习信号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独特之处 / 代价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scGPT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1 个 CLS + 1,200 个 HVG，块状掩码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掩码值预测 + 细胞对比 + 条件 token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待预测基因只能看已知基因，天然支持“敲除后外推” / 每细胞分箱边界漂移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TranscriptFormer</w:t>
            </w:r>
          </w:p>
        </w:tc>
        <w:tc>
          <w:tcPr>
            <w:tcW w:type="dxa" w:w="272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2,047 个基因随机排列 + 检测 token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基因 softmax + 零截断泊松计数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计数进入注意力分数（log1p 偏置），似然覆盖全部基因 / 247k 输出头、自回归推理慢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scMulan</w:t>
            </w:r>
          </w:p>
        </w:tc>
        <w:tc>
          <w:tcPr>
            <w:tcW w:type="dxa" w:w="272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基因/元数据/任务词组成的“细胞句子”</w:t>
            </w:r>
          </w:p>
        </w:tc>
        <w:tc>
          <w:tcPr>
            <w:tcW w:type="dxa" w:w="249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实体预测 + 数值预测双头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元数据即 prompt，一个模型多任务 / 10 档离散值、decoder-only 长序列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B 类的共同天花板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似然目标要求模型对“所有可能的细胞”分配概率，但真实数据只覆盖极小的流形；模型很容易把概率质量堆在训练分布附近，对分布外扰动过度自信。这是所有生成式 scFM 在 VCC 上失分的主因。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3.4　</w:t>
      </w:r>
      <w:r>
        <w:rPr>
          <w:rFonts w:ascii="微软雅黑" w:hAnsi="微软雅黑" w:eastAsia="微软雅黑" w:cs="微软雅黑"/>
          <w:b/>
          <w:color w:val="2E5C8A"/>
          <w:sz w:val="27"/>
        </w:rPr>
        <w:t>C 类　连续谱编解码：压成向量，再还原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C 类不把细胞拆成基因 token，而是把整条表达谱当作一个对象：编码器把它压成向量 z，解码器再从 z 还原全部基因。形式化地：z=E(x_{nonzero})，x̂=D(z)，损失只在被遮位置或全部位置上计算。它的优势是显式建模“整谱”，适合去噪、补全、跨平台迁移；代价是基因间关系被压进一个向量，基因级的分辨率与可解释性下降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三个子型值得区分。</w:t>
      </w:r>
      <w:r>
        <w:rPr>
          <w:rFonts w:ascii="Times New Roman" w:hAnsi="Times New Roman" w:eastAsia="宋体" w:cs="Times New Roman"/>
          <w:b/>
          <w:color w:val="22303F"/>
          <w:sz w:val="21"/>
        </w:rPr>
        <w:t>非对称稀疏编解码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（scFoundation）只把非零位送进编码器，把 90% 的零挡在外面，计算省一个量级；</w:t>
      </w:r>
      <w:r>
        <w:rPr>
          <w:rFonts w:ascii="Times New Roman" w:hAnsi="Times New Roman" w:eastAsia="宋体" w:cs="Times New Roman"/>
          <w:b/>
          <w:color w:val="22303F"/>
          <w:sz w:val="21"/>
        </w:rPr>
        <w:t>离散瓶颈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（CellVQ）把细胞压成码本里的一个整数，换取“细胞语言”的接口；</w:t>
      </w:r>
      <w:r>
        <w:rPr>
          <w:rFonts w:ascii="Times New Roman" w:hAnsi="Times New Roman" w:eastAsia="宋体" w:cs="Times New Roman"/>
          <w:b/>
          <w:color w:val="22303F"/>
          <w:sz w:val="21"/>
        </w:rPr>
        <w:t>跨模态编解码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（CAPTAIN）让蛋白 token 去查询 RNA 上下文，把“补全缺失模态”变成主要任务。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18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C 类的三个子型</w:t>
      </w:r>
    </w:p>
    <w:tbl>
      <w:tblPr>
        <w:tblW w:type="dxa" w:w="9185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1928"/>
        <w:gridCol w:w="3515"/>
        <w:gridCol w:w="1814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子型</w:t>
            </w:r>
          </w:p>
        </w:tc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代表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关键机制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非对称稀疏编解码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scFoundation、xTrimoGene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只编码非零位；末尾拼 T/S 深度 token；软分箱；30% 掩码 MSE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固定 19,264 基因；MSE 被高表达主导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离散瓶颈 / 量化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CellVQ</w:t>
            </w:r>
          </w:p>
        </w:tc>
        <w:tc>
          <w:tcPr>
            <w:tcW w:type="dxa" w:w="351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12 层编码 + 6 层 Performer 解码；2^16 码本；32 维码字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32 维瓶颈；码本坍塌风险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跨模态编解码</w:t>
            </w:r>
          </w:p>
        </w:tc>
        <w:tc>
          <w:tcPr>
            <w:tcW w:type="dxa" w:w="192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CAPTAIN</w:t>
            </w:r>
          </w:p>
        </w:tc>
        <w:tc>
          <w:tcPr>
            <w:tcW w:type="dxa" w:w="3515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蛋白 token 作 query、RNA 作 key/value；RNA/蛋白/分位数三损失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382 蛋白面板；物种写死为 2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C 类的共同天花板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重建损失对高表达基因敏感、对低表达基因几乎无约束；而生物学信号往往在低表达端（转录因子、稀有标记）。这就是为什么“重建得像”不等于“下游有用”。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3.5　</w:t>
      </w:r>
      <w:r>
        <w:rPr>
          <w:rFonts w:ascii="微软雅黑" w:hAnsi="微软雅黑" w:eastAsia="微软雅黑" w:cs="微软雅黑"/>
          <w:b/>
          <w:color w:val="2E5C8A"/>
          <w:sz w:val="27"/>
        </w:rPr>
        <w:t>D 类　细胞集合模型：细胞看细胞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D 类把建模单元从基因换成细胞。每个细胞先压成一个向量（通常是基因嵌入按表达量加权求和），然后让同一张切片、同一组样本或同一批扰动里的细胞互相注意。形式化地：e_i=W^T x_i，H=Transformer({e_i})，输出是细胞的表示或细胞集合的分布。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它解决的是“细胞不是孤岛”这个根本问题：同一组织里的细胞共享微环境，同一扰动下的细胞共享处理条件。代价也很直接：基因间关系在第一步加权求和时就被抹掉了，模型只能通过细胞间的差异间接恢复；推理时需要邻域或切片，单细胞场景不适用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19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D 类的四种写法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587"/>
        <w:gridCol w:w="2608"/>
        <w:gridCol w:w="3175"/>
        <w:gridCol w:w="1814"/>
      </w:tblGrid>
      <w:tr>
        <w:trPr>
          <w:cantSplit w:val="true"/>
          <w:tblHeader w:val="true"/>
        </w:trPr>
        <w:tc>
          <w:tcPr>
            <w:tcW w:type="dxa" w:w="158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60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集合的定义</w:t>
            </w:r>
          </w:p>
        </w:tc>
        <w:tc>
          <w:tcPr>
            <w:tcW w:type="dxa" w:w="3175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关键机制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CellPLM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一张切片内的 N 个细胞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稀疏矩阵乘得细胞向量；4 层 Flowformer；16 分量高斯混合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基因关系被压平；需切片上下文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State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256 个对照细胞 + 扰动条件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SE 学表征（1.67 亿细胞）、ST 学变换（1 亿扰动细胞）；MMD/能量距离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不做空间；集合丢单细胞分辨率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tGPT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组织内的细胞序列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下一细胞预测，细胞为 token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顺序人为；分辨率下降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Tahoe-x1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药物扰动下的细胞群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每细胞 1,024 token；大规模药物×细胞系矩阵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依赖 Tahoe-100M 数据；泛化待验证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D 类的共同天花板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集合级目标天然牺牲单细胞分辨率：它能告诉你“扰动后这群细胞整体往哪走”，但不能告诉你“某一个细胞会怎样”。前者对药物筛选够用，后者对精准医学不够。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3.6　</w:t>
      </w:r>
      <w:r>
        <w:rPr>
          <w:rFonts w:ascii="微软雅黑" w:hAnsi="微软雅黑" w:eastAsia="微软雅黑" w:cs="微软雅黑"/>
          <w:b/>
          <w:color w:val="2E5C8A"/>
          <w:sz w:val="27"/>
        </w:rPr>
        <w:t>E 类　状态分布模型：学分布，不学点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E 类是 2025–2026 年最新、也最值得关注的一类。它不把细胞当成一个点，而把细胞状态当成一个分布，把扰动当成分布之间的变换。学习信号不再是“重建这个细胞”，而是“把起始分布搬运到终止分布”：扩散模型学去噪路径，流匹配学速度场，JEPA 在隐空间预测另一视角的表示。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这批模型的共同主张是：单细胞观测里的异质性 H 与技术噪声 ε 不应该被拟合，而应该被边缘化。只要预测出的分布与真实分布接近，H 就被保留而不是被抹平。这是对 P2 与 P9 的直接回应，也是对“逐细胞 MSE”的正面否定。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20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E 类的四条路线</w:t>
      </w:r>
    </w:p>
    <w:tbl>
      <w:tblPr>
        <w:tblW w:type="dxa" w:w="9183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587"/>
        <w:gridCol w:w="2721"/>
        <w:gridCol w:w="3061"/>
        <w:gridCol w:w="1814"/>
      </w:tblGrid>
      <w:tr>
        <w:trPr>
          <w:cantSplit w:val="true"/>
          <w:tblHeader w:val="true"/>
        </w:trPr>
        <w:tc>
          <w:tcPr>
            <w:tcW w:type="dxa" w:w="158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72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生成机制</w:t>
            </w:r>
          </w:p>
        </w:tc>
        <w:tc>
          <w:tcPr>
            <w:tcW w:type="dxa" w:w="306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条件方式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Lingshu-Cell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掩码离散扩散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细胞类型/供体 × 扰动条件；约 18,000 基因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采样慢；预印本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AlphaCell</w:t>
            </w:r>
          </w:p>
        </w:tc>
        <w:tc>
          <w:tcPr>
            <w:tcW w:type="dxa" w:w="272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最优传输条件流匹配（OT-CFM）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全基因 → 32×128 隐流形 → 1.2B 解码器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解码器巨大；可解释性弱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CellOS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LLM-JEPA 双视角联合嵌入预测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表达视角 + 群体感知视角；12B MoE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厂商口径；未开源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scDifformer</w:t>
            </w:r>
          </w:p>
        </w:tc>
        <w:tc>
          <w:tcPr>
            <w:tcW w:type="dxa" w:w="272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预训练 + 扩散后训练 + 微调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把扩散作为后训练阶段，不换主干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细节披露有限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E 类的共同天花板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评测还没跟上。现有基准大多用 MSE/Pearson 打点预测，而 E 类输出的是分布；用点指标评分布模型，等于用尺子量温度。Cell_Eval 与 VCC 是少数尝试，但仍不成熟。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3.7　</w:t>
      </w:r>
      <w:r>
        <w:rPr>
          <w:rFonts w:ascii="微软雅黑" w:hAnsi="微软雅黑" w:eastAsia="微软雅黑" w:cs="微软雅黑"/>
          <w:b/>
          <w:color w:val="2E5C8A"/>
          <w:sz w:val="27"/>
        </w:rPr>
        <w:t>F 类　语言接口模型：把细胞翻译成人话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F 类不追求“更好的细胞表示”，而追求“细胞与语言的共用坐标系”。两条路径：一条把细胞序列化成基因名文本，直接交给 LLM（Cell2Sentence）；另一条用对比学习把表达谱与文本描述对齐（CellWhisperer、LangCell）。GenePT 是极端案例：不训练任何表达模型，只用 ChatGPT 给基因描述做嵌入，再把细胞表示为基因嵌入的加权和。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它的价值在冷启动与可解释性：用户可以用自然语言查询细胞、给 UMAP 上色、零样本注释新类型。代价是定量精度——文本塔读到的是“描述”，不是“计数”；对比学习能对齐语义，但不能恢复幅值。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21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F 类的四种写法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2494"/>
        <w:gridCol w:w="3175"/>
        <w:gridCol w:w="1814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49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3175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关键机制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Cell2Sentence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细胞 → 基因名句子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按表达排序的基因名序列，微调 GPT-2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丢幅值；长序列；基因名分词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GenePT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基因 → 文本嵌入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ChatGPT 描述嵌入，细胞为加权和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不学表达；文本质量决定上限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LangCell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细胞 ↔ 文本对比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细胞-文本配对预训练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配对数据稀缺；语义对齐≠定量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CellWhisperer</w:t>
            </w:r>
          </w:p>
        </w:tc>
        <w:tc>
          <w:tcPr>
            <w:tcW w:type="dxa" w:w="249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检索 / 对话</w:t>
            </w:r>
          </w:p>
        </w:tc>
        <w:tc>
          <w:tcPr>
            <w:tcW w:type="dxa" w:w="317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Geneformer 冻结 + BioBERT；108 万对；2,048 维共享空间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caption 噪声；检索不是生成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F 类的共同天花板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语言能表达“这是什么细胞”，但很难表达“表达量是多少、扰动后变化多少”。它最适合做入口（检索、注释、解释），不适合做定量预测的终点。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3.8　</w:t>
      </w:r>
      <w:r>
        <w:rPr>
          <w:rFonts w:ascii="微软雅黑" w:hAnsi="微软雅黑" w:eastAsia="微软雅黑" w:cs="微软雅黑"/>
          <w:b/>
          <w:color w:val="2E5C8A"/>
          <w:sz w:val="27"/>
        </w:rPr>
        <w:t>主干是正交维度：能读多长、多快，不决定学什么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把主干单列，是因为它经常被误当成分类依据。事实上，主干只回答三个工程问题：能读多长的序列、每层多贵、能不能并行。它不改变学习信号，因此也不改变模型的失败模式。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22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六种主干：复杂度、使用者与代价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1134"/>
        <w:gridCol w:w="2948"/>
        <w:gridCol w:w="1587"/>
        <w:gridCol w:w="1587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主干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复杂度</w:t>
            </w:r>
          </w:p>
        </w:tc>
        <w:tc>
          <w:tcPr>
            <w:tcW w:type="dxa" w:w="294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代表模型</w:t>
            </w:r>
          </w:p>
        </w:tc>
        <w:tc>
          <w:tcPr>
            <w:tcW w:type="dxa" w:w="158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158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标准 Transformer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O(N²)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Geneformer、scGPT、TranscriptFormer、GeneCompass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生态成熟、表达力强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2,048 token 已接近显存上限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Performer（FAVOR+）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O(N)</w:t>
            </w:r>
          </w:p>
        </w:tc>
        <w:tc>
          <w:tcPr>
            <w:tcW w:type="dxa" w:w="294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scBERT、scFoundation、CellVQ 解码器</w:t>
            </w:r>
          </w:p>
        </w:tc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可读 1.9 万基因全长</w:t>
            </w:r>
          </w:p>
        </w:tc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核近似误差；数值不稳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RetNet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O(N)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CellFM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线性注意力 + 并行训练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门控核需调参；生态少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Mamba / SSM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O(N)</w:t>
            </w:r>
          </w:p>
        </w:tc>
        <w:tc>
          <w:tcPr>
            <w:tcW w:type="dxa" w:w="294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RegFormer、AlphaCell</w:t>
            </w:r>
          </w:p>
        </w:tc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长序列、显存友好</w:t>
            </w:r>
          </w:p>
        </w:tc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选择性扫描实现复杂；长程依赖弱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Flowformer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O(N)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CellPLM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切片内上万细胞可行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近似注意力；实现少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扩散 / 流匹配网络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O(T·N)</w:t>
            </w:r>
          </w:p>
        </w:tc>
        <w:tc>
          <w:tcPr>
            <w:tcW w:type="dxa" w:w="294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Lingshu-Cell、AlphaCell、scDifformer</w:t>
            </w:r>
          </w:p>
        </w:tc>
        <w:tc>
          <w:tcPr>
            <w:tcW w:type="dxa" w:w="158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建模分布与转移</w:t>
            </w:r>
          </w:p>
        </w:tc>
        <w:tc>
          <w:tcPr>
            <w:tcW w:type="dxa" w:w="158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采样慢；训练不稳定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3.9　</w:t>
      </w:r>
      <w:r>
        <w:rPr>
          <w:rFonts w:ascii="微软雅黑" w:hAnsi="微软雅黑" w:eastAsia="微软雅黑" w:cs="微软雅黑"/>
          <w:b/>
          <w:color w:val="2E5C8A"/>
          <w:sz w:val="27"/>
        </w:rPr>
        <w:t>混血与边界：分类是为了预测代价，不是为了贴标签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现实中的模型经常跨类。RegFormer 是 A 类的目标（掩码基因建模）加 Mamba 主干；CAPTAIN 是 C 类的编解码加跨模态注意力；scGPT 是 B 类的生成目标加块状掩码；CellVQ 是 C 类的自编码器加离散瓶颈；State 是 D 类的集合编码加 E 类的分布损失。把它们硬塞进一个格子，会丢失最重要的信息。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本报告的处理方式是：</w:t>
      </w:r>
      <w:r>
        <w:rPr>
          <w:rFonts w:ascii="Times New Roman" w:hAnsi="Times New Roman" w:eastAsia="宋体" w:cs="Times New Roman"/>
          <w:b/>
          <w:color w:val="22303F"/>
          <w:sz w:val="21"/>
        </w:rPr>
        <w:t>按“主要目标”归类，按“机制”标注混血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。分类的作用是让你在拿到一个新模型时，先问三个问题：它的第一性对象是什么？它的损失在奖励什么？它的结构性代价是什么？三个问题答完，你不需要读完整篇论文，就能判断它适不适合你的任务。</w:t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一个反例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把 CellVQ 归为“生成模型”是常见的误读。它的主目标是“把细胞压成可检索的码字”，生成只是解码器的副产物；它的 73% 参数花在 GO 本体矩阵上，说明它本质上是“本体先验 + 量化检索”。归类错了，代价就会估错。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pageBreakBefore/>
        <w:spacing w:before="40" w:after="80"/>
        <w:ind w:firstLine="0"/>
      </w:pPr>
      <w:r>
        <w:rPr>
          <w:rFonts w:ascii="微软雅黑" w:hAnsi="微软雅黑" w:eastAsia="微软雅黑" w:cs="微软雅黑"/>
          <w:b/>
          <w:color w:val="C0803A"/>
          <w:sz w:val="20"/>
        </w:rPr>
        <w:t>第 4 章</w:t>
      </w:r>
    </w:p>
    <w:p>
      <w:pPr>
        <w:keepNext/>
        <w:pBdr>
          <w:bottom w:val="single" w:sz="6" w:space="6" w:color="C9D2DE"/>
        </w:pBdr>
        <w:spacing w:before="0" w:after="240"/>
        <w:ind w:firstLine="0"/>
      </w:pPr>
      <w:r>
        <w:rPr>
          <w:rFonts w:ascii="微软雅黑" w:hAnsi="微软雅黑" w:eastAsia="微软雅黑" w:cs="微软雅黑"/>
          <w:b/>
          <w:color w:val="1F3A5F"/>
          <w:sz w:val="38"/>
        </w:rPr>
        <w:t>逐模型：独特之处与代价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这一章不重复论文摘要，只回答一个问题：这个模型做了什么别人没做的事，为此付出了什么代价。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先给速查表。表中的“语料”与“参数”尽量采用论文或官方模型卡的口径；不同论文的细胞计数方式不同（是否去重、是否质控后、是否含多物种），跨行比较只作数量级参考。许可一栏区分代码许可与权重许可，二者不一致时以更严格者为准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23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二十七款单细胞大模型速查表</w:t>
      </w:r>
    </w:p>
    <w:tbl>
      <w:tblPr>
        <w:tblW w:type="dxa" w:w="9127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616"/>
        <w:gridCol w:w="397"/>
        <w:gridCol w:w="680"/>
        <w:gridCol w:w="1559"/>
        <w:gridCol w:w="1814"/>
        <w:gridCol w:w="1077"/>
        <w:gridCol w:w="935"/>
        <w:gridCol w:w="1049"/>
      </w:tblGrid>
      <w:tr>
        <w:trPr>
          <w:cantSplit w:val="true"/>
          <w:tblHeader w:val="true"/>
        </w:trPr>
        <w:tc>
          <w:tcPr>
            <w:tcW w:type="dxa" w:w="1616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397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类</w:t>
            </w:r>
          </w:p>
        </w:tc>
        <w:tc>
          <w:tcPr>
            <w:tcW w:type="dxa" w:w="680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首曝</w:t>
            </w:r>
          </w:p>
        </w:tc>
        <w:tc>
          <w:tcPr>
            <w:tcW w:type="dxa" w:w="1559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机构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预训练语料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935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模态</w:t>
            </w:r>
          </w:p>
        </w:tc>
        <w:tc>
          <w:tcPr>
            <w:tcW w:type="dxa" w:w="1049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许可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scBERT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2021.12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腾讯 AI Lab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110 万（PanglaoDB）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GPL-3.0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Geneformer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2022.08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Gladstone/UCSF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2,990 万（V2 9,500 万）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10M / 106M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开源*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scGPT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B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2023.04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多伦多/Vector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1,030 万（全量 3,300 万）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53M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RNA+ATAC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MIT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scFoundation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C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2023.05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清华/百图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5,000 万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100M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Apache-2.0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UCE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2023.11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Stanford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3,600 万 / 8 物种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650M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MIT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xTrimoGene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C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2023.11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百图/清华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&gt;5,000 万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API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Cell2Sentence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F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2023.09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Princeton 等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GPT-2 级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RNA+文本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开源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GenePT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F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2023.09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Stanford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无需训练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0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RNA+文本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开源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scMulan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B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2024.01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清华大学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约 1,000 万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368.8M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CC BY-NC-ND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CellPLM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D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2024.03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MSU 等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1,140 万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82.4M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RNA+空间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BSD-2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scPRINT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2024.05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Mila 等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5,408 万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2M–100M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GPL-3.0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Nicheformer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2024.07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Helmholtz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1.1 亿（5,700 万解离）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49.3M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RNA+空间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BSD-3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GeneCompass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2024.10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中科院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1.0177 亿（人+鼠）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&gt;100M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无许可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TranscriptFormer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B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2025.04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CZI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1.12 亿 / 12 物种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444M 可训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MIT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CellFM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2025.05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中山大学/华为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1.02 亿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800M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Other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State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D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2025.06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Arc Institute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1.67 亿 + 1 亿扰动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RNA+扰动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非商用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Tahoe-x1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D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2025.12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Tahoe Therapeutics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9,560 万（Tahoe-100M）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RNA+扰动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Apache-2.0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CellVQ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C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2025.11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华大研究院等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6,800 万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511M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见论文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CellWhisperer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F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2025.11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CeMM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108 万对（RNA-文本）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RNA+文本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LangCell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F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2024.05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清华等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—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—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RNA+文本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开源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AlphaCell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E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2026.03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同济 DELTA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1.2B 解码器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预印本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CAPTAIN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C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2026.05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湖南大学等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426 万（CITE-seq）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RNA+蛋白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见论文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RegFormer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A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2026.06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华大研究院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2,500 万 / 45 组织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见论文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scDifformer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E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2026.07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之江/华大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RNA+空间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CC BY-NC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CellOS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E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2026.07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百曜科技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3.905 亿（厂商口径）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12B MoE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未开源</w:t>
            </w:r>
          </w:p>
        </w:tc>
      </w:tr>
      <w:tr>
        <w:trPr>
          <w:cantSplit w:val="true"/>
        </w:trPr>
        <w:tc>
          <w:tcPr>
            <w:tcW w:type="dxa" w:w="161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Lingshu-Cell</w:t>
            </w:r>
          </w:p>
        </w:tc>
        <w:tc>
          <w:tcPr>
            <w:tcW w:type="dxa" w:w="39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E</w:t>
            </w:r>
          </w:p>
        </w:tc>
        <w:tc>
          <w:tcPr>
            <w:tcW w:type="dxa" w:w="680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2026.08</w:t>
            </w:r>
          </w:p>
        </w:tc>
        <w:tc>
          <w:tcPr>
            <w:tcW w:type="dxa" w:w="155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阿里达摩院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107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935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预印本</w:t>
            </w:r>
          </w:p>
        </w:tc>
      </w:tr>
      <w:tr>
        <w:trPr>
          <w:cantSplit w:val="true"/>
        </w:trPr>
        <w:tc>
          <w:tcPr>
            <w:tcW w:type="dxa" w:w="161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4"/>
              </w:rPr>
              <w:t>tGPT</w:t>
            </w:r>
          </w:p>
        </w:tc>
        <w:tc>
          <w:tcPr>
            <w:tcW w:type="dxa" w:w="397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D</w:t>
            </w:r>
          </w:p>
        </w:tc>
        <w:tc>
          <w:tcPr>
            <w:tcW w:type="dxa" w:w="680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2022</w:t>
            </w:r>
          </w:p>
        </w:tc>
        <w:tc>
          <w:tcPr>
            <w:tcW w:type="dxa" w:w="155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同济大学</w:t>
            </w:r>
          </w:p>
        </w:tc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2,200 万</w:t>
            </w:r>
          </w:p>
        </w:tc>
        <w:tc>
          <w:tcPr>
            <w:tcW w:type="dxa" w:w="1077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未公开</w:t>
            </w:r>
          </w:p>
        </w:tc>
        <w:tc>
          <w:tcPr>
            <w:tcW w:type="dxa" w:w="935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RNA</w:t>
            </w:r>
          </w:p>
        </w:tc>
        <w:tc>
          <w:tcPr>
            <w:tcW w:type="dxa" w:w="1049"/>
            <w:vAlign w:val="center"/>
          </w:tcPr>
          <w:p>
            <w:pPr>
              <w:spacing w:after="0" w:line="293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4"/>
              </w:rPr>
              <w:t>开源</w:t>
            </w:r>
          </w:p>
        </w:tc>
      </w:tr>
    </w:tbl>
    <w:p>
      <w:pPr>
        <w:spacing w:before="40" w:after="200" w:line="312" w:lineRule="auto"/>
        <w:ind w:firstLine="0"/>
      </w:pPr>
      <w:r>
        <w:rPr>
          <w:rFonts w:ascii="Times New Roman" w:hAnsi="Times New Roman" w:eastAsia="宋体" w:cs="Times New Roman"/>
          <w:b w:val="0"/>
          <w:color w:val="8A94A6"/>
          <w:sz w:val="15"/>
        </w:rPr>
        <w:t>注：* Geneformer 的代码与权重许可在不同版本中不完全一致，商用前需逐一核对。“无许可”指仓库中没有 LICENSE 文件，法律上默认保留所有权利。未公开项标注“未公开”，未做推测。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77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7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12" w:lineRule="auto"/>
        <w:ind w:firstLine="0"/>
        <w:jc w:val="center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图 4　</w:t>
      </w:r>
      <w:r>
        <w:rPr>
          <w:rFonts w:ascii="Times New Roman" w:hAnsi="Times New Roman" w:eastAsia="宋体" w:cs="Times New Roman"/>
          <w:b w:val="0"/>
          <w:color w:val="5D6B7A"/>
          <w:sz w:val="17"/>
        </w:rPr>
        <w:t>六个大类的时间分布：2026 年的新增几乎都在 E 类（状态分布）</w:t>
      </w:r>
    </w:p>
    <w:p>
      <w:pPr>
        <w:spacing w:after="200" w:line="30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color w:val="8A94A6"/>
          <w:sz w:val="15"/>
        </w:rPr>
        <w:t xml:space="preserve">　　按首次公开时间近似归位；每个圆点是一个模型，标注的是各阶段代表。完整规格见上表。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4.1　</w:t>
      </w:r>
      <w:r>
        <w:rPr>
          <w:rFonts w:ascii="微软雅黑" w:hAnsi="微软雅黑" w:eastAsia="微软雅黑" w:cs="微软雅黑"/>
          <w:b/>
          <w:color w:val="2E5C8A"/>
          <w:sz w:val="27"/>
        </w:rPr>
        <w:t>A 类：八个模型的独特之处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4.1.1　</w:t>
      </w:r>
      <w:r>
        <w:rPr>
          <w:rFonts w:ascii="微软雅黑" w:hAnsi="微软雅黑" w:eastAsia="微软雅黑" w:cs="微软雅黑"/>
          <w:b/>
          <w:color w:val="22303F"/>
          <w:sz w:val="22"/>
        </w:rPr>
        <w:t>scBERT：第一个把 BERT 搬到转录组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：用 gene2vec 的基因身份向量替代 BERT 的位置编码。这个替换很聪明——基因没有顺序，但基因之间有功能相似性，gene2vec 恰好提供了“相对位置”。序列长达 16,907 个位置，标准注意力装不下，于是用 Performer 的线性注意力（FAVOR+）把 O(N²) 降到 O(N)。预训练只遮非零表达（15%），避免模型把“零”学成默认答案。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：200 维的模型宽度是被 gene2vec 的维度定死的，容量偏小；词表固定为 16,906 个基因；Performer 的核近似有误差。后续评测显示，PBMC 上 L1 逻辑回归在 accuracy 与 macro-F1 上都胜过它，去掉预训练也没有统计差异。它的历史意义大于实用价值。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4.1.2　</w:t>
      </w:r>
      <w:r>
        <w:rPr>
          <w:rFonts w:ascii="微软雅黑" w:hAnsi="微软雅黑" w:eastAsia="微软雅黑" w:cs="微软雅黑"/>
          <w:b/>
          <w:color w:val="22303F"/>
          <w:sz w:val="22"/>
        </w:rPr>
        <w:t>Geneformer：用“排行榜”代替表达值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：rank value encoding。先把每个细胞的总计数拉到 10,000，再逐基因除以它在 3,000 万细胞里的中位表达，最后只取非零基因、按数值降序排成 2,048 个 token。除中位表达这一步是关键：它把 ubiquitously 高表达的管家基因压到后面，把“平时不表达、一旦表达就决定身份”的转录因子顶到前面。模型只有 6 层、4 头、256 维、约 1,000 万参数——刻意做小，以匹配数据规模。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：绝对幅值完全丢失，两个排序相同的细胞得到同一条序列；dropout 掉一个计数会让整条排名平移；2,048 截断会切掉 7% 细胞的尾部。它的 in silico 扰动（删基因、改秩次）是相关性推断，不是因果。但在数据稀缺的网络生物学任务上，它是第一个证明“迁移学习有效”的模型。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4.1.3　</w:t>
      </w:r>
      <w:r>
        <w:rPr>
          <w:rFonts w:ascii="微软雅黑" w:hAnsi="微软雅黑" w:eastAsia="微软雅黑" w:cs="微软雅黑"/>
          <w:b/>
          <w:color w:val="22303F"/>
          <w:sz w:val="22"/>
        </w:rPr>
        <w:t>GeneCompass：把四类生物先验拼进输入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：五路拼接再投影，而不是逐元素相加。每个基因位置把基因 ID（768 维）、表达值（1 维）、GRN 嵌入（768）、启动子嵌入（768）、基因家族嵌入（768）、共表达嵌入（768）沿特征维拼成 3,841 维，再投影回 768。拼接保留了“这一维来自哪一路”的身份，代价是首层参数从 768² 涨到 3,841×768。跨物种用同源索引：鼠基因先映射到人同源 ID，再查同一套知识表；物种 token 放在第 0 位。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：知识质量决定上限；只有人和鼠两个物种；仓库无 LICENSE，商用有法律风险。但它是少数做了湿实验闭环的模型——用预测的候选基因诱导 hESC 向生殖腺方向分化，这在这类论文里并不常见。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4.1.4　</w:t>
      </w:r>
      <w:r>
        <w:rPr>
          <w:rFonts w:ascii="微软雅黑" w:hAnsi="微软雅黑" w:eastAsia="微软雅黑" w:cs="微软雅黑"/>
          <w:b/>
          <w:color w:val="22303F"/>
          <w:sz w:val="22"/>
        </w:rPr>
        <w:t>Nicheformer：同时学解离与空间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：在排序前多除一次“技术特异的非零均值”——每个基因在同类技术里的平均非零表达。空间数据的 panel 小、预处理不同，若用全局均值，平台差异会被当成生物学差异写进排名。序列前加三个上下文 token（物种、技术、模态），并用可学习的位置嵌入（因为名次本身携带强度语义）。预训练 1.1 亿细胞，其中 5,300 万是空间细胞。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：空间数据以 targeted panel 为主，不等于所有空间平台；空间标签覆盖有限；排序仍丢幅值。它的价值在于证明“只在解离数据上训练的模型学不会空间微环境”，并展示把空间信息迁移回普通 scRNA-seq 的路径。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4.1.5　</w:t>
      </w:r>
      <w:r>
        <w:rPr>
          <w:rFonts w:ascii="微软雅黑" w:hAnsi="微软雅黑" w:eastAsia="微软雅黑" w:cs="微软雅黑"/>
          <w:b/>
          <w:color w:val="22303F"/>
          <w:sz w:val="22"/>
        </w:rPr>
        <w:t>UCE：没有基因词表的通用嵌入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：基因身份来自 ESM-2 蛋白嵌入（5,120 维压到 1,280），不是学出来的词表。细胞表示是“按表达量加权、有放回抽 1,024 个基因”的多重集，再按染色体分组、组内按基因组位置排序，加上染色体起止 token 与 CLS。因为基因身份由蛋白序列决定，新物种只要有氨基酸序列就能嵌入——这是它零样本跨物种的根本原因。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：每次抽样都不同，复现需固定种子；145,469×5,120 的嵌入表要常驻显存；预训练目标是“表达/不表达”二分类，定量信息被压掉。它是“通用坐标系”的最佳代表，但不是定量任务的最佳选择。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4.1.6　</w:t>
      </w:r>
      <w:r>
        <w:rPr>
          <w:rFonts w:ascii="微软雅黑" w:hAnsi="微软雅黑" w:eastAsia="微软雅黑" w:cs="微软雅黑"/>
          <w:b/>
          <w:color w:val="22303F"/>
          <w:sz w:val="22"/>
        </w:rPr>
        <w:t>CellFM：8 亿参数的国产算力路线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：用 RetNet 的线性注意力替代标准 Transformer，40 层、48 头、1,536 维，序列 2,048 个基因 + CLS；每个位置只带基因 ID 与一个连续标量，标量过 MLP 投到 1,536 维，不再分箱。训练在 MindSpore + 32 张昇腾 910 上完成，是“非 NVIDIA 栈”的少数公开案例。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：单物种（人类）；800M 参数与下游增益之间没有解耦证据；许可标注为“Other”，商用需逐一确认。它的意义更多在工程侧——证明国产算力可以训练亿级参数的单细胞模型。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4.1.7　</w:t>
      </w:r>
      <w:r>
        <w:rPr>
          <w:rFonts w:ascii="微软雅黑" w:hAnsi="微软雅黑" w:eastAsia="微软雅黑" w:cs="微软雅黑"/>
          <w:b/>
          <w:color w:val="22303F"/>
          <w:sz w:val="22"/>
        </w:rPr>
        <w:t>scPRINT：把基因网络当作第一目标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：输出端不是重建值，而是每个基因的 ZINB 参数（μ、θ、π）；训练不是遮 token，而是用泊松下采样 + dropout 重新模拟一次测序，让模型学“从稀疏还原稠密”。基因 token 由三路相加：ESM-2 蛋白嵌入、表达量 MLP、基因组位置正弦编码。注意力矩阵直接当作基因网络输出，并用公开 GRN 基准评测。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：2,200 个基因的上下文上限；80B token 的训练成本不低；注意力是否等于调控仍有争议。但它是少数把“可解释输出”当成主任务而不是副产品的模型。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4.1.8　</w:t>
      </w:r>
      <w:r>
        <w:rPr>
          <w:rFonts w:ascii="微软雅黑" w:hAnsi="微软雅黑" w:eastAsia="微软雅黑" w:cs="微软雅黑"/>
          <w:b/>
          <w:color w:val="22303F"/>
          <w:sz w:val="22"/>
        </w:rPr>
        <w:t>RegFormer：GRN 引导的基因排序 + Mamba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：用基因调控层级决定基因顺序，把“谁调控谁”变成序列先验；双嵌入（表达值 + 基因 token）后接 Mamba 状态空间，把长基因序列的复杂度降到线性。2,500 万人类细胞、45 种组织，任务覆盖聚类、整合、注释、GRN 重建、扰动与药敏。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：人类单物种；GRN 先验的质量决定上限；2026 年新刊，独立复现还少，“全面优于”是作者口径。它代表了“先验结构化”这条路线在 2026 年的最新形态。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4.2　</w:t>
      </w:r>
      <w:r>
        <w:rPr>
          <w:rFonts w:ascii="微软雅黑" w:hAnsi="微软雅黑" w:eastAsia="微软雅黑" w:cs="微软雅黑"/>
          <w:b/>
          <w:color w:val="2E5C8A"/>
          <w:sz w:val="27"/>
        </w:rPr>
        <w:t>B 类：三个模型的独特之处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4.2.1　</w:t>
      </w:r>
      <w:r>
        <w:rPr>
          <w:rFonts w:ascii="微软雅黑" w:hAnsi="微软雅黑" w:eastAsia="微软雅黑" w:cs="微软雅黑"/>
          <w:b/>
          <w:color w:val="22303F"/>
          <w:sz w:val="22"/>
        </w:rPr>
        <w:t>scGPT：块状掩码让“敲除”变成一次前向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：注意力掩码不是 GPT 的因果掩码，也不是 BERT 的随机遮挡，而是按“CLS / 已知基因 / 待预测基因”分组的块状掩码：待预测基因只能看 CLS 与已知基因，已知基因之间互相可见。于是“预测未知”变成“用已知外推未知”，而不是“抄自己”。这解释了它为什么能做扰动预测——把被敲掉的基因设为未知即可。预训练目标是 GEP（掩码值预测）+ GEPC（细胞级对比）+ ECS（条件重构），条件 token 把批次与模态加到每个位置。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：每个细胞的分箱边界不同，“bin 3”在不同数据集里含义不同；1,200 个 HVG 限制了基因覆盖；zero-shot 在多项独立评测中不敌简单基线。它仍是生态最完整的模型之一（教程、微调 recipe、社区），但“基础模型”的光环需要打折。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4.2.2　</w:t>
      </w:r>
      <w:r>
        <w:rPr>
          <w:rFonts w:ascii="微软雅黑" w:hAnsi="微软雅黑" w:eastAsia="微软雅黑" w:cs="微软雅黑"/>
          <w:b/>
          <w:color w:val="22303F"/>
          <w:sz w:val="22"/>
        </w:rPr>
        <w:t>TranscriptFormer：用计数分布做跨物种生成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：自回归分解为“先选基因、再定计数”：p(g_j, c_j | 前序)，输出基因 softmax 头与零截断泊松（ZTP）头。计数不是被动输入，而是进入注意力分数：score + log1p(count)，并用 tanh 软截断防止超高表达基因主导 softmax。基因身份用冻结的 ESM-2 蛋白嵌入，词表 247,388 个基因，覆盖 12 个物种、15.3 亿年进化跨度。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：247k 输出头很宽；自回归推理慢；随机排列意味着同一表达谱有多种写法，训练必须靠打乱让模型对排列不敏感。它是目前“生成式 + 跨物种”结合得最好的模型，也是最贵的之一。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4.2.3　</w:t>
      </w:r>
      <w:r>
        <w:rPr>
          <w:rFonts w:ascii="微软雅黑" w:hAnsi="微软雅黑" w:eastAsia="微软雅黑" w:cs="微软雅黑"/>
          <w:b/>
          <w:color w:val="22303F"/>
          <w:sz w:val="22"/>
        </w:rPr>
        <w:t>scMulan：元数据也是一句话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：把细胞写成“（实体, 数值）二元组”的句子：基因词是（基因名, 1–10 档表达量），元数据词是（器官/细胞类型/性别/平台, 0），任务词是（&lt;cell type annotation&gt;, 0）。模型是 decoder-only、无位置编码、句内随机打乱；输出端两个头：EP 判断“下一个实体是谁”，VP 给每个候选实体一个连续数值。改句尾的任务词，就切换注释、整合、生成。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：10 档离散表达值损失精度；decoder-only 在长句子上成本高；预印本，1,000 万细胞在今天不算大。但它是“元数据感知 + 多任务提示”这条路线最完整的实现。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4.3　</w:t>
      </w:r>
      <w:r>
        <w:rPr>
          <w:rFonts w:ascii="微软雅黑" w:hAnsi="微软雅黑" w:eastAsia="微软雅黑" w:cs="微软雅黑"/>
          <w:b/>
          <w:color w:val="2E5C8A"/>
          <w:sz w:val="27"/>
        </w:rPr>
        <w:t>C 类：四个模型的独特之处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4.3.1　</w:t>
      </w:r>
      <w:r>
        <w:rPr>
          <w:rFonts w:ascii="微软雅黑" w:hAnsi="微软雅黑" w:eastAsia="微软雅黑" w:cs="微软雅黑"/>
          <w:b/>
          <w:color w:val="22303F"/>
          <w:sz w:val="22"/>
        </w:rPr>
        <w:t>scFoundation：把 90% 的零挡在编码器外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：非对称编解码。编码器只接收“非零且未被遮”的位置（约全长的 10%），解码器接收全部 19,266 个位置（19,264 基因 + T/S 两个深度 token）。表达值用可学习的软分箱：标量先过 Linear(1→bin_num)、LeakyReLU、再过一个线性层，softmax 成权重，与桶向量表加权求和——没有硬边界。位置嵌入 19,267×512，损失只在被遮的 30% 位置上按 MSE 计算。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：固定 19,264 个人类基因；MSE 被高表达基因主导；RDA 的深度缩放因子是超参。它的 scaling law 是预训练损失层面的，不能直接推下游。但“非对称稀疏”这个设计非常务实，后续不少模型沿用。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4.3.2　</w:t>
      </w:r>
      <w:r>
        <w:rPr>
          <w:rFonts w:ascii="微软雅黑" w:hAnsi="微软雅黑" w:eastAsia="微软雅黑" w:cs="微软雅黑"/>
          <w:b/>
          <w:color w:val="22303F"/>
          <w:sz w:val="22"/>
        </w:rPr>
        <w:t>xTrimoGene：把稀疏性做成商业 API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：与 scFoundation 同源的非对称思路，但更早把“稀疏编码 + 读深感知”产品化，通过 BioMap API 提供扰动、药敏、注释服务，不开源。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：不可审计、不可本地部署；技术细节披露有限。它代表了“模型即服务”的路线，在药企场景有现实需求，但对学术复现不友好。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4.3.3　</w:t>
      </w:r>
      <w:r>
        <w:rPr>
          <w:rFonts w:ascii="微软雅黑" w:hAnsi="微软雅黑" w:eastAsia="微软雅黑" w:cs="微软雅黑"/>
          <w:b/>
          <w:color w:val="22303F"/>
          <w:sz w:val="22"/>
        </w:rPr>
        <w:t>CellVQ：把一个细胞压成一个整数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：12 层 Transformer 编码 + 6 层 Performer 解码，SoftCVQ 把细胞压成 2^16 码本里的一个码字（32 维），同时输出 831 种细胞类型、377 种组织、150 种疾病等属性。位置先验不是外部 GO 矩阵，而是一张 19,266×19,266 的可训练单位阵——这张表本身就有 3.71 亿参数，占总参数的 73%。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：32 维瓶颈限制了表达细节；码本坍塌风险；参数效率极低。它的价值在于“细胞级离散码”这个接口——一旦细胞变成整数，就可以像词一样被检索、被语言模型消费。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4.3.4　</w:t>
      </w:r>
      <w:r>
        <w:rPr>
          <w:rFonts w:ascii="微软雅黑" w:hAnsi="微软雅黑" w:eastAsia="微软雅黑" w:cs="微软雅黑"/>
          <w:b/>
          <w:color w:val="22303F"/>
          <w:sz w:val="22"/>
        </w:rPr>
        <w:t>CAPTAIN：让蛋白去“读”RNA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：交叉注意力的方向是这张图的灵魂：蛋白 token 是 query，RNA 嵌入是 key/value。每个蛋白根据自己的 token 向量，去 3,001 个基因位置里加权取信息；输出是每个蛋白的丰度与四个分位点（0.1/0.25/0.75/0.9），损失权重 0.2/0.6/0.2。RNA 侧从 scGPT 权重初始化，物种用两张独立的 gene2vec 表，训练时人和鼠必须分开组 batch。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：382 种蛋白的面板仍窄；物种写死为 2；蛋白数据远少于 RNA。但它是 CITE-seq 规模化预训练的第一个严肃尝试，把“补全缺失模态”变成了可训练的目标。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4.4　</w:t>
      </w:r>
      <w:r>
        <w:rPr>
          <w:rFonts w:ascii="微软雅黑" w:hAnsi="微软雅黑" w:eastAsia="微软雅黑" w:cs="微软雅黑"/>
          <w:b/>
          <w:color w:val="2E5C8A"/>
          <w:sz w:val="27"/>
        </w:rPr>
        <w:t>D 类：四个模型的独特之处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4.4.1　</w:t>
      </w:r>
      <w:r>
        <w:rPr>
          <w:rFonts w:ascii="微软雅黑" w:hAnsi="微软雅黑" w:eastAsia="微软雅黑" w:cs="微软雅黑"/>
          <w:b/>
          <w:color w:val="22303F"/>
          <w:sz w:val="22"/>
        </w:rPr>
        <w:t>CellPLM：把切片写成一串细胞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：细胞是 token，不是基因。先用稀疏矩阵乘把每个细胞的基因嵌入按表达量加权求和，得到 1,024 维细胞向量；再让 4 层 Flowformer 在同一张切片的 N 个细胞之间做线性复杂度注意力；隐空间是 16 分量高斯混合，批次标签只进解码器。空间转录组用 2D 正弦位置编码，普通 scRNA-seq 用一个共享向量顶上。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：基因间关系在加权求和时被抹平；推理需要切片或邻域；公开代码里位置编码被旁路（pe = 0），与论文不完全一致。它的工程价值很高——推理快、显存友好、适合“冻结嵌入 + 轻量头”。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4.4.2　</w:t>
      </w:r>
      <w:r>
        <w:rPr>
          <w:rFonts w:ascii="微软雅黑" w:hAnsi="微软雅黑" w:eastAsia="微软雅黑" w:cs="微软雅黑"/>
          <w:b/>
          <w:color w:val="22303F"/>
          <w:sz w:val="22"/>
        </w:rPr>
        <w:t>State：预测 256 个细胞，而不是 1 个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：两个模块、两种数据。SE 在 1.67 亿观测细胞上学稳健表征（top 2,048 基因 + CLS + 数据集 token + 10 箱软分箱）；ST 在 1 亿多扰动细胞上学“对照 → 扰动”的变换：256 个对照细胞过 MLP 到 768 维，加上同一个扰动的嵌入，送进 8 层双向 Transformer（无位置编码、无 CLS），损失是集合之间的 MMD/能量距离。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：非商用许可；集合预测丢单细胞分辨率；依赖大规模扰动数据。但它是第一个把“分布级损失”做成主流的模型，也是 VCC 之后最常被引用的扰动基线。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4.4.3　</w:t>
      </w:r>
      <w:r>
        <w:rPr>
          <w:rFonts w:ascii="微软雅黑" w:hAnsi="微软雅黑" w:eastAsia="微软雅黑" w:cs="微软雅黑"/>
          <w:b/>
          <w:color w:val="22303F"/>
          <w:sz w:val="22"/>
        </w:rPr>
        <w:t>tGPT：把细胞当词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：与“基因即词”相反，tGPT 把每个细胞压成一条按表达排序的基因列表，再把细胞序列当作文本做下一细胞预测。它是最早的“细胞级语言模型”，能生成细胞轨迹。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：单细胞分辨率下降；细胞顺序人为；后续基准表现参差。它的历史价值在于提示了一个方向：建模单元可以是细胞，而不必是基因。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4.4.4　</w:t>
      </w:r>
      <w:r>
        <w:rPr>
          <w:rFonts w:ascii="微软雅黑" w:hAnsi="微软雅黑" w:eastAsia="微软雅黑" w:cs="微软雅黑"/>
          <w:b/>
          <w:color w:val="22303F"/>
          <w:sz w:val="22"/>
        </w:rPr>
        <w:t>Tahoe-x1：药物扰动矩阵上的基础模型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：建立在 Tahoe-100M 之上——50 个细胞系混在一孔、加一种药，用孔内条码与单细胞 SNP 两套正交编码拆开，产出 9,560 万细胞 × 62,710 基因、52,886 个“细胞系–药物–剂量”条件。模型把每个细胞写成 1,024 个 token，直接学扰动响应。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：强依赖自有数据；跨实验室泛化待验证；药物与细胞系的覆盖仍有偏。它的价值在于证明“数据生产管线本身就是模型能力的一部分”。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4.5　</w:t>
      </w:r>
      <w:r>
        <w:rPr>
          <w:rFonts w:ascii="微软雅黑" w:hAnsi="微软雅黑" w:eastAsia="微软雅黑" w:cs="微软雅黑"/>
          <w:b/>
          <w:color w:val="2E5C8A"/>
          <w:sz w:val="27"/>
        </w:rPr>
        <w:t>E 类：四个模型的独特之处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4.5.1　</w:t>
      </w:r>
      <w:r>
        <w:rPr>
          <w:rFonts w:ascii="微软雅黑" w:hAnsi="微软雅黑" w:eastAsia="微软雅黑" w:cs="微软雅黑"/>
          <w:b/>
          <w:color w:val="22303F"/>
          <w:sz w:val="22"/>
        </w:rPr>
        <w:t>Lingshu-Cell：把转录组当离散分布去噪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：掩码离散扩散。不预选 HVG，覆盖约 18,000 个基因；训练时把表达谱当作离散 token 加噪、去噪，推理时按“细胞类型/供体 × 扰动”条件生成。它不重建某一个细胞，而是学“这个条件下的表达分布”。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：采样慢；预印本，独立复现少；“VCC 领先”是作者口径。但它是 E 类里最彻底“换目标函数”的一个。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4.5.2　</w:t>
      </w:r>
      <w:r>
        <w:rPr>
          <w:rFonts w:ascii="微软雅黑" w:hAnsi="微软雅黑" w:eastAsia="微软雅黑" w:cs="微软雅黑"/>
          <w:b/>
          <w:color w:val="22303F"/>
          <w:sz w:val="22"/>
        </w:rPr>
        <w:t>AlphaCell：在隐流形上做最优传输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：19,253 个 HGNC 基因全量输入，Mamba + Transformer 压到 32×128 的连续隐流形，再用 OT-CFM（最优传输条件流匹配）建模扰动后的状态演化；1.2B MoE 解码器保证“隐空间任意点都能翻回真实表达谱”。它把自己定位成“世界模型”：学的是状态转移算子。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：解码器巨大；可解释性弱；预印本。它代表了“连续时间生成”这条路线。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4.5.3　</w:t>
      </w:r>
      <w:r>
        <w:rPr>
          <w:rFonts w:ascii="微软雅黑" w:hAnsi="微软雅黑" w:eastAsia="微软雅黑" w:cs="微软雅黑"/>
          <w:b/>
          <w:color w:val="22303F"/>
          <w:sz w:val="22"/>
        </w:rPr>
        <w:t>CellOS：JEPA 的双视角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：不重建输入，而是在隐空间做联合嵌入预测：一个视角是表达谱，另一个是“群体感知”视角，模型学的是两个视角表示之间的一致性。Dense-to-MoE 扩到 12B，语料 3.905 亿细胞（厂商口径）。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：未开源、无独立复现；MoE 推理成本高；Pearson_edist 0.619 对 0.373 的对比是厂商口径。它值得关注的是“JEPA 用于细胞”这个思路，而不是具体数字。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4.5.4　</w:t>
      </w:r>
      <w:r>
        <w:rPr>
          <w:rFonts w:ascii="微软雅黑" w:hAnsi="微软雅黑" w:eastAsia="微软雅黑" w:cs="微软雅黑"/>
          <w:b/>
          <w:color w:val="22303F"/>
          <w:sz w:val="22"/>
        </w:rPr>
        <w:t>scDifformer：把扩散当后训练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：不换主干，而是在预训练之后加一个扩散后训练阶段，再做任务微调。三步范式（预训练—扩散后训练—微调）把扩散的生成能力“嫁接”到已有表征上，同时用于空间反卷积。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：细节披露有限；三步流程的调参复杂度高。但它是“务实改良”的代表——不追求新架构，只改训练流程。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4.6　</w:t>
      </w:r>
      <w:r>
        <w:rPr>
          <w:rFonts w:ascii="微软雅黑" w:hAnsi="微软雅黑" w:eastAsia="微软雅黑" w:cs="微软雅黑"/>
          <w:b/>
          <w:color w:val="2E5C8A"/>
          <w:sz w:val="27"/>
        </w:rPr>
        <w:t>F 类：四个模型的独特之处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4.6.1　</w:t>
      </w:r>
      <w:r>
        <w:rPr>
          <w:rFonts w:ascii="微软雅黑" w:hAnsi="微软雅黑" w:eastAsia="微软雅黑" w:cs="微软雅黑"/>
          <w:b/>
          <w:color w:val="22303F"/>
          <w:sz w:val="22"/>
        </w:rPr>
        <w:t>Cell2Sentence：细胞就是一句话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：把细胞按表达量排序，取前若干基因的</w:t>
      </w:r>
      <w:r>
        <w:rPr>
          <w:rFonts w:ascii="Times New Roman" w:hAnsi="Times New Roman" w:eastAsia="宋体" w:cs="Times New Roman"/>
          <w:b/>
          <w:color w:val="22303F"/>
          <w:sz w:val="21"/>
        </w:rPr>
        <w:t>名字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拼成自然语言句子，直接微调 GPT-2。不需要新词表、不需要改架构，复用 LLM 的语义先验。可用于细胞生成、补全、注释。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：表达幅值丢失；基因名分词不稳定；长序列。它的价值是“零改造”的思路——任何 LLM 都能尝试。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4.6.2　</w:t>
      </w:r>
      <w:r>
        <w:rPr>
          <w:rFonts w:ascii="微软雅黑" w:hAnsi="微软雅黑" w:eastAsia="微软雅黑" w:cs="微软雅黑"/>
          <w:b/>
          <w:color w:val="22303F"/>
          <w:sz w:val="22"/>
        </w:rPr>
        <w:t>GenePT：不训练模型，只问 ChatGPT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：用 ChatGPT 给每个基因的描述做文本嵌入，细胞表示就是基因嵌入按表达的加权和。没有 GPU、没有预训练，却在不少任务上“简单但难打败”。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：完全不学表达感知的表示；文本质量决定上限；无法做生成。它是对“必须训练大模型”这个假设的最有力反例。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4.6.3　</w:t>
      </w:r>
      <w:r>
        <w:rPr>
          <w:rFonts w:ascii="微软雅黑" w:hAnsi="微软雅黑" w:eastAsia="微软雅黑" w:cs="微软雅黑"/>
          <w:b/>
          <w:color w:val="22303F"/>
          <w:sz w:val="22"/>
        </w:rPr>
        <w:t>LangCell：细胞与文本的对比对齐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：细胞-文本配对预训练，用自然语言描述细胞身份，做零样本/文本引导的注释。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：配对数据稀缺；语义对齐不等于定量理解。它属于 F 类里“对齐派”，与 CellWhisperer 同路。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  <w:t xml:space="preserve">4.6.4　</w:t>
      </w:r>
      <w:r>
        <w:rPr>
          <w:rFonts w:ascii="微软雅黑" w:hAnsi="微软雅黑" w:eastAsia="微软雅黑" w:cs="微软雅黑"/>
          <w:b/>
          <w:color w:val="22303F"/>
          <w:sz w:val="22"/>
        </w:rPr>
        <w:t>CellWhisperer：给 UMAP 上色的一句话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独特设计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：CLIP 式双塔：表达谱走 Geneformer（全程冻结），文本走 BioBERT，各接一个适配器压到 2,048 维，用 108 万对“转录组–文本”做对比学习。文本不是原始元数据，而是用 GPT-4 把表格重写成有生物学信息量的句子。检索就是一次点积，所以“用一个词给整张 UMAP 上色”在数学上是余弦相似度。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代价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：caption 由模型生成，元数据缺失时会“补全”，标签噪声从第一天进入监督；检索不是生成；基因表达塔被冻结，无法为对齐调整。但它是“自然语言接口”最落地的实现，零样本检索 AUROC 0.927。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4.7　</w:t>
      </w:r>
      <w:r>
        <w:rPr>
          <w:rFonts w:ascii="微软雅黑" w:hAnsi="微软雅黑" w:eastAsia="微软雅黑" w:cs="微软雅黑"/>
          <w:b/>
          <w:color w:val="2E5C8A"/>
          <w:sz w:val="27"/>
        </w:rPr>
        <w:t>边界之外：五款值得知道的模型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24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未单列但值得关注的模型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2041"/>
        <w:gridCol w:w="5329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04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定位</w:t>
            </w:r>
          </w:p>
        </w:tc>
        <w:tc>
          <w:tcPr>
            <w:tcW w:type="dxa" w:w="5329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SCimilarity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细胞检索</w:t>
            </w:r>
          </w:p>
        </w:tc>
        <w:tc>
          <w:tcPr>
            <w:tcW w:type="dxa" w:w="532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2,340 万细胞、412 项研究的度量学习，跨研究找“相似细胞”，不开箱即用的生成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PULSAR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多细胞组织语境</w:t>
            </w:r>
          </w:p>
        </w:tc>
        <w:tc>
          <w:tcPr>
            <w:tcW w:type="dxa" w:w="532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显式建模 cell–cell interaction 与组织上下文，预印本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Atacformer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scATAC 专用</w:t>
            </w:r>
          </w:p>
        </w:tc>
        <w:tc>
          <w:tcPr>
            <w:tcW w:type="dxa" w:w="532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以 peak 而非基因为 token，覆盖约 1 万个 scATAC 实验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AIDO.Cell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规模化研究</w:t>
            </w:r>
          </w:p>
        </w:tc>
        <w:tc>
          <w:tcPr>
            <w:tcW w:type="dxa" w:w="532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系统研究 300 万–6.5 亿参数与转录组尺度上下文的影响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scPlantLLM</w:t>
            </w:r>
          </w:p>
        </w:tc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植物专用</w:t>
            </w:r>
          </w:p>
        </w:tc>
        <w:tc>
          <w:tcPr>
            <w:tcW w:type="dxa" w:w="532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植物单细胞整合、注释、GRN，说明通用人/鼠模型迁移有限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4.8　</w:t>
      </w:r>
      <w:r>
        <w:rPr>
          <w:rFonts w:ascii="微软雅黑" w:hAnsi="微软雅黑" w:eastAsia="微软雅黑" w:cs="微软雅黑"/>
          <w:b/>
          <w:color w:val="2E5C8A"/>
          <w:sz w:val="27"/>
        </w:rPr>
        <w:t>三个被高估、三个被低估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被高估的三件事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：第一，参数量。8 亿与 1 亿的差别，在下游任务上经常小于超参选择的差别。第二，zero-shot。多项独立评测显示它常常不如 HVG + 逻辑回归，而“零样本”成绩还可能被预训练污染抬高。第三，注意力即解释。注意力权重是路由，不是因果；把它当 GRN 发表，是这三年最常见的过度声明。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被低估的三件事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：第一，tokenizer。同分布评测时换 tokenizer 几乎没差别，一旦跨组织、跨物种、跨 panel、逆扰动，它就成了决定性因素。第二，数据配比与去重。它不产生论文，但决定所有模型的上限。第三，评测协议与强基线。一个诚实的基线表，比一个新架构更能推动领域。</w:t>
      </w:r>
    </w:p>
    <w:p>
      <w:pPr>
        <w:keepNext/>
        <w:pageBreakBefore/>
        <w:spacing w:before="40" w:after="80"/>
        <w:ind w:firstLine="0"/>
      </w:pPr>
      <w:r>
        <w:rPr>
          <w:rFonts w:ascii="微软雅黑" w:hAnsi="微软雅黑" w:eastAsia="微软雅黑" w:cs="微软雅黑"/>
          <w:b/>
          <w:color w:val="C0803A"/>
          <w:sz w:val="20"/>
        </w:rPr>
        <w:t>第 5 章</w:t>
      </w:r>
    </w:p>
    <w:p>
      <w:pPr>
        <w:keepNext/>
        <w:pBdr>
          <w:bottom w:val="single" w:sz="6" w:space="6" w:color="C9D2DE"/>
        </w:pBdr>
        <w:spacing w:before="0" w:after="240"/>
        <w:ind w:firstLine="0"/>
      </w:pPr>
      <w:r>
        <w:rPr>
          <w:rFonts w:ascii="微软雅黑" w:hAnsi="微软雅黑" w:eastAsia="微软雅黑" w:cs="微软雅黑"/>
          <w:b/>
          <w:color w:val="1F3A5F"/>
          <w:sz w:val="38"/>
        </w:rPr>
        <w:t>交叉矩阵：哪类架构回应了哪个问题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把第二章的十二个问题与第三章的六个大类放进同一张表，会看到一条清晰的边界：越靠近数据层，架构越无能为力；越靠近目标层，换损失比换主干更有效。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5.1　</w:t>
      </w:r>
      <w:r>
        <w:rPr>
          <w:rFonts w:ascii="微软雅黑" w:hAnsi="微软雅黑" w:eastAsia="微软雅黑" w:cs="微软雅黑"/>
          <w:b/>
          <w:color w:val="2E5C8A"/>
          <w:sz w:val="27"/>
        </w:rPr>
        <w:t>覆盖矩阵怎么读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图 5 的每一行是一个问题，每一列是一个架构大类。圆点越大，表示该类的核心设计越直接地针对该问题；空白表示该类在这个问题上没有结构性优势，而不是“完全没提”。判定依据是各模型公开的机制与评测，不是论文里的自述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728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ver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7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12" w:lineRule="auto"/>
        <w:ind w:firstLine="0"/>
        <w:jc w:val="center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图 5　</w:t>
      </w:r>
      <w:r>
        <w:rPr>
          <w:rFonts w:ascii="Times New Roman" w:hAnsi="Times New Roman" w:eastAsia="宋体" w:cs="Times New Roman"/>
          <w:b w:val="0"/>
          <w:color w:val="5D6B7A"/>
          <w:sz w:val="17"/>
        </w:rPr>
        <w:t>问题 × 架构覆盖矩阵（作者依据机制与公开评测判定）</w:t>
      </w:r>
    </w:p>
    <w:p>
      <w:pPr>
        <w:spacing w:after="200" w:line="30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color w:val="8A94A6"/>
          <w:sz w:val="15"/>
        </w:rPr>
        <w:t xml:space="preserve">　　空白不等于无关：例如 A 类也会报告批次整合指标，但它的结构里没有专门处理批次的机制。矩阵衡量的是“结构性回应”，不是“是否提及”。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两个立刻可见的结论。第一，</w:t>
      </w:r>
      <w:r>
        <w:rPr>
          <w:rFonts w:ascii="Times New Roman" w:hAnsi="Times New Roman" w:eastAsia="宋体" w:cs="Times New Roman"/>
          <w:b/>
          <w:color w:val="22303F"/>
          <w:sz w:val="21"/>
        </w:rPr>
        <w:t>P3（数据泄漏）整行为空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——没有任何架构能解决它，只能靠数据审计与时间切分。第二，</w:t>
      </w:r>
      <w:r>
        <w:rPr>
          <w:rFonts w:ascii="Times New Roman" w:hAnsi="Times New Roman" w:eastAsia="宋体" w:cs="Times New Roman"/>
          <w:b/>
          <w:color w:val="22303F"/>
          <w:sz w:val="21"/>
        </w:rPr>
        <w:t>P11（适配成本）几乎每列都有点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——因为适配是工程问题，所有类都可以通过冻结、LoRA、小模型来缓解，区别只在程度。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5.2　</w:t>
      </w:r>
      <w:r>
        <w:rPr>
          <w:rFonts w:ascii="微软雅黑" w:hAnsi="微软雅黑" w:eastAsia="微软雅黑" w:cs="微软雅黑"/>
          <w:b/>
          <w:color w:val="2E5C8A"/>
          <w:sz w:val="27"/>
        </w:rPr>
        <w:t>五条规律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规律一：越靠近数据层，架构越无能为力。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P1、P2、P3、P4 四个问题里，只有 P2 有真正的架构解（显式协变量、噪声建模、集合损失），其余三个只能靠数据工程与评测制度。把希望寄托在“更大的模型”上，是这类问题最常见的误配。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规律二：表示层的问题，被“词表无关 + 软编码”缓解得最好。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P5 与 P6 是过去两年进步最快的两个问题。蛋白语言模型让基因身份不再依赖固定词表；软分箱与分布头让表达值不再被硬边界切断。这两项改进的成本都不高，收益却跨任务可见。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规律三：目标层的问题，必须换损失，不能换主干。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P8、P9、P10 三个问题的共同点是“奖励函数错了”。把 Transformer 换成 Mamba、把 12 层加到 40 层，都不会让模型从“重建”转向“预测干预”。State 的集合损失、AlphaCell 的流匹配、Lingshu 的条件扩散，都是从损失入手。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规律四：D 类与 E 类在扰动上领先，代价是分辨率与可解释性。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集合/分布级模型天然适合“扰动后这群细胞往哪走”，但不回答“某一个细胞会怎样”；扩散/流匹配模型能给出分布，却很难解释“为什么这个基因变了”。这不是实现缺陷，是建模单元决定的。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规律五：F 类在检索、注释、冷启动上最强，在定量任务上最弱。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语言接口把“细胞是什么”变成了可查询的语义，但它读不到“多少”。用 CellWhisperer 做注释、做检索、做解释是合适的；用它做扰动预测或剂量响应，是用错了工具。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5.3　</w:t>
      </w:r>
      <w:r>
        <w:rPr>
          <w:rFonts w:ascii="微软雅黑" w:hAnsi="微软雅黑" w:eastAsia="微软雅黑" w:cs="微软雅黑"/>
          <w:b/>
          <w:color w:val="2E5C8A"/>
          <w:sz w:val="27"/>
        </w:rPr>
        <w:t>四种反模式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反模式一：用 zero-shot 分数选型。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 xml:space="preserve"> 零样本成绩既受预训练污染影响，也与下游分布强相关；同一模型在不同数据集上的排名可以翻转。正确做法是用自己的 10% 标注做微调，再比。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反模式二：用 MSE 选扰动模型。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 xml:space="preserve"> MSE 被近零差异基因稀释，一个“预测无变化”的模型也能拿到不错的分。必须看 DES/PDS 与 DE 基因重叠。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反模式三：用大模型做小任务。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 xml:space="preserve"> 注释一个 5 万细胞的数据集，逻辑回归 + 标记基因往往够用；上 8 亿参数模型，收益可能小于调参成本。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反模式四：忽略许可。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 xml:space="preserve"> 代码许可、权重许可、论文许可、数据许可四者可能不一致；CC BY-NC-ND 不能商用，无 LICENSE 默认保留所有权利，GPL-3.0 可能传染整个软件栈。这是尽职调查项，不是法务细节。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5.4　</w:t>
      </w:r>
      <w:r>
        <w:rPr>
          <w:rFonts w:ascii="微软雅黑" w:hAnsi="微软雅黑" w:eastAsia="微软雅黑" w:cs="微软雅黑"/>
          <w:b/>
          <w:color w:val="2E5C8A"/>
          <w:sz w:val="27"/>
        </w:rPr>
        <w:t>从任务出发的选型路径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图 6 给出一个从任务出发的路径。它的用法不是“照着选”，而是“先排除”：先判断任务落在哪一层，再排除结构性代价不可接受的大类，最后才在剩下的类里挑模型。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17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c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12" w:lineRule="auto"/>
        <w:ind w:firstLine="0"/>
        <w:jc w:val="center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图 6　</w:t>
      </w:r>
      <w:r>
        <w:rPr>
          <w:rFonts w:ascii="Times New Roman" w:hAnsi="Times New Roman" w:eastAsia="宋体" w:cs="Times New Roman"/>
          <w:b w:val="0"/>
          <w:color w:val="5D6B7A"/>
          <w:sz w:val="17"/>
        </w:rPr>
        <w:t>任务 → 架构大类 → 代表模型的选型路径</w:t>
      </w:r>
    </w:p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25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选型矩阵：任务、首选类、代表模型与必跑基线</w:t>
      </w:r>
    </w:p>
    <w:tbl>
      <w:tblPr>
        <w:tblW w:type="dxa" w:w="9185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1814"/>
        <w:gridCol w:w="2608"/>
        <w:gridCol w:w="1928"/>
        <w:gridCol w:w="1134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首选类</w:t>
            </w:r>
          </w:p>
        </w:tc>
        <w:tc>
          <w:tcPr>
            <w:tcW w:type="dxa" w:w="260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代表模型</w:t>
            </w:r>
          </w:p>
        </w:tc>
        <w:tc>
          <w:tcPr>
            <w:tcW w:type="dxa" w:w="1928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必跑基线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细胞类型注释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A / D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CellFM、Geneformer、CellPLM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CellTypist、逻辑回归、Seurat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macro-F1、per-class recall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批次整合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A（辅以显式协变量）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scGPT、Geneformer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Harmony、scVI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iLISI + 生物保守性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跨物种 / 跨平台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A（无词表）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UCE、TranscriptFormer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HVG + Harmony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未见物种/平台的嵌入一致性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扰动 / 虚拟细胞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D / E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State、Lingshu-Cell、AlphaCell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additive、无变化、GEARS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DES、PDS、MAE（分见/未见）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药物响应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 / D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scFoundation、State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线性回归、scDrugMap 基线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跨细胞系 AUROC、校准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生成 / 补全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B / C / E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scMulan、scFoundation、CAPTAIN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均值填充、kNN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分布距离、DE 保真、分位数覆盖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空间转录组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D（空间变体）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Nicheformer、CellPLM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Novae、scGPT-spatial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邻域一致性、空间标签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GRN / 可解释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A（先验或分布头）</w:t>
            </w:r>
          </w:p>
        </w:tc>
        <w:tc>
          <w:tcPr>
            <w:tcW w:type="dxa" w:w="260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scPRINT、RegFormer、GeneCompass</w:t>
            </w:r>
          </w:p>
        </w:tc>
        <w:tc>
          <w:tcPr>
            <w:tcW w:type="dxa" w:w="192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GENIE3、SCENIC</w:t>
            </w:r>
          </w:p>
        </w:tc>
        <w:tc>
          <w:tcPr>
            <w:tcW w:type="dxa" w:w="113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ChIP/Perturb-seq 重叠</w:t>
            </w:r>
          </w:p>
        </w:tc>
      </w:tr>
    </w:tbl>
    <w:p>
      <w:pPr>
        <w:spacing w:before="40" w:after="200" w:line="312" w:lineRule="auto"/>
        <w:ind w:firstLine="0"/>
      </w:pPr>
      <w:r>
        <w:rPr>
          <w:rFonts w:ascii="Times New Roman" w:hAnsi="Times New Roman" w:eastAsia="宋体" w:cs="Times New Roman"/>
          <w:b w:val="0"/>
          <w:color w:val="8A94A6"/>
          <w:sz w:val="15"/>
        </w:rPr>
        <w:t>注：“必跑基线”不是可选项。多项评测显示，基线跑不过时，换更大的模型通常也不会赢。</w:t>
      </w:r>
    </w:p>
    <w:p>
      <w:pPr>
        <w:keepNext/>
        <w:pageBreakBefore/>
        <w:spacing w:before="40" w:after="80"/>
        <w:ind w:firstLine="0"/>
      </w:pPr>
      <w:r>
        <w:rPr>
          <w:rFonts w:ascii="微软雅黑" w:hAnsi="微软雅黑" w:eastAsia="微软雅黑" w:cs="微软雅黑"/>
          <w:b/>
          <w:color w:val="C0803A"/>
          <w:sz w:val="20"/>
        </w:rPr>
        <w:t>第 6 章</w:t>
      </w:r>
    </w:p>
    <w:p>
      <w:pPr>
        <w:keepNext/>
        <w:pBdr>
          <w:bottom w:val="single" w:sz="6" w:space="6" w:color="C9D2DE"/>
        </w:pBdr>
        <w:spacing w:before="0" w:after="240"/>
        <w:ind w:firstLine="0"/>
      </w:pPr>
      <w:r>
        <w:rPr>
          <w:rFonts w:ascii="微软雅黑" w:hAnsi="微软雅黑" w:eastAsia="微软雅黑" w:cs="微软雅黑"/>
          <w:b/>
          <w:color w:val="1F3A5F"/>
          <w:sz w:val="38"/>
        </w:rPr>
        <w:t>现实检验：哪些结论站得住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这一章只做一件事：把“模型方自述”与“独立评测”分开，看哪些结论在多次复现后仍然成立。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6.1　</w:t>
      </w:r>
      <w:r>
        <w:rPr>
          <w:rFonts w:ascii="微软雅黑" w:hAnsi="微软雅黑" w:eastAsia="微软雅黑" w:cs="微软雅黑"/>
          <w:b/>
          <w:color w:val="2E5C8A"/>
          <w:sz w:val="27"/>
        </w:rPr>
        <w:t>独立评测的证据总表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下表只收录有明确实验设计、可查数字的评测。它们的共同点是：都跑了强基线，都报告了失败案例，且多数在多个数据集上重复。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26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十三项独立评测的核心结论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2494"/>
        <w:gridCol w:w="2041"/>
        <w:gridCol w:w="4649"/>
      </w:tblGrid>
      <w:tr>
        <w:trPr>
          <w:cantSplit w:val="true"/>
          <w:tblHeader w:val="true"/>
        </w:trPr>
        <w:tc>
          <w:tcPr>
            <w:tcW w:type="dxa" w:w="249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研究</w:t>
            </w:r>
          </w:p>
        </w:tc>
        <w:tc>
          <w:tcPr>
            <w:tcW w:type="dxa" w:w="204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规模</w:t>
            </w:r>
          </w:p>
        </w:tc>
        <w:tc>
          <w:tcPr>
            <w:tcW w:type="dxa" w:w="4649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核心结论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scEval（Adv Sci 2026）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8 类任务 × 10 个 scFM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scGPT、Geneformer、CellFM 居前，但没有任何模型在所有任务上稳定优于任务专用方法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Kedzierska 等（Genome Biol 2025）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5 数据集零样本</w:t>
            </w:r>
          </w:p>
        </w:tc>
        <w:tc>
          <w:tcPr>
            <w:tcW w:type="dxa" w:w="464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Geneformer ASW 仅 0.38–0.52，HVG 基线除 PBMC 外全部胜出；scGPT 中位 ASW 0.53 ≈ scVI 0.54；批次整合不合格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Boiarsky 等（Nat Mach Intell 2024）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PBMC 68,450 细胞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L1 逻辑回归在 accuracy 与 macro-F1 上均胜 scBERT；scBERT 去预训练无显著差异（p=0.34/0.59）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Ahlmann-Eltze 等（Nat Methods 2025）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Norman 双扰动</w:t>
            </w:r>
          </w:p>
        </w:tc>
        <w:tc>
          <w:tcPr>
            <w:tcW w:type="dxa" w:w="464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所有被测模型误差均高于 additive 基线；交互预测无一优于“无变化”；真实交互仅 4.2%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PertEval-scFM（ICML 2025）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标准化扰动评测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零样本 scFM 嵌入对简单基线提升有限，分布偏移下尤甚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Wu 等（Genome Biol 2025）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6 个 scFM × 12 指标</w:t>
            </w:r>
          </w:p>
        </w:tc>
        <w:tc>
          <w:tcPr>
            <w:tcW w:type="dxa" w:w="464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没有单一 scFM 全面领先；资源受限时简单模型更易适配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低监督评测（2026）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7 个 FM × 3 个经典表示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CellPLM 聚类/注释/批次最好，scMulan 扰动最好，PCA 重建最好；仅 1/7 在聚类上超过最强基线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SCMBench（Nat Commun 2026）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23 种多组学整合方法</w:t>
            </w:r>
          </w:p>
        </w:tc>
        <w:tc>
          <w:tcPr>
            <w:tcW w:type="dxa" w:w="464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基础模型在多组学整合上不如领域专用模型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scDrugMap（Nat Commun 2025）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8 个 FM + 2 个 LLM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合并数据 scFoundation 最强，跨数据微调 UCE 最好，零样本 scGPT 最高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污染审计（arXiv 2026）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MinHash 逐细胞比对</w:t>
            </w:r>
          </w:p>
        </w:tc>
        <w:tc>
          <w:tcPr>
            <w:tcW w:type="dxa" w:w="464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PBMC 3k 80.4%、人胰岛 77.0% 与 Genecorpus-30M 重叠；截止日后数据集 0%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稀有类研究（arXiv 2026）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162 次受控训练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总体准确率 97.5%，稀有类召回系统性失败，且由数据结构而非预训练决定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VCC 2025（Arc）</w:t>
            </w:r>
          </w:p>
        </w:tc>
        <w:tc>
          <w:tcPr>
            <w:tcW w:type="dxa" w:w="204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300+ 队伍</w:t>
            </w:r>
          </w:p>
        </w:tc>
        <w:tc>
          <w:tcPr>
            <w:tcW w:type="dxa" w:w="464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扰动模型未在所有指标上稳定超过朴素基线；冠军方案是深度学习 + 统计特征混合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饱和立场论文（ICML 2026）</w:t>
            </w:r>
          </w:p>
        </w:tc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立场论文</w:t>
            </w:r>
          </w:p>
        </w:tc>
        <w:tc>
          <w:tcPr>
            <w:tcW w:type="dxa" w:w="4649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benchmark 饱和是可识别性失败，不是能力到顶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6.2　</w:t>
      </w:r>
      <w:r>
        <w:rPr>
          <w:rFonts w:ascii="微软雅黑" w:hAnsi="微软雅黑" w:eastAsia="微软雅黑" w:cs="微软雅黑"/>
          <w:b/>
          <w:color w:val="2E5C8A"/>
          <w:sz w:val="27"/>
        </w:rPr>
        <w:t>仍然成立的四条优势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在大量负面证据里，有四条优势被反复确认，值得作为选型的正面依据。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① 微调后的分布外泛化。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scGPT 在多发性硬化数据上优于逻辑回归，且训练样本越少优势越大；scFoundation 在多个任务上稳定靠前；Steiner 等在三个任务上发现，用 OOD 数据微调后仍可泛化。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② 嵌入作为特征有效。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scGPT/scFoundation 的基因嵌入加线性解码，优于均值基线与随机嵌入；虽然不优于“用训练数据学到的嵌入”，但在标注稀缺时是实用的初始化。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③ 预训练确有贡献。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预训练模型普遍优于随机初始化；scGPT 去掉预训练会显著变差。这与“零样本不强”并不矛盾——预训练的价值体现在微调起点，而不是开箱即用。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④ 数据域匹配优于规模。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用 Replogle 扰动数据预训练的线性模型，稳定优于通用大模型。这条最反直觉，也最重要：模型的“见过同类数据”比“参数更多”更能决定下游表现。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6.3　</w:t>
      </w:r>
      <w:r>
        <w:rPr>
          <w:rFonts w:ascii="微软雅黑" w:hAnsi="微软雅黑" w:eastAsia="微软雅黑" w:cs="微软雅黑"/>
          <w:b/>
          <w:color w:val="2E5C8A"/>
          <w:sz w:val="27"/>
        </w:rPr>
        <w:t>三个还没有被证明的承诺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第一，</w:t>
      </w:r>
      <w:r>
        <w:rPr>
          <w:rFonts w:ascii="Times New Roman" w:hAnsi="Times New Roman" w:eastAsia="宋体" w:cs="Times New Roman"/>
          <w:b/>
          <w:color w:val="22303F"/>
          <w:sz w:val="21"/>
        </w:rPr>
        <w:t>零样本通用性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。跨数据集、跨平台、跨物种的零样本嵌入，在受控评测中很少稳定超过强基线。UCE 与 TranscriptFormer 是例外，但它们的优势集中在“把不同来源放进同一坐标系”，而不是“替代专用工具”。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第二，</w:t>
      </w:r>
      <w:r>
        <w:rPr>
          <w:rFonts w:ascii="Times New Roman" w:hAnsi="Times New Roman" w:eastAsia="宋体" w:cs="Times New Roman"/>
          <w:b/>
          <w:color w:val="22303F"/>
          <w:sz w:val="21"/>
        </w:rPr>
        <w:t>跨数据集稳健性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。同一模型在不同数据集上的排名会翻转；预处理、tokenization、指标的选择都能改变结论。这意味着“论文里的 SOTA”不能直接迁移到你的数据。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第三，</w:t>
      </w:r>
      <w:r>
        <w:rPr>
          <w:rFonts w:ascii="Times New Roman" w:hAnsi="Times New Roman" w:eastAsia="宋体" w:cs="Times New Roman"/>
          <w:b/>
          <w:color w:val="22303F"/>
          <w:sz w:val="21"/>
        </w:rPr>
        <w:t>稀有类可靠性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。总体指标好看与稀有类可用是两件事。稀有类失败主要由数据结构决定，换损失函数、换主干都难以根治。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6.4　</w:t>
      </w:r>
      <w:r>
        <w:rPr>
          <w:rFonts w:ascii="微软雅黑" w:hAnsi="微软雅黑" w:eastAsia="微软雅黑" w:cs="微软雅黑"/>
          <w:b/>
          <w:color w:val="2E5C8A"/>
          <w:sz w:val="27"/>
        </w:rPr>
        <w:t>一张八问验收清单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27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评估一个 scFM 是否适合你的任务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2381"/>
        <w:gridCol w:w="3742"/>
        <w:gridCol w:w="3061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742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为什么要问</w:t>
            </w:r>
          </w:p>
        </w:tc>
        <w:tc>
          <w:tcPr>
            <w:tcW w:type="dxa" w:w="3061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不合格的信号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1. 任务是哪一层？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注释/整合/扰动/生成的最优类完全不同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用同一个模型打所有任务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2. 强基线跑了吗？</w:t>
            </w:r>
          </w:p>
        </w:tc>
        <w:tc>
          <w:tcPr>
            <w:tcW w:type="dxa" w:w="3742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HVG、Harmony、scVI、逻辑回归、additive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只与随机初始化比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3. 测试集在预训练里吗？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泄漏会系统性抬高零样本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无截止日、无语料清单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4. 零样本还是微调？</w:t>
            </w:r>
          </w:p>
        </w:tc>
        <w:tc>
          <w:tcPr>
            <w:tcW w:type="dxa" w:w="3742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两者结论经常相反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把微调成绩说成零样本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5. 指标对生物学有意义吗？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MSE 会被近零差异稀释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只报 MSE/Pearson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6. 稀有类表现如何？</w:t>
            </w:r>
          </w:p>
        </w:tc>
        <w:tc>
          <w:tcPr>
            <w:tcW w:type="dxa" w:w="3742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总体准确率会掩盖长尾失败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只报 accuracy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7. 许可允许商用吗？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代码/权重/论文/数据许可可能不一致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CC BY-NC-ND 或无机 LICENSE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6"/>
              </w:rPr>
              <w:t>8. 能复现吗？</w:t>
            </w:r>
          </w:p>
        </w:tc>
        <w:tc>
          <w:tcPr>
            <w:tcW w:type="dxa" w:w="3742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种子、超参、算力、失败案例</w:t>
            </w:r>
          </w:p>
        </w:tc>
        <w:tc>
          <w:tcPr>
            <w:tcW w:type="dxa" w:w="306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6"/>
              </w:rPr>
              <w:t>无代码、无种子、无失败分析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p>
      <w:pPr>
        <w:keepNext/>
        <w:pageBreakBefore/>
        <w:spacing w:before="40" w:after="80"/>
        <w:ind w:firstLine="0"/>
      </w:pPr>
      <w:r>
        <w:rPr>
          <w:rFonts w:ascii="微软雅黑" w:hAnsi="微软雅黑" w:eastAsia="微软雅黑" w:cs="微软雅黑"/>
          <w:b/>
          <w:color w:val="C0803A"/>
          <w:sz w:val="20"/>
        </w:rPr>
        <w:t>第 7 章</w:t>
      </w:r>
    </w:p>
    <w:p>
      <w:pPr>
        <w:keepNext/>
        <w:pBdr>
          <w:bottom w:val="single" w:sz="6" w:space="6" w:color="C9D2DE"/>
        </w:pBdr>
        <w:spacing w:before="0" w:after="240"/>
        <w:ind w:firstLine="0"/>
      </w:pPr>
      <w:r>
        <w:rPr>
          <w:rFonts w:ascii="微软雅黑" w:hAnsi="微软雅黑" w:eastAsia="微软雅黑" w:cs="微软雅黑"/>
          <w:b/>
          <w:color w:val="1F3A5F"/>
          <w:sz w:val="38"/>
        </w:rPr>
        <w:t>判断与建议</w:t>
      </w:r>
    </w:p>
    <w:p>
      <w:pPr>
        <w:pBdr>
          <w:left w:val="single" w:sz="18" w:space="10" w:color="C0803A"/>
        </w:pBdr>
        <w:spacing w:line="372" w:lineRule="auto" w:before="40" w:after="180"/>
        <w:ind w:left="238" w:firstLine="0"/>
      </w:pPr>
      <w:r>
        <w:rPr>
          <w:rFonts w:ascii="Times New Roman" w:hAnsi="Times New Roman" w:eastAsia="宋体" w:cs="Times New Roman"/>
          <w:b w:val="0"/>
          <w:color w:val="3D4B5C"/>
          <w:sz w:val="21"/>
        </w:rPr>
        <w:t>下面五条判断不是预测“哪个模型会赢”，而是判断“哪些条件一旦成立，格局会变”。每条都给出可观察的信号。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7.1　</w:t>
      </w:r>
      <w:r>
        <w:rPr>
          <w:rFonts w:ascii="微软雅黑" w:hAnsi="微软雅黑" w:eastAsia="微软雅黑" w:cs="微软雅黑"/>
          <w:b/>
          <w:color w:val="2E5C8A"/>
          <w:sz w:val="27"/>
        </w:rPr>
        <w:t>五条判断（2026–2028）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判断一：观测数据接近饱和，扰动数据决定上限。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公开 atlas 已达亿级，继续堆观测数据的边际收益在下降；真正稀缺的是同一细胞类型、同一平台、带对照的扰动数据。可观察信号：扰动数据成本是否降到“每细胞美分”；是否出现跨实验室的扰动数据标准；药企是否愿意用内部 Perturb-seq 换模型。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判断二：目标函数从“重建”转向“分布/转移”，集合级损失会成为标配。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State 的 MMD、AlphaCell 的 flow、Lingshu 的条件扩散、CellOS 的 JEPA，都在做同一件事。可观察信号：新论文是否默认报告分布指标；是否出现统一的“状态转移”基准；逐细胞 MSE 是否被审稿人要求替换。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判断三：词表无关的基因身份会成为默认。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蛋白语言模型让新基因、新物种、新 panel 不再需要重训词表。可观察信号：新模型是否还依赖固定基因词表；跨物种评测是否成为常规项；ESM-2 类嵌入是否成为标准组件。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判断四：通用底座 + 领域适配器，不会有一个主干通吃。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通用表征（UCE、TranscriptFormer、SCimilarity）+ 生成/模拟器（State、Lingshu、AlphaCell）+ 领域适配器（LoRA、蒸馏）+ 文本接口（CellWhisperer），四层分工。可观察信号：是否出现模型卡与适配器市场；是否出现跨模型的统一 tokenization。</w:t>
      </w:r>
    </w:p>
    <w:p>
      <w:pPr>
        <w:spacing w:line="372" w:lineRule="auto" w:after="40"/>
        <w:ind w:left="238" w:firstLine="0"/>
      </w:pPr>
      <w:r>
        <w:rPr>
          <w:rFonts w:ascii="微软雅黑" w:hAnsi="微软雅黑" w:eastAsia="微软雅黑" w:cs="微软雅黑"/>
          <w:b/>
          <w:color w:val="1F3A5F"/>
          <w:sz w:val="19"/>
        </w:rPr>
        <w:t xml:space="preserve">判断五：评测从排行榜转向“能否替代一次实验”。　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>VCC 已经把任务定义成“能否替代一次 Perturb-seq”，Cell_Eval 用七项指标覆盖 DES/PDS。可观察信号：VCC 是否成为年度惯例；期刊是否要求提交基准报告；是否出现第三方审计。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7.2　</w:t>
      </w:r>
      <w:r>
        <w:rPr>
          <w:rFonts w:ascii="微软雅黑" w:hAnsi="微软雅黑" w:eastAsia="微软雅黑" w:cs="微软雅黑"/>
          <w:b/>
          <w:color w:val="2E5C8A"/>
          <w:sz w:val="27"/>
        </w:rPr>
        <w:t>给研究团队：三条值得走的路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路线一：做数据，而不是做模型。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 xml:space="preserve"> 高质量扰动数据的生产成本、元数据标准化、跨实验室去重，是当前最硬的瓶颈，也是最难被追平的壁垒。一个 1,000 万细胞的干净扰动数据集，价值高于一个 10 亿参数的模型。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路线二：做目标，而不是做主干。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 xml:space="preserve"> 分布级损失、因果识别、可识别性约束，是 P8–P10 的真正解法。把 Mamba 换成 RetNet 不会让模型更懂干预；把 MSE 换成集合距离或流匹配会。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路线三：做评测，而不是做榜单。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 xml:space="preserve"> 时间切分、逐细胞审计、任务化指标、失败案例披露——这些工作不产生引用，但决定了整个领域的判断力。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/>
          <w:color w:val="22303F"/>
          <w:sz w:val="21"/>
        </w:rPr>
        <w:t>不建议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：再训一个同质的大模型。除非你有别人没有的数据，或者别人没有的算力栈，否则在 2026 年做“更大的 scGPT”是边际收益最低的选择。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7.3　</w:t>
      </w:r>
      <w:r>
        <w:rPr>
          <w:rFonts w:ascii="微软雅黑" w:hAnsi="微软雅黑" w:eastAsia="微软雅黑" w:cs="微软雅黑"/>
          <w:b/>
          <w:color w:val="2E5C8A"/>
          <w:sz w:val="27"/>
        </w:rPr>
        <w:t>给选型者：三张表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第一张是第 5 章的选型矩阵：先确定任务落在哪一层，再选类。第二张是代价表（第 3 章的六类天花板）：确认你能接受该类丢掉的东西——分辨率、可解释性、定量精度，还是跨物种能力。第三张是第 6 章的八问清单：八问全部过关，才进入试点。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如果只有一句话：</w:t>
      </w:r>
      <w:r>
        <w:rPr>
          <w:rFonts w:ascii="Times New Roman" w:hAnsi="Times New Roman" w:eastAsia="宋体" w:cs="Times New Roman"/>
          <w:b/>
          <w:color w:val="22303F"/>
          <w:sz w:val="21"/>
        </w:rPr>
        <w:t>先用强基线把任务做到 80 分，再问 scFM 能不能把最后 20 分补上</w:t>
      </w:r>
      <w:r>
        <w:rPr>
          <w:rFonts w:ascii="Times New Roman" w:hAnsi="Times New Roman" w:eastAsia="宋体" w:cs="Times New Roman"/>
          <w:b w:val="0"/>
          <w:color w:val="22303F"/>
          <w:sz w:val="21"/>
        </w:rPr>
        <w:t>。补不上，不是模型不好，是任务不需要它。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7.4　</w:t>
      </w:r>
      <w:r>
        <w:rPr>
          <w:rFonts w:ascii="微软雅黑" w:hAnsi="微软雅黑" w:eastAsia="微软雅黑" w:cs="微软雅黑"/>
          <w:b/>
          <w:color w:val="2E5C8A"/>
          <w:sz w:val="27"/>
        </w:rPr>
        <w:t>五个开放问题</w:t>
      </w:r>
    </w:p>
    <w:p>
      <w:pPr>
        <w:spacing w:line="360" w:lineRule="auto" w:after="40"/>
        <w:ind w:left="539" w:hanging="238"/>
        <w:jc w:val="left"/>
      </w:pPr>
      <w:r>
        <w:rPr>
          <w:rFonts w:ascii="微软雅黑" w:hAnsi="微软雅黑" w:eastAsia="微软雅黑" w:cs="微软雅黑"/>
          <w:b/>
          <w:color w:val="C0803A"/>
          <w:sz w:val="16"/>
        </w:rPr>
        <w:t xml:space="preserve">▪ </w:t>
      </w:r>
      <w:r>
        <w:rPr>
          <w:rFonts w:ascii="Times New Roman" w:hAnsi="Times New Roman" w:eastAsia="宋体" w:cs="Times New Roman"/>
          <w:b/>
          <w:color w:val="22303F"/>
          <w:sz w:val="20"/>
        </w:rPr>
        <w:t>没有干预数据，能否学因果？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 xml:space="preserve"> 目前的答案是“只能学到相关的近似”。工具变量、孟德尔随机化、跨物种保守性，都是可能的突破口。</w:t>
      </w:r>
    </w:p>
    <w:p>
      <w:pPr>
        <w:spacing w:line="360" w:lineRule="auto" w:after="40"/>
        <w:ind w:left="539" w:hanging="238"/>
        <w:jc w:val="left"/>
      </w:pPr>
      <w:r>
        <w:rPr>
          <w:rFonts w:ascii="微软雅黑" w:hAnsi="微软雅黑" w:eastAsia="微软雅黑" w:cs="微软雅黑"/>
          <w:b/>
          <w:color w:val="C0803A"/>
          <w:sz w:val="16"/>
        </w:rPr>
        <w:t xml:space="preserve">▪ </w:t>
      </w:r>
      <w:r>
        <w:rPr>
          <w:rFonts w:ascii="Times New Roman" w:hAnsi="Times New Roman" w:eastAsia="宋体" w:cs="Times New Roman"/>
          <w:b/>
          <w:color w:val="22303F"/>
          <w:sz w:val="20"/>
        </w:rPr>
        <w:t>“细胞状态”的度量是什么？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 xml:space="preserve"> 现在的嵌入空间由模型定义，换一个模型就换一个坐标系。需要一个与模型无关、可跨数据集比较的状态度量。</w:t>
      </w:r>
    </w:p>
    <w:p>
      <w:pPr>
        <w:spacing w:line="360" w:lineRule="auto" w:after="40"/>
        <w:ind w:left="539" w:hanging="238"/>
        <w:jc w:val="left"/>
      </w:pPr>
      <w:r>
        <w:rPr>
          <w:rFonts w:ascii="微软雅黑" w:hAnsi="微软雅黑" w:eastAsia="微软雅黑" w:cs="微软雅黑"/>
          <w:b/>
          <w:color w:val="C0803A"/>
          <w:sz w:val="16"/>
        </w:rPr>
        <w:t xml:space="preserve">▪ </w:t>
      </w:r>
      <w:r>
        <w:rPr>
          <w:rFonts w:ascii="Times New Roman" w:hAnsi="Times New Roman" w:eastAsia="宋体" w:cs="Times New Roman"/>
          <w:b/>
          <w:color w:val="22303F"/>
          <w:sz w:val="20"/>
        </w:rPr>
        <w:t>全基因与 HVG 的信息论权衡是什么？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 xml:space="preserve"> 全基因覆盖稀有标记，但计算与噪声成本高；HVG 高效，但会丢信号。这个权衡目前只有经验，没有理论。</w:t>
      </w:r>
    </w:p>
    <w:p>
      <w:pPr>
        <w:spacing w:line="360" w:lineRule="auto" w:after="40"/>
        <w:ind w:left="539" w:hanging="238"/>
        <w:jc w:val="left"/>
      </w:pPr>
      <w:r>
        <w:rPr>
          <w:rFonts w:ascii="微软雅黑" w:hAnsi="微软雅黑" w:eastAsia="微软雅黑" w:cs="微软雅黑"/>
          <w:b/>
          <w:color w:val="C0803A"/>
          <w:sz w:val="16"/>
        </w:rPr>
        <w:t xml:space="preserve">▪ </w:t>
      </w:r>
      <w:r>
        <w:rPr>
          <w:rFonts w:ascii="Times New Roman" w:hAnsi="Times New Roman" w:eastAsia="宋体" w:cs="Times New Roman"/>
          <w:b/>
          <w:color w:val="22303F"/>
          <w:sz w:val="20"/>
        </w:rPr>
        <w:t>生成模型的可识别性如何保证？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 xml:space="preserve"> 扩散/流匹配可以生成“像”的细胞，但无法保证学到的是真实的因果机制。可识别性是生成式虚拟细胞的核心难题。</w:t>
      </w:r>
    </w:p>
    <w:p>
      <w:pPr>
        <w:spacing w:line="360" w:lineRule="auto" w:after="40"/>
        <w:ind w:left="539" w:hanging="238"/>
        <w:jc w:val="left"/>
      </w:pPr>
      <w:r>
        <w:rPr>
          <w:rFonts w:ascii="微软雅黑" w:hAnsi="微软雅黑" w:eastAsia="微软雅黑" w:cs="微软雅黑"/>
          <w:b/>
          <w:color w:val="C0803A"/>
          <w:sz w:val="16"/>
        </w:rPr>
        <w:t xml:space="preserve">▪ </w:t>
      </w:r>
      <w:r>
        <w:rPr>
          <w:rFonts w:ascii="Times New Roman" w:hAnsi="Times New Roman" w:eastAsia="宋体" w:cs="Times New Roman"/>
          <w:b/>
          <w:color w:val="22303F"/>
          <w:sz w:val="20"/>
        </w:rPr>
        <w:t>跨物种的“同源”到什么粒度？</w:t>
      </w:r>
      <w:r>
        <w:rPr>
          <w:rFonts w:ascii="Times New Roman" w:hAnsi="Times New Roman" w:eastAsia="宋体" w:cs="Times New Roman"/>
          <w:b w:val="0"/>
          <w:color w:val="22303F"/>
          <w:sz w:val="20"/>
        </w:rPr>
        <w:t xml:space="preserve"> 基因同源不等于细胞类型同源，更不等于调控网络同源。跨物种迁移的理论边界仍未厘清。</w:t>
      </w:r>
    </w:p>
    <w:p>
      <w:pPr>
        <w:keepNext/>
        <w:pageBreakBefore/>
        <w:spacing w:before="40" w:after="80"/>
        <w:ind w:firstLine="0"/>
      </w:pPr>
      <w:r>
        <w:rPr>
          <w:rFonts w:ascii="微软雅黑" w:hAnsi="微软雅黑" w:eastAsia="微软雅黑" w:cs="微软雅黑"/>
          <w:b/>
          <w:color w:val="C0803A"/>
          <w:sz w:val="20"/>
        </w:rPr>
        <w:t>附 录</w:t>
      </w:r>
    </w:p>
    <w:p>
      <w:pPr>
        <w:keepNext/>
        <w:pBdr>
          <w:bottom w:val="single" w:sz="6" w:space="6" w:color="C9D2DE"/>
        </w:pBdr>
        <w:spacing w:before="0" w:after="240"/>
        <w:ind w:firstLine="0"/>
      </w:pPr>
      <w:r>
        <w:rPr>
          <w:rFonts w:ascii="微软雅黑" w:hAnsi="微软雅黑" w:eastAsia="微软雅黑" w:cs="微软雅黑"/>
          <w:b/>
          <w:color w:val="1F3A5F"/>
          <w:sz w:val="38"/>
        </w:rPr>
        <w:t>术语、资源与来源</w:t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A　</w:t>
      </w:r>
      <w:r>
        <w:rPr>
          <w:rFonts w:ascii="微软雅黑" w:hAnsi="微软雅黑" w:eastAsia="微软雅黑" w:cs="微软雅黑"/>
          <w:b/>
          <w:color w:val="2E5C8A"/>
          <w:sz w:val="27"/>
        </w:rPr>
        <w:t>术语表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28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本报告使用的核心术语</w:t>
      </w:r>
    </w:p>
    <w:tbl>
      <w:tblPr>
        <w:tblW w:type="dxa" w:w="9185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2268"/>
        <w:gridCol w:w="4876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英文 / 缩写</w:t>
            </w:r>
          </w:p>
        </w:tc>
        <w:tc>
          <w:tcPr>
            <w:tcW w:type="dxa" w:w="4876"/>
            <w:shd w:val="clear" w:color="auto" w:fill="1F3A5F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单细胞基础模型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scFM</w:t>
            </w:r>
          </w:p>
        </w:tc>
        <w:tc>
          <w:tcPr>
            <w:tcW w:type="dxa" w:w="487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在千万到亿级单细胞数据上自监督预训练、可迁移到多任务的模型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标记基因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marker gene</w:t>
            </w:r>
          </w:p>
        </w:tc>
        <w:tc>
          <w:tcPr>
            <w:tcW w:type="dxa" w:w="487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在特定细胞类型中高表达、可用于注释的基因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高变基因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HVG</w:t>
            </w:r>
          </w:p>
        </w:tc>
        <w:tc>
          <w:tcPr>
            <w:tcW w:type="dxa" w:w="487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在细胞间方差大的基因，常用于降维与建模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零膨胀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zero-inflation</w:t>
            </w:r>
          </w:p>
        </w:tc>
        <w:tc>
          <w:tcPr>
            <w:tcW w:type="dxa" w:w="487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scRNA-seq 中大量零值，既可能是不表达，也可能是未检出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双细胞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doublet</w:t>
            </w:r>
          </w:p>
        </w:tc>
        <w:tc>
          <w:tcPr>
            <w:tcW w:type="dxa" w:w="487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两个细胞被同一液滴捕获，形成混合表达谱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环境 RNA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ambient RNA</w:t>
            </w:r>
          </w:p>
        </w:tc>
        <w:tc>
          <w:tcPr>
            <w:tcW w:type="dxa" w:w="487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裂解细胞释放、污染其他液滴的游离 RNA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批次效应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batch effect</w:t>
            </w:r>
          </w:p>
        </w:tc>
        <w:tc>
          <w:tcPr>
            <w:tcW w:type="dxa" w:w="487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由实验批次、平台、操作者引起的系统性技术差异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掩码建模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masked modeling</w:t>
            </w:r>
          </w:p>
        </w:tc>
        <w:tc>
          <w:tcPr>
            <w:tcW w:type="dxa" w:w="487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遮住部分输入、让模型预测被遮部分的自监督目标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秩编码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rank value encoding</w:t>
            </w:r>
          </w:p>
        </w:tc>
        <w:tc>
          <w:tcPr>
            <w:tcW w:type="dxa" w:w="487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按表达量排序、以名次作为 token 的编码方式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软分箱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soft binning</w:t>
            </w:r>
          </w:p>
        </w:tc>
        <w:tc>
          <w:tcPr>
            <w:tcW w:type="dxa" w:w="487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把连续值映射为多个 bin 的权重，而非硬指派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零膨胀负二项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ZINB</w:t>
            </w:r>
          </w:p>
        </w:tc>
        <w:tc>
          <w:tcPr>
            <w:tcW w:type="dxa" w:w="487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同时建模过零与计数的概率分布，输出 μ、θ、π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零截断泊松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ZTP</w:t>
            </w:r>
          </w:p>
        </w:tc>
        <w:tc>
          <w:tcPr>
            <w:tcW w:type="dxa" w:w="487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在正值上归一化的泊松分布，用于计数生成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集合距离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MMD / energy distance</w:t>
            </w:r>
          </w:p>
        </w:tc>
        <w:tc>
          <w:tcPr>
            <w:tcW w:type="dxa" w:w="487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衡量两个细胞集合分布差异的指标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流匹配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flow matching</w:t>
            </w:r>
          </w:p>
        </w:tc>
        <w:tc>
          <w:tcPr>
            <w:tcW w:type="dxa" w:w="487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学习从噪声到数据的连续时间速度场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联合嵌入预测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JEPA</w:t>
            </w:r>
          </w:p>
        </w:tc>
        <w:tc>
          <w:tcPr>
            <w:tcW w:type="dxa" w:w="487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在隐空间预测另一视角的表示，而非重建输入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专家混合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MoE</w:t>
            </w:r>
          </w:p>
        </w:tc>
        <w:tc>
          <w:tcPr>
            <w:tcW w:type="dxa" w:w="487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多个专家网络 + 门控，稀疏激活以扩大容量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差异表达签名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DES</w:t>
            </w:r>
          </w:p>
        </w:tc>
        <w:tc>
          <w:tcPr>
            <w:tcW w:type="dxa" w:w="487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扰动后显著变化的基因集合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扰动区分度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PDS</w:t>
            </w:r>
          </w:p>
        </w:tc>
        <w:tc>
          <w:tcPr>
            <w:tcW w:type="dxa" w:w="487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模型区分不同扰动的能力指标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双 dipping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double dipping</w:t>
            </w:r>
          </w:p>
        </w:tc>
        <w:tc>
          <w:tcPr>
            <w:tcW w:type="dxa" w:w="4876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同一批数据既用于预训练又用于评测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可识别性</w:t>
            </w:r>
          </w:p>
        </w:tc>
        <w:tc>
          <w:tcPr>
            <w:tcW w:type="dxa" w:w="2268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identifiability</w:t>
            </w:r>
          </w:p>
        </w:tc>
        <w:tc>
          <w:tcPr>
            <w:tcW w:type="dxa" w:w="4876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模型能否从数据中唯一确定目标机制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B　</w:t>
      </w:r>
      <w:r>
        <w:rPr>
          <w:rFonts w:ascii="微软雅黑" w:hAnsi="微软雅黑" w:eastAsia="微软雅黑" w:cs="微软雅黑"/>
          <w:b/>
          <w:color w:val="2E5C8A"/>
          <w:sz w:val="27"/>
        </w:rPr>
        <w:t>可复现资源</w:t>
      </w:r>
    </w:p>
    <w:p>
      <w:pPr>
        <w:keepNext/>
        <w:spacing w:before="160" w:after="60" w:line="312" w:lineRule="auto"/>
        <w:ind w:firstLine="0"/>
      </w:pPr>
      <w:r>
        <w:rPr>
          <w:rFonts w:ascii="微软雅黑" w:hAnsi="微软雅黑" w:eastAsia="微软雅黑" w:cs="微软雅黑"/>
          <w:b/>
          <w:color w:val="1F3A5F"/>
          <w:sz w:val="17"/>
        </w:rPr>
        <w:t xml:space="preserve">表 29　</w:t>
      </w:r>
      <w:r>
        <w:rPr>
          <w:rFonts w:ascii="Times New Roman" w:hAnsi="Times New Roman" w:eastAsia="宋体" w:cs="Times New Roman"/>
          <w:b/>
          <w:color w:val="3D4B5C"/>
          <w:sz w:val="17"/>
        </w:rPr>
        <w:t>主要模型的代码与权重入口</w:t>
      </w:r>
    </w:p>
    <w:tbl>
      <w:tblPr>
        <w:tblW w:type="dxa" w:w="9184"/>
        <w:jc w:val="center"/>
        <w:tblBorders>
          <w:top w:val="single" w:sz="10" w:space="0" w:color="1F3A5F"/>
          <w:bottom w:val="single" w:sz="10" w:space="0" w:color="1F3A5F"/>
          <w:left w:val="none" w:sz="0" w:space="0" w:color="auto"/>
          <w:right w:val="none" w:sz="0" w:space="0" w:color="auto"/>
          <w:insideH w:val="single" w:sz="4" w:space="0" w:color="D5DCE6"/>
          <w:insideV w:val="none" w:sz="0" w:space="0" w:color="auto"/>
        </w:tblBorders>
        <w:tblLayout w:type="fixed"/>
        <w:tblCellMar>
          <w:top w:w="55" w:type="dxa"/>
          <w:left w:w="80" w:type="dxa"/>
          <w:bottom w:w="55" w:type="dxa"/>
          <w:right w:w="8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474"/>
        <w:gridCol w:w="1814"/>
      </w:tblGrid>
      <w:tr>
        <w:trPr>
          <w:cantSplit w:val="true"/>
          <w:tblHeader w:val="true"/>
        </w:trPr>
        <w:tc>
          <w:tcPr>
            <w:tcW w:type="dxa" w:w="1587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4309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仓库 / 入口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许可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keepNext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scBERT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github.com/TencentAILabHealthcare/scBERT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GPL-3.0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2023 年底后基本停更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Geneformer</w:t>
            </w:r>
          </w:p>
        </w:tc>
        <w:tc>
          <w:tcPr>
            <w:tcW w:type="dxa" w:w="430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huggingface.co/ctheodoris/Geneformer</w:t>
            </w:r>
          </w:p>
        </w:tc>
        <w:tc>
          <w:tcPr>
            <w:tcW w:type="dxa" w:w="147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版本不一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V1 10M / V2 106M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scGPT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github.com/bowang-lab/scGPT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MIT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教程与微调 recipe 完整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scFoundation</w:t>
            </w:r>
          </w:p>
        </w:tc>
        <w:tc>
          <w:tcPr>
            <w:tcW w:type="dxa" w:w="430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github.com/biomap-research/scFoundation</w:t>
            </w:r>
          </w:p>
        </w:tc>
        <w:tc>
          <w:tcPr>
            <w:tcW w:type="dxa" w:w="147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Apache-2.0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含 API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UCE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github.com/snap-stanford/UCE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MIT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需 ESM-2 嵌入表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CellFM</w:t>
            </w:r>
          </w:p>
        </w:tc>
        <w:tc>
          <w:tcPr>
            <w:tcW w:type="dxa" w:w="430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github.com/biomed-AI/CellFM</w:t>
            </w:r>
          </w:p>
        </w:tc>
        <w:tc>
          <w:tcPr>
            <w:tcW w:type="dxa" w:w="147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Other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MindSpore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GeneCompass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github.com/xCompass-AI/GeneCompass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无 LICENSE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商用需谨慎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CellPLM</w:t>
            </w:r>
          </w:p>
        </w:tc>
        <w:tc>
          <w:tcPr>
            <w:tcW w:type="dxa" w:w="430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github.com/OmicsML/CellPLM</w:t>
            </w:r>
          </w:p>
        </w:tc>
        <w:tc>
          <w:tcPr>
            <w:tcW w:type="dxa" w:w="147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BSD-2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ICLR 2024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Nicheformer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github.com/theislab/nicheformer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BSD-3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空间 + 解离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State</w:t>
            </w:r>
          </w:p>
        </w:tc>
        <w:tc>
          <w:tcPr>
            <w:tcW w:type="dxa" w:w="4309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github.com/ArcInstitute/state</w:t>
            </w:r>
          </w:p>
        </w:tc>
        <w:tc>
          <w:tcPr>
            <w:tcW w:type="dxa" w:w="147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CC BY-NC-SA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非商用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TranscriptFormer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github.com/czi-ai/transcriptformer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MIT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12 物种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A5F"/>
                <w:sz w:val="15"/>
              </w:rPr>
              <w:t>scPRINT</w:t>
            </w:r>
          </w:p>
        </w:tc>
        <w:tc>
          <w:tcPr>
            <w:tcW w:type="dxa" w:w="4309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github.com/cantinilab/scPRINT</w:t>
            </w:r>
          </w:p>
        </w:tc>
        <w:tc>
          <w:tcPr>
            <w:tcW w:type="dxa" w:w="147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GPL-3.0</w:t>
            </w:r>
          </w:p>
        </w:tc>
        <w:tc>
          <w:tcPr>
            <w:tcW w:type="dxa" w:w="1814"/>
            <w:shd w:val="clear" w:color="auto" w:fill="F6F8FA"/>
            <w:vAlign w:val="center"/>
          </w:tcPr>
          <w:p>
            <w:pPr>
              <w:spacing w:after="0" w:line="293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303F"/>
                <w:sz w:val="15"/>
              </w:rPr>
              <w:t>含 GRN 基准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16"/>
        </w:rPr>
      </w:r>
    </w:p>
    <w:p>
      <w:pPr>
        <w:keepNext/>
        <w:spacing w:before="240" w:after="100"/>
        <w:ind w:firstLine="0"/>
      </w:pPr>
      <w:r>
        <w:rPr>
          <w:rFonts w:ascii="微软雅黑" w:hAnsi="微软雅黑" w:eastAsia="微软雅黑" w:cs="微软雅黑"/>
          <w:b/>
          <w:color w:val="C0803A"/>
          <w:sz w:val="25"/>
        </w:rPr>
        <w:t xml:space="preserve">C　</w:t>
      </w:r>
      <w:r>
        <w:rPr>
          <w:rFonts w:ascii="微软雅黑" w:hAnsi="微软雅黑" w:eastAsia="微软雅黑" w:cs="微软雅黑"/>
          <w:b/>
          <w:color w:val="2E5C8A"/>
          <w:sz w:val="27"/>
        </w:rPr>
        <w:t>主要来源</w:t>
      </w:r>
    </w:p>
    <w:p>
      <w:pPr>
        <w:spacing w:line="384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22303F"/>
          <w:sz w:val="21"/>
        </w:rPr>
        <w:t>以下按主题分组。模型类条目给出论文或预印本标识；评测类条目给出期刊与 DOI；厂商口径的条目单独标注。信息截至 2026 年 10 月。</w:t>
      </w:r>
    </w:p>
    <w:tbl>
      <w:tblPr>
        <w:tblW w:type="auto" w:w="0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left w:val="single" w:sz="18" w:space="0" w:color="C0803A"/>
        </w:tblBorders>
        <w:tblLayout w:type="fixed"/>
        <w:tblCellMar>
          <w:top w:w="110" w:type="dxa"/>
          <w:left w:w="170" w:type="dxa"/>
          <w:bottom w:w="110" w:type="dxa"/>
          <w:right w:w="15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4F1EC"/>
          </w:tcPr>
          <w:p>
            <w:pPr>
              <w:spacing w:after="0" w:line="360" w:lineRule="auto"/>
              <w:ind w:firstLine="0"/>
            </w:pPr>
            <w:r>
              <w:rPr>
                <w:rFonts w:ascii="微软雅黑" w:hAnsi="微软雅黑" w:eastAsia="微软雅黑" w:cs="微软雅黑"/>
                <w:b/>
                <w:color w:val="7A4E50"/>
                <w:sz w:val="18"/>
              </w:rPr>
              <w:t xml:space="preserve">引用说明　</w:t>
            </w:r>
            <w:r>
              <w:rPr>
                <w:rFonts w:ascii="Times New Roman" w:hAnsi="Times New Roman" w:eastAsia="宋体" w:cs="Times New Roman"/>
                <w:b w:val="0"/>
                <w:color w:val="3D4B5C"/>
                <w:sz w:val="18"/>
              </w:rPr>
              <w:t>标注“Anonymous”的条目为预印本阶段、作者名单尚未最终确认的工作，引用时请以正式发表版本为准；标注“厂商口径”的数字未经独立复现，不应作为选型依据。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 w:cs="Times New Roman"/>
          <w:sz w:val="8"/>
        </w:rPr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</w:r>
      <w:r>
        <w:rPr>
          <w:rFonts w:ascii="微软雅黑" w:hAnsi="微软雅黑" w:eastAsia="微软雅黑" w:cs="微软雅黑"/>
          <w:b/>
          <w:color w:val="22303F"/>
          <w:sz w:val="22"/>
        </w:rPr>
        <w:t>模型原文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Yang F, et al. scBERT as a large-scale pretrained deep language model for cell type annotation of single-cell RNA-seq data. Nature Machine Intelligence, 2022. doi:10.1038/s42256-022-00534-z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Theodoris CV, et al. Transfer learning enables predictions in network biology. Nature, 2023. doi:10.1038/s41586-023-06139-9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Cui H, et al. scGPT: toward building a foundation model for single-cell multi-omics using generative AI. Nature Methods, 2024. doi:10.1038/s41592-024-02201-0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[4]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Hao M, et al. Large-scale foundation model on single-cell transcriptomics. Nature Methods, 2024. doi:10.1038/s41592-024-02305-7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[5]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Rosen Y, et al. Universal Cell Embeddings: a foundation model for cell biology. bioRxiv, 2023. doi:10.1101/2023.11.28.568809；期刊版 Nature, 2026.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[6]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Yang X, et al. GeneCompass: deciphering universal gene regulatory mechanisms with a knowledge-informed cross-species foundation model. Cell Research, 2024. doi:10.1038/s41422-024-01034-y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[7]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Schäfer P, et al. Nicheformer: a foundation model for single-cell and spatial omics. Nature Methods, 2025. doi:10.1038/s41592-025-02814-z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[8]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Kalfon J, et al. scPRINT: pretraining on 50 million cells allows robust gene network predictions. Nature Communications, 2025. doi:10.1038/s41467-025-58699-1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[9]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Kalfon J, et al. scPRINT-2: a 350-million-cell foundation model across 16 species. bioRxiv, 2025. doi:10.64898/2025.12.11.693702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[10]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Wu H, et al. CellFM: a large-scale foundation model pre-trained on 100 million human single-cell transcriptomes. Nature Communications, 2025. doi:10.1038/s41467-025-59926-5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[11]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Chen J, et al. TranscriptFormer: a generative foundation model for cross-species transcriptomics. Science, 2026；预印本 CZI, 2025.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[12]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Arc Institute. State: a model of cellular state transition. Cell, 2026；预印本 2025.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[13]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Wen H, et al. CellPLM: pre-training of cell language model beyond single cells. ICLR, 2024. doi:10.1101/2023.10.03.560734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[14]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Bian H, et al. scMulan: a multitask generative pre-trained language model for single-cell biology. bioRxiv, 2024. doi:10.1101/2024.01.25.577152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[15]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CAPTAIN: a multimodal foundation model for RNA and surface proteins. Nature Communications, 2026. doi:10.1038/s41467-026-72882-y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[16]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Fang S, et al. RegFormer: a single-cell foundation model powered by gene regulatory hierarchies. Nature Communications, 2026. doi:10.1038/s41467-026-72198-x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[17]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CellVQ: vector-quantized cell language model. Nature Communications, 2026. doi:10.1038/s41467-026-70071-5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[18]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CellWhisperer: a multimodal foundation model for cell biology. Nature Biotechnology, 2025. doi:10.1038/s41587-025-02857-9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[19]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Levine L, et al. Cell2Sentence: teaching large language models the language of biology. bioRxiv, 2023. doi:10.1101/2023.09.11.557287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[20]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Chen Y, Zou J. GenePT: a simple but hard-to-beat foundation model for gene-level tasks. NeurIPS, 2023. PMC10614824.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[21]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LangCell: language-cell pre-training for cell identity. arXiv:2405.06708, 2024.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[22]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Heinlein L, et al. Universal cell embeddings enable cross-study cell retrieval. Nature, 2024.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[23]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Shen H, et al. tGPT: generative pretrained transformer for single-cell transcriptomics. iScience, 2023.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[24]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xTrimoGene: an efficient and scalable representation learner for single-cell RNA-seq. NeurIPS, 2023. arXiv:2311.15156.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[25]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scDifformer: diffusion post-training for single-cell foundation models. Nucleic Acids Research, 2026. doi:10.1093/nar/gkag706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[26]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阿里达摩院. Lingshu-Cell: masked discrete diffusion for transcriptome generation. 技术报告, 2026-08.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[27]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同济大学 DELTA Lab. AlphaCell: a world model for cellular state transition. 预印本, 2026-03.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[28]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百曜科技. CellOS: a 12B MoE foundation model for virtual cell. 技术报告, 2026-07（厂商口径）.</w:t>
      </w:r>
    </w:p>
    <w:p>
      <w:pPr>
        <w:keepNext/>
        <w:spacing w:before="160" w:after="60"/>
        <w:ind w:firstLine="0"/>
      </w:pPr>
      <w:r>
        <w:rPr>
          <w:rFonts w:ascii="微软雅黑" w:hAnsi="微软雅黑" w:eastAsia="微软雅黑" w:cs="微软雅黑"/>
          <w:b/>
          <w:color w:val="C0803A"/>
          <w:sz w:val="19"/>
        </w:rPr>
      </w:r>
      <w:r>
        <w:rPr>
          <w:rFonts w:ascii="微软雅黑" w:hAnsi="微软雅黑" w:eastAsia="微软雅黑" w:cs="微软雅黑"/>
          <w:b/>
          <w:color w:val="22303F"/>
          <w:sz w:val="22"/>
        </w:rPr>
        <w:t>评测、批评与方法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[29]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Liu T, et al. Evaluating the utilities of foundation models in single-cell data analysis. Advanced Science, 2026. doi:10.1002/advs.202514490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[30]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Kedzierska KZ, et al. Zero-shot evaluation reveals limitations of single-cell foundation models. Genome Biology, 2025. doi:10.1186/s13059-025-03574-x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[31]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Boiarsky R, et al. Deeper evaluation of a single-cell foundation model. Nature Machine Intelligence, 2024. doi:10.1038/s42256-024-00949-w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[32]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Ahlmann-Eltze C, Huber W, Anders S. Deep-learning-based gene perturbation effect prediction does not yet outperform simple linear baselines. Nature Methods, 2025. doi:10.1038/s41592-025-02772-6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[33]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Wenteler A, et al. PertEval-scFM: benchmarking single-cell foundation models for perturbation effect prediction. ICML, 2025. PMLR 267:66633–66677.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[34]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Wu J, et al. Biology-driven insights into the power of single-cell foundation models. Genome Biology, 2025. doi:10.1186/s13059-025-03781-6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[35]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Ali S. Auditing pretraining contamination in single-cell foundation model benchmarks. arXiv:2607.20572, 2026.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[36]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Dong Z, Zhong J. Rethinking class imbalance for single-cell foundation models. arXiv:2609.23325, 2026.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[37]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Steiner N, et al. A systematic evaluation of single-cell foundation models on cell-type classification. WSDM, 2025. doi:10.1145/3701551.3708811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[38]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SCMBench: a comprehensive benchmark for single-cell multi-omics integration. Nature Communications, 2026. doi:10.1038/s41467-026-72570-x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[39]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scDrugMap: benchmarking foundation models for drug response prediction. Nature Communications, 2025. doi:10.1038/s41467-025-67481-2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[40]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Arc Institute. Virtual Cell Challenge 2025: results and lessons. 2025. arcinstitute.org/news/virtual-cell-challenge-2025-wrap-up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[41]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Position: saturation in single-cell foundation model benchmarks signals identifiability failure, not solved capability. ICML, 2026.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[42]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Bunne C, et al. How to build the virtual cell with artificial intelligence. Cell, 2024. doi:10.1016/j.cell.2024.11.015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[43]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Lopez R, et al. Deep generative modeling for single-cell transcriptomics. Nature Methods, 2018. doi:10.1038/s41592-018-0229-2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[44]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Choromanski K, et al. Rethinking attention with Performers. ICLR, 2021. arXiv:2009.14794.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[45]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HEIMDALL: modular decomposition of single-cell tokenizers. 2026.</w:t>
      </w:r>
    </w:p>
    <w:p>
      <w:pPr>
        <w:spacing w:after="32" w:line="307" w:lineRule="auto"/>
        <w:ind w:left="510" w:hanging="510"/>
        <w:jc w:val="left"/>
      </w:pPr>
      <w:r>
        <w:rPr>
          <w:rFonts w:ascii="微软雅黑" w:hAnsi="微软雅黑" w:eastAsia="微软雅黑" w:cs="微软雅黑"/>
          <w:b/>
          <w:color w:val="1F3A5F"/>
          <w:sz w:val="16"/>
        </w:rPr>
        <w:t xml:space="preserve">[46]　</w:t>
      </w:r>
      <w:r>
        <w:rPr>
          <w:rFonts w:ascii="Times New Roman" w:hAnsi="Times New Roman" w:eastAsia="宋体" w:cs="Times New Roman"/>
          <w:b w:val="0"/>
          <w:color w:val="22303F"/>
          <w:sz w:val="16"/>
        </w:rPr>
        <w:t>Anonymous. A large-scale controlled study of expression value encoding in single-cell foundation models. 2026.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389" w:right="1361" w:bottom="1247" w:left="1361" w:header="737" w:footer="709" w:gutter="0"/>
      <w:cols w:space="720"/>
      <w:titlePg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D6B7A"/>
        <w:sz w:val="17"/>
      </w:rPr>
      <w:t xml:space="preserve">— </w:t>
    </w:r>
    <w:r>
      <w:rPr>
        <w:rFonts w:ascii="微软雅黑" w:hAnsi="微软雅黑" w:eastAsia="微软雅黑" w:cs="微软雅黑"/>
        <w:b w:val="0"/>
        <w:color w:val="5D6B7A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color w:val="5D6B7A"/>
        <w:sz w:val="17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D6B7A"/>
        <w:sz w:val="17"/>
      </w:rPr>
      <w:t xml:space="preserve">— </w:t>
    </w:r>
    <w:r>
      <w:rPr>
        <w:rFonts w:ascii="微软雅黑" w:hAnsi="微软雅黑" w:eastAsia="微软雅黑" w:cs="微软雅黑"/>
        <w:b w:val="0"/>
        <w:color w:val="5D6B7A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color w:val="5D6B7A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5DCE6"/>
      </w:pBdr>
      <w:tabs>
        <w:tab w:pos="9184" w:val="right"/>
      </w:tabs>
    </w:pPr>
    <w:r>
      <w:rPr>
        <w:rFonts w:ascii="微软雅黑" w:hAnsi="微软雅黑" w:eastAsia="微软雅黑" w:cs="微软雅黑"/>
        <w:b w:val="0"/>
        <w:color w:val="5D6B7A"/>
        <w:sz w:val="15"/>
      </w:rPr>
      <w:t>单细胞大模型：问题、方案与架构</w:t>
    </w:r>
    <w:r>
      <w:rPr>
        <w:rFonts w:ascii="微软雅黑" w:hAnsi="微软雅黑" w:eastAsia="微软雅黑" w:cs="微软雅黑"/>
        <w:b w:val="0"/>
        <w:color w:val="5D6B7A"/>
        <w:sz w:val="15"/>
      </w:rPr>
      <w:tab/>
      <w:t>摘要与目录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5DCE6"/>
      </w:pBdr>
      <w:tabs>
        <w:tab w:pos="9184" w:val="right"/>
      </w:tabs>
    </w:pPr>
    <w:r>
      <w:rPr>
        <w:rFonts w:ascii="微软雅黑" w:hAnsi="微软雅黑" w:eastAsia="微软雅黑" w:cs="微软雅黑"/>
        <w:b w:val="0"/>
        <w:color w:val="5D6B7A"/>
        <w:sz w:val="15"/>
      </w:rPr>
      <w:t>单细胞大模型：问题、方案与架构</w:t>
    </w:r>
    <w:r>
      <w:rPr>
        <w:rFonts w:ascii="微软雅黑" w:hAnsi="微软雅黑" w:eastAsia="微软雅黑" w:cs="微软雅黑"/>
        <w:b w:val="0"/>
        <w:color w:val="5D6B7A"/>
        <w:sz w:val="15"/>
      </w:rPr>
      <w:tab/>
      <w:t>2026 年 10 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before="0" w:after="60"/>
      <w:ind w:firstLine="420"/>
      <w:jc w:val="both"/>
    </w:pPr>
    <w:rPr>
      <w:rFonts w:ascii="宋体" w:hAnsi="宋体" w:eastAsia="宋体" w:cs="宋体"/>
      <w:color w:val="2230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单细胞大模型：问题、方案与架构</dc:title>
  <dc:subject>单细胞基础模型调研报告</dc:subject>
  <dc:creator>调研报告</dc:creator>
  <cp:keywords/>
  <dc:description>信息截至 2026-10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