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Georgia" w:hAnsi="Georgia"/>
          <w:b w:val="0"/>
          <w:i w:val="0"/>
          <w:color w:val="0D3B38"/>
          <w:sz w:val="48"/>
        </w:rPr>
        <w:t>Northpoint Digital Innovation Fund</w:t>
      </w:r>
    </w:p>
    <w:p>
      <w:pPr>
        <w:spacing w:after="280" w:before="0"/>
      </w:pPr>
      <w:r>
        <w:rPr>
          <w:b w:val="0"/>
          <w:i w:val="0"/>
          <w:color w:val="4A443C"/>
          <w:sz w:val="28"/>
        </w:rPr>
        <w:t>Six-year performance review — presenter script</w:t>
      </w:r>
    </w:p>
    <w:p>
      <w:pPr>
        <w:spacing w:after="120" w:before="0"/>
      </w:pPr>
      <w:r>
        <w:rPr>
          <w:b w:val="0"/>
          <w:i w:val="0"/>
          <w:color w:val="4A443C"/>
          <w:sz w:val="20"/>
        </w:rPr>
        <w:t>Callum O'Connor  ·  Student ID 14053836  ·  FINC13-303 Portfolio Analysis and Investments  ·  Assignment 2, Part 1</w:t>
      </w:r>
    </w:p>
    <w:p>
      <w:pPr>
        <w:spacing w:after="320" w:before="0"/>
      </w:pPr>
      <w:r>
        <w:rPr>
          <w:b w:val="0"/>
          <w:i/>
          <w:color w:val="4A443C"/>
          <w:sz w:val="20"/>
        </w:rPr>
        <w:t>This is the same text that sits in the PowerPoint notes pane, so you can read it here or from the teleprompter in PowerPoint's recording studio. It is written to be spoken, not read off the page — short sentences, contractions, no colons or dashes to trip over.</w:t>
      </w:r>
    </w:p>
    <w:p>
      <w:pPr>
        <w:spacing w:before="320" w:after="80"/>
      </w:pPr>
      <w:r>
        <w:rPr>
          <w:b/>
          <w:color w:val="C4551A"/>
          <w:sz w:val="20"/>
        </w:rPr>
        <w:t>01</w:t>
      </w:r>
      <w:r>
        <w:rPr>
          <w:rFonts w:ascii="Georgia" w:hAnsi="Georgia"/>
          <w:color w:val="0D3B38"/>
          <w:sz w:val="27"/>
        </w:rPr>
        <w:t xml:space="preserve">   Northpoint Digital Innovation Fund</w:t>
      </w:r>
    </w:p>
    <w:p>
      <w:pPr>
        <w:spacing w:after="120" w:before="0"/>
      </w:pPr>
      <w:r>
        <w:rPr>
          <w:b w:val="0"/>
          <w:i/>
          <w:color w:val="4A443C"/>
          <w:sz w:val="18"/>
        </w:rPr>
        <w:t>~157 words  ·  approx. 1.0 min at 150 wpm</w:t>
      </w:r>
    </w:p>
    <w:p>
      <w:pPr>
        <w:spacing w:after="160" w:before="0"/>
      </w:pPr>
      <w:r>
        <w:rPr>
          <w:b w:val="0"/>
          <w:i w:val="0"/>
          <w:sz w:val="22"/>
        </w:rPr>
        <w:t>Good morning, good afternoon, good evening, depending on where you're joining me from. I'm Callum O'Connor, Portfolio Manager of the Northpoint Digital Innovation Fund.</w:t>
      </w:r>
    </w:p>
    <w:p>
      <w:pPr>
        <w:spacing w:after="160" w:before="0"/>
      </w:pPr>
      <w:r>
        <w:rPr>
          <w:b w:val="0"/>
          <w:i w:val="0"/>
          <w:sz w:val="22"/>
        </w:rPr>
        <w:t>Six years ago you gave this fund a hundred million dollars and one instruction. Own the winners of digital transformation, right across the economy, and do it with discipline. Today I'm closing the book on that mandate.</w:t>
      </w:r>
    </w:p>
    <w:p>
      <w:pPr>
        <w:spacing w:after="160" w:before="0"/>
      </w:pPr>
      <w:r>
        <w:rPr>
          <w:b w:val="0"/>
          <w:i w:val="0"/>
          <w:sz w:val="22"/>
        </w:rPr>
        <w:t>You can see the headline on the right of your screen. That hundred million is now two hundred and seventy-nine million. A hundred and seventy-nine per cent in total, or eighteen point seven per cent a year, and we got there through a trade war, a pandemic, the fastest bear market in history and the sharpest rate shock in forty years.</w:t>
      </w:r>
    </w:p>
    <w:p>
      <w:pPr>
        <w:spacing w:after="160" w:before="0"/>
      </w:pPr>
      <w:r>
        <w:rPr>
          <w:b w:val="0"/>
          <w:i w:val="0"/>
          <w:sz w:val="22"/>
        </w:rPr>
        <w:t>Over the next twenty-five minutes I'll show you where that money came from, how much risk we took to get it, whether any of it was skill, and what I think you should do next.</w:t>
      </w:r>
    </w:p>
    <w:p>
      <w:pPr>
        <w:spacing w:before="320" w:after="80"/>
      </w:pPr>
      <w:r>
        <w:rPr>
          <w:b/>
          <w:color w:val="C4551A"/>
          <w:sz w:val="20"/>
        </w:rPr>
        <w:t>02</w:t>
      </w:r>
      <w:r>
        <w:rPr>
          <w:rFonts w:ascii="Georgia" w:hAnsi="Georgia"/>
          <w:color w:val="0D3B38"/>
          <w:sz w:val="27"/>
        </w:rPr>
        <w:t xml:space="preserve">   Agenda</w:t>
      </w:r>
    </w:p>
    <w:p>
      <w:pPr>
        <w:spacing w:after="120" w:before="0"/>
      </w:pPr>
      <w:r>
        <w:rPr>
          <w:b w:val="0"/>
          <w:i/>
          <w:color w:val="4A443C"/>
          <w:sz w:val="18"/>
        </w:rPr>
        <w:t>~103 words  ·  approx. 0.7 min at 150 wpm</w:t>
      </w:r>
    </w:p>
    <w:p>
      <w:pPr>
        <w:spacing w:after="160" w:before="0"/>
      </w:pPr>
      <w:r>
        <w:rPr>
          <w:b w:val="0"/>
          <w:i w:val="0"/>
          <w:sz w:val="22"/>
        </w:rPr>
        <w:t>Let me tell you how I'll use your time.</w:t>
      </w:r>
    </w:p>
    <w:p>
      <w:pPr>
        <w:spacing w:after="160" w:before="0"/>
      </w:pPr>
      <w:r>
        <w:rPr>
          <w:b w:val="0"/>
          <w:i w:val="0"/>
          <w:sz w:val="22"/>
        </w:rPr>
        <w:t>I'll start with the mandate you funded and whether we stuck to it. Then the economy, because six years is a long time and we lived through three quite different regimes. Then what the fund returned, and how it behaved in the two moments that mattered. Then how much risk we took.</w:t>
      </w:r>
    </w:p>
    <w:p>
      <w:pPr>
        <w:spacing w:after="160" w:before="0"/>
      </w:pPr>
      <w:r>
        <w:rPr>
          <w:b w:val="0"/>
          <w:i w:val="0"/>
          <w:sz w:val="22"/>
        </w:rPr>
        <w:t>Then comes the section I care about most, which is whether any of this was skill. And I'll finish with the verdict, the fees and my recommendation.</w:t>
      </w:r>
    </w:p>
    <w:p>
      <w:pPr>
        <w:spacing w:after="160" w:before="0"/>
      </w:pPr>
      <w:r>
        <w:rPr>
          <w:b w:val="0"/>
          <w:i w:val="0"/>
          <w:sz w:val="22"/>
        </w:rPr>
        <w:t>Questions at the end, and there's a full appendix if you want to go deeper.</w:t>
      </w:r>
    </w:p>
    <w:p>
      <w:pPr>
        <w:spacing w:before="320" w:after="80"/>
      </w:pPr>
      <w:r>
        <w:rPr>
          <w:b/>
          <w:color w:val="C4551A"/>
          <w:sz w:val="20"/>
        </w:rPr>
        <w:t>03</w:t>
      </w:r>
      <w:r>
        <w:rPr>
          <w:rFonts w:ascii="Georgia" w:hAnsi="Georgia"/>
          <w:color w:val="0D3B38"/>
          <w:sz w:val="27"/>
        </w:rPr>
        <w:t xml:space="preserve">   The six-year result</w:t>
      </w:r>
    </w:p>
    <w:p>
      <w:pPr>
        <w:spacing w:after="120" w:before="0"/>
      </w:pPr>
      <w:r>
        <w:rPr>
          <w:b w:val="0"/>
          <w:i/>
          <w:color w:val="4A443C"/>
          <w:sz w:val="18"/>
        </w:rPr>
        <w:t>~173 words  ·  approx. 1.2 min at 150 wpm</w:t>
      </w:r>
    </w:p>
    <w:p>
      <w:pPr>
        <w:spacing w:after="160" w:before="0"/>
      </w:pPr>
      <w:r>
        <w:rPr>
          <w:b w:val="0"/>
          <w:i w:val="0"/>
          <w:sz w:val="22"/>
        </w:rPr>
        <w:t>Before I unpack any of it, here's the whole six years on one slide.</w:t>
      </w:r>
    </w:p>
    <w:p>
      <w:pPr>
        <w:spacing w:after="160" w:before="0"/>
      </w:pPr>
      <w:r>
        <w:rPr>
          <w:b w:val="0"/>
          <w:i w:val="0"/>
          <w:sz w:val="22"/>
        </w:rPr>
        <w:t>Start top left. A hundred and seventy-nine per cent in total. Over the same window the S and P 500 returned ninety, and the NASDAQ-100, which is our primary benchmark and the harder test, returned a hundred and thirty-five. Annualised, we compounded at eighteen point seven per cent a year against a target of eight to ten.</w:t>
      </w:r>
    </w:p>
    <w:p>
      <w:pPr>
        <w:spacing w:after="160" w:before="0"/>
      </w:pPr>
      <w:r>
        <w:rPr>
          <w:b w:val="0"/>
          <w:i w:val="0"/>
          <w:sz w:val="22"/>
        </w:rPr>
        <w:t>Now look at the second row just as carefully. Our Sharpe ratio is zero point nine four, the highest of every comparator I tested. Our worst drawdown is minus twenty-four point nine per cent, which is shallower than the NASDAQ-100 managed. So we didn't simply take more risk to get more return.</w:t>
      </w:r>
    </w:p>
    <w:p>
      <w:pPr>
        <w:spacing w:after="160" w:before="0"/>
      </w:pPr>
      <w:r>
        <w:rPr>
          <w:b w:val="0"/>
          <w:i w:val="0"/>
          <w:sz w:val="22"/>
        </w:rPr>
        <w:t>And here's the number I'd point to above all the others. Six point six per cent of annualised alpha on a five-factor model, with a t-statistic of three point zero six. The chance that's luck is about two in a thousand. Our beta was one, so it wasn't leverage either.</w:t>
      </w:r>
    </w:p>
    <w:p>
      <w:pPr>
        <w:spacing w:before="320" w:after="80"/>
      </w:pPr>
      <w:r>
        <w:rPr>
          <w:b/>
          <w:color w:val="C4551A"/>
          <w:sz w:val="20"/>
        </w:rPr>
        <w:t>04</w:t>
      </w:r>
      <w:r>
        <w:rPr>
          <w:rFonts w:ascii="Georgia" w:hAnsi="Georgia"/>
          <w:color w:val="0D3B38"/>
          <w:sz w:val="27"/>
        </w:rPr>
        <w:t xml:space="preserve">   01</w:t>
      </w:r>
    </w:p>
    <w:p>
      <w:pPr>
        <w:spacing w:after="160" w:before="0"/>
      </w:pPr>
      <w:r>
        <w:rPr>
          <w:b w:val="0"/>
          <w:i/>
          <w:color w:val="4A443C"/>
          <w:sz w:val="20"/>
        </w:rPr>
        <w:t>(no narration — section divider, hold for two seconds and move on)</w:t>
      </w:r>
    </w:p>
    <w:p>
      <w:pPr>
        <w:spacing w:before="320" w:after="80"/>
      </w:pPr>
      <w:r>
        <w:rPr>
          <w:b/>
          <w:color w:val="C4551A"/>
          <w:sz w:val="20"/>
        </w:rPr>
        <w:t>05</w:t>
      </w:r>
      <w:r>
        <w:rPr>
          <w:rFonts w:ascii="Georgia" w:hAnsi="Georgia"/>
          <w:color w:val="0D3B38"/>
          <w:sz w:val="27"/>
        </w:rPr>
        <w:t xml:space="preserve">   The mandate you funded</w:t>
      </w:r>
    </w:p>
    <w:p>
      <w:pPr>
        <w:spacing w:after="120" w:before="0"/>
      </w:pPr>
      <w:r>
        <w:rPr>
          <w:b w:val="0"/>
          <w:i/>
          <w:color w:val="4A443C"/>
          <w:sz w:val="18"/>
        </w:rPr>
        <w:t>~139 words  ·  approx. 0.9 min at 150 wpm</w:t>
      </w:r>
    </w:p>
    <w:p>
      <w:pPr>
        <w:spacing w:after="160" w:before="0"/>
      </w:pPr>
      <w:r>
        <w:rPr>
          <w:b w:val="0"/>
          <w:i w:val="0"/>
          <w:sz w:val="22"/>
        </w:rPr>
        <w:t>This is the contract, and I've put it up unedited. The first test of a manager isn't performance. It's whether the thing you bought is the thing you got.</w:t>
      </w:r>
    </w:p>
    <w:p>
      <w:pPr>
        <w:spacing w:after="160" w:before="0"/>
      </w:pPr>
      <w:r>
        <w:rPr>
          <w:b w:val="0"/>
          <w:i w:val="0"/>
          <w:sz w:val="22"/>
        </w:rPr>
        <w:t>We said we'd run an active, high-conviction thematic fund, and the theme was digital transformation. Eleven stocks, one in every GICS sector. A pure technology fund would have been an easier story to sell, but it would have failed the diversification requirement, and it would have hurt us badly in 2022.</w:t>
      </w:r>
    </w:p>
    <w:p>
      <w:pPr>
        <w:spacing w:after="160" w:before="0"/>
      </w:pPr>
      <w:r>
        <w:rPr>
          <w:b w:val="0"/>
          <w:i w:val="0"/>
          <w:sz w:val="22"/>
        </w:rPr>
        <w:t>We put two hard constraints on the weights. Every sector holds at least five per cent, and no position goes above sixteen. And we rebalance every quarter.</w:t>
      </w:r>
    </w:p>
    <w:p>
      <w:pPr>
        <w:spacing w:after="160" w:before="0"/>
      </w:pPr>
      <w:r>
        <w:rPr>
          <w:b w:val="0"/>
          <w:i w:val="0"/>
          <w:sz w:val="22"/>
        </w:rPr>
        <w:t>The last line is the one to hold onto. We said we were targeting eight to ten per cent a year, net of fees. I'll mark ourselves against that at the end.</w:t>
      </w:r>
    </w:p>
    <w:p>
      <w:pPr>
        <w:spacing w:before="320" w:after="80"/>
      </w:pPr>
      <w:r>
        <w:rPr>
          <w:b/>
          <w:color w:val="C4551A"/>
          <w:sz w:val="20"/>
        </w:rPr>
        <w:t>06</w:t>
      </w:r>
      <w:r>
        <w:rPr>
          <w:rFonts w:ascii="Georgia" w:hAnsi="Georgia"/>
          <w:color w:val="0D3B38"/>
          <w:sz w:val="27"/>
        </w:rPr>
        <w:t xml:space="preserve">   Eleven sectors, one idea</w:t>
      </w:r>
    </w:p>
    <w:p>
      <w:pPr>
        <w:spacing w:after="120" w:before="0"/>
      </w:pPr>
      <w:r>
        <w:rPr>
          <w:b w:val="0"/>
          <w:i/>
          <w:color w:val="4A443C"/>
          <w:sz w:val="18"/>
        </w:rPr>
        <w:t>~153 words  ·  approx. 1.0 min at 150 wpm</w:t>
      </w:r>
    </w:p>
    <w:p>
      <w:pPr>
        <w:spacing w:after="160" w:before="0"/>
      </w:pPr>
      <w:r>
        <w:rPr>
          <w:b w:val="0"/>
          <w:i w:val="0"/>
          <w:sz w:val="22"/>
        </w:rPr>
        <w:t>Here's the book, coloured by conviction tier.</w:t>
      </w:r>
    </w:p>
    <w:p>
      <w:pPr>
        <w:spacing w:after="160" w:before="0"/>
      </w:pPr>
      <w:r>
        <w:rPr>
          <w:b w:val="0"/>
          <w:i w:val="0"/>
          <w:sz w:val="22"/>
        </w:rPr>
        <w:t>Tier one is forty-two per cent of the money in three platform companies, where several parts of the thesis compound at the same time. Microsoft was our largest position at sixteen per cent.</w:t>
      </w:r>
    </w:p>
    <w:p>
      <w:pPr>
        <w:spacing w:after="160" w:before="0"/>
      </w:pPr>
      <w:r>
        <w:rPr>
          <w:b w:val="0"/>
          <w:i w:val="0"/>
          <w:sz w:val="22"/>
        </w:rPr>
        <w:t>Tier two is thirty-four per cent, and I call these the enablers. Each one monetises digitisation through a single channel. Visa is payments, Equinix is data centres, Illumina is genomics, Rockwell is factory automation.</w:t>
      </w:r>
    </w:p>
    <w:p>
      <w:pPr>
        <w:spacing w:after="160" w:before="0"/>
      </w:pPr>
      <w:r>
        <w:rPr>
          <w:b w:val="0"/>
          <w:i w:val="0"/>
          <w:sz w:val="22"/>
        </w:rPr>
        <w:t>Tier three is the last twenty-four per cent, and that's our ballast.</w:t>
      </w:r>
    </w:p>
    <w:p>
      <w:pPr>
        <w:spacing w:after="160" w:before="0"/>
      </w:pPr>
      <w:r>
        <w:rPr>
          <w:b w:val="0"/>
          <w:i w:val="0"/>
          <w:sz w:val="22"/>
        </w:rPr>
        <w:t>Now, the point at the bottom is the one I'd ask you to remember. For five of these six years, holding Schlumberger at five per cent looked like a tax on the portfolio. People asked me repeatedly why we didn't just drop the sector. We didn't drop it because the mandate said every sector keeps a floor. And in 2022 that discipline is exactly what saved us.</w:t>
      </w:r>
    </w:p>
    <w:p>
      <w:pPr>
        <w:spacing w:before="320" w:after="80"/>
      </w:pPr>
      <w:r>
        <w:rPr>
          <w:b/>
          <w:color w:val="C4551A"/>
          <w:sz w:val="20"/>
        </w:rPr>
        <w:t>07</w:t>
      </w:r>
      <w:r>
        <w:rPr>
          <w:rFonts w:ascii="Georgia" w:hAnsi="Georgia"/>
          <w:color w:val="0D3B38"/>
          <w:sz w:val="27"/>
        </w:rPr>
        <w:t xml:space="preserve">   We rebalanced. That was a decision, and it paid.</w:t>
      </w:r>
    </w:p>
    <w:p>
      <w:pPr>
        <w:spacing w:after="120" w:before="0"/>
      </w:pPr>
      <w:r>
        <w:rPr>
          <w:b w:val="0"/>
          <w:i/>
          <w:color w:val="4A443C"/>
          <w:sz w:val="18"/>
        </w:rPr>
        <w:t>~124 words  ·  approx. 0.8 min at 150 wpm</w:t>
      </w:r>
    </w:p>
    <w:p>
      <w:pPr>
        <w:spacing w:after="160" w:before="0"/>
      </w:pPr>
      <w:r>
        <w:rPr>
          <w:b w:val="0"/>
          <w:i w:val="0"/>
          <w:sz w:val="22"/>
        </w:rPr>
        <w:t>On the left is what would have happened if we'd bought the eleven stocks and never touched them. Tier one would have grown from forty-two per cent of the book to forty-eight, and Microsoft alone would have reached twenty-five. You'd have ended up owning a concentrated mega-cap technology fund that looked nothing like the mandate you signed.</w:t>
      </w:r>
    </w:p>
    <w:p>
      <w:pPr>
        <w:spacing w:after="160" w:before="0"/>
      </w:pPr>
      <w:r>
        <w:rPr>
          <w:b w:val="0"/>
          <w:i w:val="0"/>
          <w:sz w:val="22"/>
        </w:rPr>
        <w:t>On the right is what we actually did.</w:t>
      </w:r>
    </w:p>
    <w:p>
      <w:pPr>
        <w:spacing w:after="160" w:before="0"/>
      </w:pPr>
      <w:r>
        <w:rPr>
          <w:b w:val="0"/>
          <w:i w:val="0"/>
          <w:sz w:val="22"/>
        </w:rPr>
        <w:t>Now look at the table. Rebalancing wasn't governance theatre. It was worth eighteen million dollars to you. That's one point three points a year of extra return, a higher Sharpe ratio, and a drawdown three points shallower. The reason is simple. Rebalancing kept trimming the winners when they were high and topping up the laggards when they were low.</w:t>
      </w:r>
    </w:p>
    <w:p>
      <w:pPr>
        <w:spacing w:before="320" w:after="80"/>
      </w:pPr>
      <w:r>
        <w:rPr>
          <w:b/>
          <w:color w:val="C4551A"/>
          <w:sz w:val="20"/>
        </w:rPr>
        <w:t>08</w:t>
      </w:r>
      <w:r>
        <w:rPr>
          <w:rFonts w:ascii="Georgia" w:hAnsi="Georgia"/>
          <w:color w:val="0D3B38"/>
          <w:sz w:val="27"/>
        </w:rPr>
        <w:t xml:space="preserve">   02</w:t>
      </w:r>
    </w:p>
    <w:p>
      <w:pPr>
        <w:spacing w:after="160" w:before="0"/>
      </w:pPr>
      <w:r>
        <w:rPr>
          <w:b w:val="0"/>
          <w:i/>
          <w:color w:val="4A443C"/>
          <w:sz w:val="20"/>
        </w:rPr>
        <w:t>(no narration — section divider, hold for two seconds and move on)</w:t>
      </w:r>
    </w:p>
    <w:p>
      <w:pPr>
        <w:spacing w:before="320" w:after="80"/>
      </w:pPr>
      <w:r>
        <w:rPr>
          <w:b/>
          <w:color w:val="C4551A"/>
          <w:sz w:val="20"/>
        </w:rPr>
        <w:t>09</w:t>
      </w:r>
      <w:r>
        <w:rPr>
          <w:rFonts w:ascii="Georgia" w:hAnsi="Georgia"/>
          <w:color w:val="0D3B38"/>
          <w:sz w:val="27"/>
        </w:rPr>
        <w:t xml:space="preserve">   Six years, seven turning points</w:t>
      </w:r>
    </w:p>
    <w:p>
      <w:pPr>
        <w:spacing w:after="120" w:before="0"/>
      </w:pPr>
      <w:r>
        <w:rPr>
          <w:b w:val="0"/>
          <w:i/>
          <w:color w:val="4A443C"/>
          <w:sz w:val="18"/>
        </w:rPr>
        <w:t>~138 words  ·  approx. 0.9 min at 150 wpm</w:t>
      </w:r>
    </w:p>
    <w:p>
      <w:pPr>
        <w:spacing w:after="160" w:before="0"/>
      </w:pPr>
      <w:r>
        <w:rPr>
          <w:b w:val="0"/>
          <w:i w:val="0"/>
          <w:sz w:val="22"/>
        </w:rPr>
        <w:t>We opened in January 2017, the month the Dow crossed twenty thousand. The fund returned forty per cent that year. The December tax reform lifted after-tax earnings across the book, and cloud adoption accelerated exactly as we'd argued.</w:t>
      </w:r>
    </w:p>
    <w:p>
      <w:pPr>
        <w:spacing w:after="160" w:before="0"/>
      </w:pPr>
      <w:r>
        <w:rPr>
          <w:b w:val="0"/>
          <w:i w:val="0"/>
          <w:sz w:val="22"/>
        </w:rPr>
        <w:t>2018 was our first hard year. The trade war escalated and the fourth quarter was brutal. We lost nine point six per cent in October and another nine point eight in December, and still finished up three point seven while the S and P fell four and a half.</w:t>
      </w:r>
    </w:p>
    <w:p>
      <w:pPr>
        <w:spacing w:after="160" w:before="0"/>
      </w:pPr>
      <w:r>
        <w:rPr>
          <w:b w:val="0"/>
          <w:i w:val="0"/>
          <w:sz w:val="22"/>
        </w:rPr>
        <w:t>2019 was the recovery, off the back of the Fed pivoting to cuts. Then March 2020, which I'll come back to.</w:t>
      </w:r>
    </w:p>
    <w:p>
      <w:pPr>
        <w:spacing w:after="160" w:before="0"/>
      </w:pPr>
      <w:r>
        <w:rPr>
          <w:b w:val="0"/>
          <w:i w:val="0"/>
          <w:sz w:val="22"/>
        </w:rPr>
        <w:t>The fund peaked in December 2021 at three hundred and sixty million dollars, within weeks of the Fed dropping the word transitory. 2022 gave a good chunk of it back.</w:t>
      </w:r>
    </w:p>
    <w:p>
      <w:pPr>
        <w:spacing w:before="320" w:after="80"/>
      </w:pPr>
      <w:r>
        <w:rPr>
          <w:b/>
          <w:color w:val="C4551A"/>
          <w:sz w:val="20"/>
        </w:rPr>
        <w:t>10</w:t>
      </w:r>
      <w:r>
        <w:rPr>
          <w:rFonts w:ascii="Georgia" w:hAnsi="Georgia"/>
          <w:color w:val="0D3B38"/>
          <w:sz w:val="27"/>
        </w:rPr>
        <w:t xml:space="preserve">   The macro backdrop, regime by regime</w:t>
      </w:r>
    </w:p>
    <w:p>
      <w:pPr>
        <w:spacing w:after="120" w:before="0"/>
      </w:pPr>
      <w:r>
        <w:rPr>
          <w:b w:val="0"/>
          <w:i/>
          <w:color w:val="4A443C"/>
          <w:sz w:val="18"/>
        </w:rPr>
        <w:t>~163 words  ·  approx. 1.1 min at 150 wpm</w:t>
      </w:r>
    </w:p>
    <w:p>
      <w:pPr>
        <w:spacing w:after="160" w:before="0"/>
      </w:pPr>
      <w:r>
        <w:rPr>
          <w:b w:val="0"/>
          <w:i w:val="0"/>
          <w:sz w:val="22"/>
        </w:rPr>
        <w:t>The first three years were broadly the world we said we expected. Moderate growth, contained inflation, a gradual Fed, and spending shifting towards cloud, mobile and payments. 2018 was the exception. The trade war was a risk we'd flagged, but we sized it wrongly.</w:t>
      </w:r>
    </w:p>
    <w:p>
      <w:pPr>
        <w:spacing w:after="160" w:before="0"/>
      </w:pPr>
      <w:r>
        <w:rPr>
          <w:b w:val="0"/>
          <w:i w:val="0"/>
          <w:sz w:val="22"/>
        </w:rPr>
        <w:t>The second three years are more interesting. Go back to our 2016 Scenario C and we wrote, and I'm quoting, another systemic disruption such as a global pandemic. We put twenty per cent on it. Then it happened.</w:t>
      </w:r>
    </w:p>
    <w:p>
      <w:pPr>
        <w:spacing w:after="160" w:before="0"/>
      </w:pPr>
      <w:r>
        <w:rPr>
          <w:b w:val="0"/>
          <w:i w:val="0"/>
          <w:sz w:val="22"/>
        </w:rPr>
        <w:t>And here's the part we got right for the right reason. We'd argued that even in a recession, cloud migration and payment digitisation carry on, because they save companies money. COVID didn't slow our theme. It accelerated it by years.</w:t>
      </w:r>
    </w:p>
    <w:p>
      <w:pPr>
        <w:spacing w:after="160" w:before="0"/>
      </w:pPr>
      <w:r>
        <w:rPr>
          <w:b w:val="0"/>
          <w:i w:val="0"/>
          <w:sz w:val="22"/>
        </w:rPr>
        <w:t>2022 was different. That year tested the diversification rather than the theme. When the discount rate moves from zero to four and a quarter, growth equity gets repriced, and there was nowhere to hide inside our theme. Only the ballast helped.</w:t>
      </w:r>
    </w:p>
    <w:p>
      <w:pPr>
        <w:spacing w:before="320" w:after="80"/>
      </w:pPr>
      <w:r>
        <w:rPr>
          <w:b/>
          <w:color w:val="C4551A"/>
          <w:sz w:val="20"/>
        </w:rPr>
        <w:t>11</w:t>
      </w:r>
      <w:r>
        <w:rPr>
          <w:rFonts w:ascii="Georgia" w:hAnsi="Georgia"/>
          <w:color w:val="0D3B38"/>
          <w:sz w:val="27"/>
        </w:rPr>
        <w:t xml:space="preserve">   Marking our 2016 scenarios to market</w:t>
      </w:r>
    </w:p>
    <w:p>
      <w:pPr>
        <w:spacing w:after="120" w:before="0"/>
      </w:pPr>
      <w:r>
        <w:rPr>
          <w:b w:val="0"/>
          <w:i/>
          <w:color w:val="4A443C"/>
          <w:sz w:val="18"/>
        </w:rPr>
        <w:t>~127 words  ·  approx. 0.8 min at 150 wpm</w:t>
      </w:r>
    </w:p>
    <w:p>
      <w:pPr>
        <w:spacing w:after="160" w:before="0"/>
      </w:pPr>
      <w:r>
        <w:rPr>
          <w:b w:val="0"/>
          <w:i w:val="0"/>
          <w:sz w:val="22"/>
        </w:rPr>
        <w:t>In 2016 we published three scenarios with explicit probabilities and returns. The pale bars are what we said. The dark bars are what we delivered.</w:t>
      </w:r>
    </w:p>
    <w:p>
      <w:pPr>
        <w:spacing w:after="160" w:before="0"/>
      </w:pPr>
      <w:r>
        <w:rPr>
          <w:b w:val="0"/>
          <w:i w:val="0"/>
          <w:sz w:val="22"/>
        </w:rPr>
        <w:t>Two honest observations. We got the direction right in five of six years. But we were consistently too conservative about the size of the moves, in both directions. In 2017 we assumed eighteen per cent and delivered forty. In 2019 we thought we were in a stagnation world worth nine, and delivered thirty-seven. And in 2022 we'd assumed a recession would cost four per cent, when it cost us twenty-two and a half.</w:t>
      </w:r>
    </w:p>
    <w:p>
      <w:pPr>
        <w:spacing w:after="160" w:before="0"/>
      </w:pPr>
      <w:r>
        <w:rPr>
          <w:b w:val="0"/>
          <w:i w:val="0"/>
          <w:sz w:val="22"/>
        </w:rPr>
        <w:t>So here's the lesson. Scenario frameworks are good at telling you which state of the world you're in. They're poor at telling you how violent it's going to be.</w:t>
      </w:r>
    </w:p>
    <w:p>
      <w:pPr>
        <w:spacing w:before="320" w:after="80"/>
      </w:pPr>
      <w:r>
        <w:rPr>
          <w:b/>
          <w:color w:val="C4551A"/>
          <w:sz w:val="20"/>
        </w:rPr>
        <w:t>12</w:t>
      </w:r>
      <w:r>
        <w:rPr>
          <w:rFonts w:ascii="Georgia" w:hAnsi="Georgia"/>
          <w:color w:val="0D3B38"/>
          <w:sz w:val="27"/>
        </w:rPr>
        <w:t xml:space="preserve">   03</w:t>
      </w:r>
    </w:p>
    <w:p>
      <w:pPr>
        <w:spacing w:after="160" w:before="0"/>
      </w:pPr>
      <w:r>
        <w:rPr>
          <w:b w:val="0"/>
          <w:i/>
          <w:color w:val="4A443C"/>
          <w:sz w:val="20"/>
        </w:rPr>
        <w:t>(no narration — section divider, hold for two seconds and move on)</w:t>
      </w:r>
    </w:p>
    <w:p>
      <w:pPr>
        <w:spacing w:before="320" w:after="80"/>
      </w:pPr>
      <w:r>
        <w:rPr>
          <w:b/>
          <w:color w:val="C4551A"/>
          <w:sz w:val="20"/>
        </w:rPr>
        <w:t>13</w:t>
      </w:r>
      <w:r>
        <w:rPr>
          <w:rFonts w:ascii="Georgia" w:hAnsi="Georgia"/>
          <w:color w:val="0D3B38"/>
          <w:sz w:val="27"/>
        </w:rPr>
        <w:t xml:space="preserve">   A $100m mandate became $279m</w:t>
      </w:r>
    </w:p>
    <w:p>
      <w:pPr>
        <w:spacing w:after="120" w:before="0"/>
      </w:pPr>
      <w:r>
        <w:rPr>
          <w:b w:val="0"/>
          <w:i/>
          <w:color w:val="4A443C"/>
          <w:sz w:val="18"/>
        </w:rPr>
        <w:t>~122 words  ·  approx. 0.8 min at 150 wpm</w:t>
      </w:r>
    </w:p>
    <w:p>
      <w:pPr>
        <w:spacing w:after="160" w:before="0"/>
      </w:pPr>
      <w:r>
        <w:rPr>
          <w:b w:val="0"/>
          <w:i w:val="0"/>
          <w:sz w:val="22"/>
        </w:rPr>
        <w:t>This is the chart the whole review rests on.</w:t>
      </w:r>
    </w:p>
    <w:p>
      <w:pPr>
        <w:spacing w:after="160" w:before="0"/>
      </w:pPr>
      <w:r>
        <w:rPr>
          <w:b w:val="0"/>
          <w:i w:val="0"/>
          <w:sz w:val="22"/>
        </w:rPr>
        <w:t>Three things to notice. We sit above the NASDAQ-100 for essentially the entire six years, and the gap widens rather than narrows. Then look at where the lines separate most, which is right at the end, in 2022. On the way up we tracked the benchmark closely. On the way down we fell a lot less, and that asymmetry is the whole argument for how we built this portfolio.</w:t>
      </w:r>
    </w:p>
    <w:p>
      <w:pPr>
        <w:spacing w:after="160" w:before="0"/>
      </w:pPr>
      <w:r>
        <w:rPr>
          <w:b w:val="0"/>
          <w:i w:val="0"/>
          <w:sz w:val="22"/>
        </w:rPr>
        <w:t>The third thing is the table underneath. Against the S and P 500, which any of you could have bought for nine basis points, we added eighty-nine million dollars. Against the NASDAQ-100, the tougher test because it shares our theme, we added forty-four million.</w:t>
      </w:r>
    </w:p>
    <w:p>
      <w:pPr>
        <w:spacing w:before="320" w:after="80"/>
      </w:pPr>
      <w:r>
        <w:rPr>
          <w:b/>
          <w:color w:val="C4551A"/>
          <w:sz w:val="20"/>
        </w:rPr>
        <w:t>14</w:t>
      </w:r>
      <w:r>
        <w:rPr>
          <w:rFonts w:ascii="Georgia" w:hAnsi="Georgia"/>
          <w:color w:val="0D3B38"/>
          <w:sz w:val="27"/>
        </w:rPr>
        <w:t xml:space="preserve">   Beat the S&amp;P 500 in five of six years</w:t>
      </w:r>
    </w:p>
    <w:p>
      <w:pPr>
        <w:spacing w:after="120" w:before="0"/>
      </w:pPr>
      <w:r>
        <w:rPr>
          <w:b w:val="0"/>
          <w:i/>
          <w:color w:val="4A443C"/>
          <w:sz w:val="18"/>
        </w:rPr>
        <w:t>~156 words  ·  approx. 1.0 min at 150 wpm</w:t>
      </w:r>
    </w:p>
    <w:p>
      <w:pPr>
        <w:spacing w:after="160" w:before="0"/>
      </w:pPr>
      <w:r>
        <w:rPr>
          <w:b w:val="0"/>
          <w:i w:val="0"/>
          <w:sz w:val="22"/>
        </w:rPr>
        <w:t>Here are the annual returns, which is how most of you will see the fund reported.</w:t>
      </w:r>
    </w:p>
    <w:p>
      <w:pPr>
        <w:spacing w:after="160" w:before="0"/>
      </w:pPr>
      <w:r>
        <w:rPr>
          <w:b w:val="0"/>
          <w:i w:val="0"/>
          <w:sz w:val="22"/>
        </w:rPr>
        <w:t>So look at 2018 and 2022, because those are the years the market fell. In 2018 the S and P lost four point six per cent and the NASDAQ-100 was flat, and we made three point seven. In 2022 the S and P lost eighteen and the NASDAQ-100 lost thirty-two point six, and we lost twenty-two and a half.</w:t>
      </w:r>
    </w:p>
    <w:p>
      <w:pPr>
        <w:spacing w:after="160" w:before="0"/>
      </w:pPr>
      <w:r>
        <w:rPr>
          <w:b w:val="0"/>
          <w:i w:val="0"/>
          <w:sz w:val="22"/>
        </w:rPr>
        <w:t>I should be straight with you about that year. We underperformed the S and P by four points, and I won't dress that up. A technology-tilted fund should lag the broad market when growth de-rates. But against our own theme benchmark we outperformed by ten full points.</w:t>
      </w:r>
    </w:p>
    <w:p>
      <w:pPr>
        <w:spacing w:after="160" w:before="0"/>
      </w:pPr>
      <w:r>
        <w:rPr>
          <w:b w:val="0"/>
          <w:i w:val="0"/>
          <w:sz w:val="22"/>
        </w:rPr>
        <w:t>The only year we lagged the NASDAQ-100 was 2020, when concentration was rewarded and our sector floors held us back. That's the cost of diversification, and 2022 is where you got paid for it.</w:t>
      </w:r>
    </w:p>
    <w:p>
      <w:pPr>
        <w:spacing w:before="320" w:after="80"/>
      </w:pPr>
      <w:r>
        <w:rPr>
          <w:b/>
          <w:color w:val="C4551A"/>
          <w:sz w:val="20"/>
        </w:rPr>
        <w:t>15</w:t>
      </w:r>
      <w:r>
        <w:rPr>
          <w:rFonts w:ascii="Georgia" w:hAnsi="Georgia"/>
          <w:color w:val="0D3B38"/>
          <w:sz w:val="27"/>
        </w:rPr>
        <w:t xml:space="preserve">   The value-add compounded quietly, then paid off</w:t>
      </w:r>
    </w:p>
    <w:p>
      <w:pPr>
        <w:spacing w:after="120" w:before="0"/>
      </w:pPr>
      <w:r>
        <w:rPr>
          <w:b w:val="0"/>
          <w:i/>
          <w:color w:val="4A443C"/>
          <w:sz w:val="18"/>
        </w:rPr>
        <w:t>~135 words  ·  approx. 0.9 min at 150 wpm</w:t>
      </w:r>
    </w:p>
    <w:p>
      <w:pPr>
        <w:spacing w:after="160" w:before="0"/>
      </w:pPr>
      <w:r>
        <w:rPr>
          <w:b w:val="0"/>
          <w:i w:val="0"/>
          <w:sz w:val="22"/>
        </w:rPr>
        <w:t>Green is us against the S and P 500, and it rises steadily throughout. That's the theme working.</w:t>
      </w:r>
    </w:p>
    <w:p>
      <w:pPr>
        <w:spacing w:after="160" w:before="0"/>
      </w:pPr>
      <w:r>
        <w:rPr>
          <w:b w:val="0"/>
          <w:i w:val="0"/>
          <w:sz w:val="22"/>
        </w:rPr>
        <w:t>Orange is the line that tells you something you won't get anywhere else. Against the NASDAQ-100 we were roughly flat for the first four and a half years. We only pulled decisively ahead from November 2021.</w:t>
      </w:r>
    </w:p>
    <w:p>
      <w:pPr>
        <w:spacing w:after="160" w:before="0"/>
      </w:pPr>
      <w:r>
        <w:rPr>
          <w:b w:val="0"/>
          <w:i w:val="0"/>
          <w:sz w:val="22"/>
        </w:rPr>
        <w:t>Be clear about what that means. For most of this fund's life we did not beat our primary benchmark. We tracked it. All of our outperformance against it was earned in the 2022 drawdown, by falling less.</w:t>
      </w:r>
    </w:p>
    <w:p>
      <w:pPr>
        <w:spacing w:after="160" w:before="0"/>
      </w:pPr>
      <w:r>
        <w:rPr>
          <w:b w:val="0"/>
          <w:i w:val="0"/>
          <w:sz w:val="22"/>
        </w:rPr>
        <w:t>Some managers would present that as a weakness. I'd argue the opposite. Anyone can hold technology stocks in a technology bull market. Protecting capital when the regime turns is the part that needs an actual discipline, and 2022 is where our fee earned itself.</w:t>
      </w:r>
    </w:p>
    <w:p>
      <w:pPr>
        <w:spacing w:before="320" w:after="80"/>
      </w:pPr>
      <w:r>
        <w:rPr>
          <w:b/>
          <w:color w:val="C4551A"/>
          <w:sz w:val="20"/>
        </w:rPr>
        <w:t>16</w:t>
      </w:r>
      <w:r>
        <w:rPr>
          <w:rFonts w:ascii="Georgia" w:hAnsi="Georgia"/>
          <w:color w:val="0D3B38"/>
          <w:sz w:val="27"/>
        </w:rPr>
        <w:t xml:space="preserve">   The fund fell less than its own benchmark</w:t>
      </w:r>
    </w:p>
    <w:p>
      <w:pPr>
        <w:spacing w:after="120" w:before="0"/>
      </w:pPr>
      <w:r>
        <w:rPr>
          <w:b w:val="0"/>
          <w:i/>
          <w:color w:val="4A443C"/>
          <w:sz w:val="18"/>
        </w:rPr>
        <w:t>~86 words  ·  approx. 0.6 min at 150 wpm</w:t>
      </w:r>
    </w:p>
    <w:p>
      <w:pPr>
        <w:spacing w:after="160" w:before="0"/>
      </w:pPr>
      <w:r>
        <w:rPr>
          <w:b w:val="0"/>
          <w:i w:val="0"/>
          <w:sz w:val="22"/>
        </w:rPr>
        <w:t>Drawdown decides whether an investor stays in a fund, so I'll take it head on.</w:t>
      </w:r>
    </w:p>
    <w:p>
      <w:pPr>
        <w:spacing w:after="160" w:before="0"/>
      </w:pPr>
      <w:r>
        <w:rPr>
          <w:b w:val="0"/>
          <w:i w:val="0"/>
          <w:sz w:val="22"/>
        </w:rPr>
        <w:t>Our worst peak-to-trough loss was twenty-four point nine per cent, from the November 2021 peak to the September 2022 trough. The NASDAQ-100 lost thirty-two point six over a similar window, and the S and P lost twenty-three point nine.</w:t>
      </w:r>
    </w:p>
    <w:p>
      <w:pPr>
        <w:spacing w:after="160" w:before="0"/>
      </w:pPr>
      <w:r>
        <w:rPr>
          <w:b w:val="0"/>
          <w:i w:val="0"/>
          <w:sz w:val="22"/>
        </w:rPr>
        <w:t>So we sat between the two. Worse than the broad market, and materially better than our own benchmark. For a fund with a deliberate technology tilt, that's the right place to be.</w:t>
      </w:r>
    </w:p>
    <w:p>
      <w:pPr>
        <w:spacing w:before="320" w:after="80"/>
      </w:pPr>
      <w:r>
        <w:rPr>
          <w:b/>
          <w:color w:val="C4551A"/>
          <w:sz w:val="20"/>
        </w:rPr>
        <w:t>17</w:t>
      </w:r>
      <w:r>
        <w:rPr>
          <w:rFonts w:ascii="Georgia" w:hAnsi="Georgia"/>
          <w:color w:val="0D3B38"/>
          <w:sz w:val="27"/>
        </w:rPr>
        <w:t xml:space="preserve">   Stress test one: COVID-19</w:t>
      </w:r>
    </w:p>
    <w:p>
      <w:pPr>
        <w:spacing w:after="120" w:before="0"/>
      </w:pPr>
      <w:r>
        <w:rPr>
          <w:b w:val="0"/>
          <w:i/>
          <w:color w:val="4A443C"/>
          <w:sz w:val="18"/>
        </w:rPr>
        <w:t>~107 words  ·  approx. 0.7 min at 150 wpm</w:t>
      </w:r>
    </w:p>
    <w:p>
      <w:pPr>
        <w:spacing w:after="160" w:before="0"/>
      </w:pPr>
      <w:r>
        <w:rPr>
          <w:b w:val="0"/>
          <w:i w:val="0"/>
          <w:sz w:val="22"/>
        </w:rPr>
        <w:t>The first of two stress tests.</w:t>
      </w:r>
    </w:p>
    <w:p>
      <w:pPr>
        <w:spacing w:after="160" w:before="0"/>
      </w:pPr>
      <w:r>
        <w:rPr>
          <w:b w:val="0"/>
          <w:i w:val="0"/>
          <w:sz w:val="22"/>
        </w:rPr>
        <w:t>February and March of 2020 cost us twelve point six per cent, and it felt considerably worse at the time, because these are month-end figures.</w:t>
      </w:r>
    </w:p>
    <w:p>
      <w:pPr>
        <w:spacing w:after="160" w:before="0"/>
      </w:pPr>
      <w:r>
        <w:rPr>
          <w:b w:val="0"/>
          <w:i w:val="0"/>
          <w:sz w:val="22"/>
        </w:rPr>
        <w:t>Then look what happens. April 2020 was the best month in this fund's history at plus fourteen and a half per cent. By May we were back above the January high, and the year finished up thirty-seven.</w:t>
      </w:r>
    </w:p>
    <w:p>
      <w:pPr>
        <w:spacing w:after="160" w:before="0"/>
      </w:pPr>
      <w:r>
        <w:rPr>
          <w:b w:val="0"/>
          <w:i w:val="0"/>
          <w:sz w:val="22"/>
        </w:rPr>
        <w:t>The second point matters more. Our thesis rested on the idea that digital transformation saves companies money, and therefore continues in a recession. COVID tested that harder than anything we could have designed, and the answer came back emphatically.</w:t>
      </w:r>
    </w:p>
    <w:p>
      <w:pPr>
        <w:spacing w:before="320" w:after="80"/>
      </w:pPr>
      <w:r>
        <w:rPr>
          <w:b/>
          <w:color w:val="C4551A"/>
          <w:sz w:val="20"/>
        </w:rPr>
        <w:t>18</w:t>
      </w:r>
      <w:r>
        <w:rPr>
          <w:rFonts w:ascii="Georgia" w:hAnsi="Georgia"/>
          <w:color w:val="0D3B38"/>
          <w:sz w:val="27"/>
        </w:rPr>
        <w:t xml:space="preserve">   Stress test two: the 2022 rate shock</w:t>
      </w:r>
    </w:p>
    <w:p>
      <w:pPr>
        <w:spacing w:after="120" w:before="0"/>
      </w:pPr>
      <w:r>
        <w:rPr>
          <w:b w:val="0"/>
          <w:i/>
          <w:color w:val="4A443C"/>
          <w:sz w:val="18"/>
        </w:rPr>
        <w:t>~204 words  ·  approx. 1.4 min at 150 wpm</w:t>
      </w:r>
    </w:p>
    <w:p>
      <w:pPr>
        <w:spacing w:after="160" w:before="0"/>
      </w:pPr>
      <w:r>
        <w:rPr>
          <w:b w:val="0"/>
          <w:i w:val="0"/>
          <w:sz w:val="22"/>
        </w:rPr>
        <w:t>And the second stress test, which is the more instructive of the two.</w:t>
      </w:r>
    </w:p>
    <w:p>
      <w:pPr>
        <w:spacing w:after="160" w:before="0"/>
      </w:pPr>
      <w:r>
        <w:rPr>
          <w:b w:val="0"/>
          <w:i w:val="0"/>
          <w:sz w:val="22"/>
        </w:rPr>
        <w:t>2022 brought the sharpest tightening since 1981. The Fed raised four hundred and twenty-five basis points in a single calendar year. When the discount rate moves that fast, growth equity gets repriced, and there's no clever way around it.</w:t>
      </w:r>
    </w:p>
    <w:p>
      <w:pPr>
        <w:spacing w:after="160" w:before="0"/>
      </w:pPr>
      <w:r>
        <w:rPr>
          <w:b w:val="0"/>
          <w:i w:val="0"/>
          <w:sz w:val="22"/>
        </w:rPr>
        <w:t>We lost twenty-two and a half per cent. The NASDAQ-100 lost thirty-two point six.</w:t>
      </w:r>
    </w:p>
    <w:p>
      <w:pPr>
        <w:spacing w:after="160" w:before="0"/>
      </w:pPr>
      <w:r>
        <w:rPr>
          <w:b w:val="0"/>
          <w:i w:val="0"/>
          <w:sz w:val="22"/>
        </w:rPr>
        <w:t>The panel on the right explains that ten-point difference completely. At the bottom, Amazon down fifty, Illumina down forty-seven, Alphabet down thirty-nine. Our thesis names were hit exactly as hard as you'd expect.</w:t>
      </w:r>
    </w:p>
    <w:p>
      <w:pPr>
        <w:spacing w:after="160" w:before="0"/>
      </w:pPr>
      <w:r>
        <w:rPr>
          <w:b w:val="0"/>
          <w:i w:val="0"/>
          <w:sz w:val="22"/>
        </w:rPr>
        <w:t>Now look at the top of the same panel. Schlumberger up eighty-one per cent. Visa down three. Albemarle down seven.</w:t>
      </w:r>
    </w:p>
    <w:p>
      <w:pPr>
        <w:spacing w:after="160" w:before="0"/>
      </w:pPr>
      <w:r>
        <w:rPr>
          <w:b w:val="0"/>
          <w:i w:val="0"/>
          <w:sz w:val="22"/>
        </w:rPr>
        <w:t>Schlumberger was the worst holding in this fund over the full six years, and the position I was asked to justify more than any other. It was in the book for one reason, which is that the mandate said every sector keeps a floor. In the worst year of this fund's life, that unloved five per cent position returned eighty-one per cent. That isn't luck. That's what diversification is, and it's why the constraint was written into the mandate rather than left to my discretion.</w:t>
      </w:r>
    </w:p>
    <w:p>
      <w:pPr>
        <w:spacing w:before="320" w:after="80"/>
      </w:pPr>
      <w:r>
        <w:rPr>
          <w:b/>
          <w:color w:val="C4551A"/>
          <w:sz w:val="20"/>
        </w:rPr>
        <w:t>19</w:t>
      </w:r>
      <w:r>
        <w:rPr>
          <w:rFonts w:ascii="Georgia" w:hAnsi="Georgia"/>
          <w:color w:val="0D3B38"/>
          <w:sz w:val="27"/>
        </w:rPr>
        <w:t xml:space="preserve">   04</w:t>
      </w:r>
    </w:p>
    <w:p>
      <w:pPr>
        <w:spacing w:after="160" w:before="0"/>
      </w:pPr>
      <w:r>
        <w:rPr>
          <w:b w:val="0"/>
          <w:i/>
          <w:color w:val="4A443C"/>
          <w:sz w:val="20"/>
        </w:rPr>
        <w:t>(no narration — section divider, hold for two seconds and move on)</w:t>
      </w:r>
    </w:p>
    <w:p>
      <w:pPr>
        <w:spacing w:before="320" w:after="80"/>
      </w:pPr>
      <w:r>
        <w:rPr>
          <w:b/>
          <w:color w:val="C4551A"/>
          <w:sz w:val="20"/>
        </w:rPr>
        <w:t>20</w:t>
      </w:r>
      <w:r>
        <w:rPr>
          <w:rFonts w:ascii="Georgia" w:hAnsi="Georgia"/>
          <w:color w:val="0D3B38"/>
          <w:sz w:val="27"/>
        </w:rPr>
        <w:t xml:space="preserve">   The shape of our returns</w:t>
      </w:r>
    </w:p>
    <w:p>
      <w:pPr>
        <w:spacing w:after="120" w:before="0"/>
      </w:pPr>
      <w:r>
        <w:rPr>
          <w:b w:val="0"/>
          <w:i/>
          <w:color w:val="4A443C"/>
          <w:sz w:val="18"/>
        </w:rPr>
        <w:t>~156 words  ·  approx. 1.0 min at 150 wpm</w:t>
      </w:r>
    </w:p>
    <w:p>
      <w:pPr>
        <w:spacing w:after="160" w:before="0"/>
      </w:pPr>
      <w:r>
        <w:rPr>
          <w:b w:val="0"/>
          <w:i w:val="0"/>
          <w:sz w:val="22"/>
        </w:rPr>
        <w:t>Now the quantitative section, and I want to start with the raw distribution rather than a summary statistic, because a summary statistic can hide a lot.</w:t>
      </w:r>
    </w:p>
    <w:p>
      <w:pPr>
        <w:spacing w:after="160" w:before="0"/>
      </w:pPr>
      <w:r>
        <w:rPr>
          <w:b w:val="0"/>
          <w:i w:val="0"/>
          <w:sz w:val="22"/>
        </w:rPr>
        <w:t>Seventy-two monthly observations. The mean is one point five nine per cent and the median is two point seven three. The median sitting well above the mean tells you straight away there's a left tail, because a few large negative months are dragging the average down.</w:t>
      </w:r>
    </w:p>
    <w:p>
      <w:pPr>
        <w:spacing w:after="160" w:before="0"/>
      </w:pPr>
      <w:r>
        <w:rPr>
          <w:b w:val="0"/>
          <w:i w:val="0"/>
          <w:sz w:val="22"/>
        </w:rPr>
        <w:t>Skewness confirms it at minus zero point four seven, which is mild and completely normal for equities. Excess kurtosis is essentially zero, so no fat tails. And Jarque-Bera gives a p-value of zero point two eight, so we can't reject normality. That matters, because it means the risk measures on the next few slides can be trusted for this fund.</w:t>
      </w:r>
    </w:p>
    <w:p>
      <w:pPr>
        <w:spacing w:after="160" w:before="0"/>
      </w:pPr>
      <w:r>
        <w:rPr>
          <w:b w:val="0"/>
          <w:i w:val="0"/>
          <w:sz w:val="22"/>
        </w:rPr>
        <w:t>Best month, April 2020, plus fourteen and a half. Worst, April 2022, minus twelve point one. And fifty of the seventy-two months were positive.</w:t>
      </w:r>
    </w:p>
    <w:p>
      <w:pPr>
        <w:spacing w:before="320" w:after="80"/>
      </w:pPr>
      <w:r>
        <w:rPr>
          <w:b/>
          <w:color w:val="C4551A"/>
          <w:sz w:val="20"/>
        </w:rPr>
        <w:t>21</w:t>
      </w:r>
      <w:r>
        <w:rPr>
          <w:rFonts w:ascii="Georgia" w:hAnsi="Georgia"/>
          <w:color w:val="0D3B38"/>
          <w:sz w:val="27"/>
        </w:rPr>
        <w:t xml:space="preserve">   Risk-adjusted, we beat every comparator</w:t>
      </w:r>
    </w:p>
    <w:p>
      <w:pPr>
        <w:spacing w:after="120" w:before="0"/>
      </w:pPr>
      <w:r>
        <w:rPr>
          <w:b w:val="0"/>
          <w:i/>
          <w:color w:val="4A443C"/>
          <w:sz w:val="18"/>
        </w:rPr>
        <w:t>~121 words  ·  approx. 0.8 min at 150 wpm</w:t>
      </w:r>
    </w:p>
    <w:p>
      <w:pPr>
        <w:spacing w:after="160" w:before="0"/>
      </w:pPr>
      <w:r>
        <w:rPr>
          <w:b w:val="0"/>
          <w:i w:val="0"/>
          <w:sz w:val="22"/>
        </w:rPr>
        <w:t>If you keep one slide from today, keep this one.</w:t>
      </w:r>
    </w:p>
    <w:p>
      <w:pPr>
        <w:spacing w:after="160" w:before="0"/>
      </w:pPr>
      <w:r>
        <w:rPr>
          <w:b w:val="0"/>
          <w:i w:val="0"/>
          <w:sz w:val="22"/>
        </w:rPr>
        <w:t>Read down our column and compare it to the two benchmarks beside it.</w:t>
      </w:r>
    </w:p>
    <w:p>
      <w:pPr>
        <w:spacing w:after="160" w:before="0"/>
      </w:pPr>
      <w:r>
        <w:rPr>
          <w:b w:val="0"/>
          <w:i w:val="0"/>
          <w:sz w:val="22"/>
        </w:rPr>
        <w:t>Sharpe is zero point nine four against zero point seven five and zero point six five. Sortino, which only penalises downside volatility, is one point five one against one point one eight. That improvement is bigger than the improvement in Sharpe, and that tells you our volatility was disproportionately upside volatility, which is what you want.</w:t>
      </w:r>
    </w:p>
    <w:p>
      <w:pPr>
        <w:spacing w:after="160" w:before="0"/>
      </w:pPr>
      <w:r>
        <w:rPr>
          <w:b w:val="0"/>
          <w:i w:val="0"/>
          <w:sz w:val="22"/>
        </w:rPr>
        <w:t>And look at the bottom row. Levered to exactly the S and P's volatility, this fund would have returned seventeen point two per cent a year against the index's eleven point three. That's like-for-like at matched risk, and it's a six-point gap.</w:t>
      </w:r>
    </w:p>
    <w:p>
      <w:pPr>
        <w:spacing w:before="320" w:after="80"/>
      </w:pPr>
      <w:r>
        <w:rPr>
          <w:b/>
          <w:color w:val="C4551A"/>
          <w:sz w:val="20"/>
        </w:rPr>
        <w:t>22</w:t>
      </w:r>
      <w:r>
        <w:rPr>
          <w:rFonts w:ascii="Georgia" w:hAnsi="Georgia"/>
          <w:color w:val="0D3B38"/>
          <w:sz w:val="27"/>
        </w:rPr>
        <w:t xml:space="preserve">   Tail risk sits below the NASDAQ-100 on every measure</w:t>
      </w:r>
    </w:p>
    <w:p>
      <w:pPr>
        <w:spacing w:after="120" w:before="0"/>
      </w:pPr>
      <w:r>
        <w:rPr>
          <w:b w:val="0"/>
          <w:i/>
          <w:color w:val="4A443C"/>
          <w:sz w:val="18"/>
        </w:rPr>
        <w:t>~139 words  ·  approx. 0.9 min at 150 wpm</w:t>
      </w:r>
    </w:p>
    <w:p>
      <w:pPr>
        <w:spacing w:after="160" w:before="0"/>
      </w:pPr>
      <w:r>
        <w:rPr>
          <w:b w:val="0"/>
          <w:i w:val="0"/>
          <w:sz w:val="22"/>
        </w:rPr>
        <w:t>Now value-at-risk and expected shortfall, which are what your risk committees will ask for.</w:t>
      </w:r>
    </w:p>
    <w:p>
      <w:pPr>
        <w:spacing w:after="160" w:before="0"/>
      </w:pPr>
      <w:r>
        <w:rPr>
          <w:b w:val="0"/>
          <w:i w:val="0"/>
          <w:sz w:val="22"/>
        </w:rPr>
        <w:t>Our ninety-five per cent one-month value-at-risk is minus eight point eight two per cent. Read it this way. In the worst month out of twenty, we'd expect to lose at least eight point eight per cent, and on the fund's closing value that's a twenty-four point six million dollar month.</w:t>
      </w:r>
    </w:p>
    <w:p>
      <w:pPr>
        <w:spacing w:after="160" w:before="0"/>
      </w:pPr>
      <w:r>
        <w:rPr>
          <w:b w:val="0"/>
          <w:i w:val="0"/>
          <w:sz w:val="22"/>
        </w:rPr>
        <w:t>The number I'd actually watch is expected shortfall, because value-at-risk only gives you the threshold and not how bad it gets beyond it. Ours is minus ten point two per cent.</w:t>
      </w:r>
    </w:p>
    <w:p>
      <w:pPr>
        <w:spacing w:after="160" w:before="0"/>
      </w:pPr>
      <w:r>
        <w:rPr>
          <w:b w:val="0"/>
          <w:i w:val="0"/>
          <w:sz w:val="22"/>
        </w:rPr>
        <w:t>Compare that to the NASDAQ-100. Its threshold is essentially identical to ours, but its expected shortfall is worse and its ninety-nine per cent figure is worse again. Same threshold risk, thinner tail beyond it. And again, that's diversification rather than anything clever in timing.</w:t>
      </w:r>
    </w:p>
    <w:p>
      <w:pPr>
        <w:spacing w:before="320" w:after="80"/>
      </w:pPr>
      <w:r>
        <w:rPr>
          <w:b/>
          <w:color w:val="C4551A"/>
          <w:sz w:val="20"/>
        </w:rPr>
        <w:t>23</w:t>
      </w:r>
      <w:r>
        <w:rPr>
          <w:rFonts w:ascii="Georgia" w:hAnsi="Georgia"/>
          <w:color w:val="0D3B38"/>
          <w:sz w:val="27"/>
        </w:rPr>
        <w:t xml:space="preserve">   Where in the calendar the money was made</w:t>
      </w:r>
    </w:p>
    <w:p>
      <w:pPr>
        <w:spacing w:after="120" w:before="0"/>
      </w:pPr>
      <w:r>
        <w:rPr>
          <w:b w:val="0"/>
          <w:i/>
          <w:color w:val="4A443C"/>
          <w:sz w:val="18"/>
        </w:rPr>
        <w:t>~136 words  ·  approx. 0.9 min at 150 wpm</w:t>
      </w:r>
    </w:p>
    <w:p>
      <w:pPr>
        <w:spacing w:after="160" w:before="0"/>
      </w:pPr>
      <w:r>
        <w:rPr>
          <w:b w:val="0"/>
          <w:i w:val="0"/>
          <w:sz w:val="22"/>
        </w:rPr>
        <w:t>Now seasonality, and I'll frame this carefully, because it's easy to over-read.</w:t>
      </w:r>
    </w:p>
    <w:p>
      <w:pPr>
        <w:spacing w:after="160" w:before="0"/>
      </w:pPr>
      <w:r>
        <w:rPr>
          <w:b w:val="0"/>
          <w:i w:val="0"/>
          <w:sz w:val="22"/>
        </w:rPr>
        <w:t>July was our strongest month at plus five point eight per cent, positive in all six years. September was weakest at minus two point eight, dragged there by three heavy losses in 2020, 2021 and 2022.</w:t>
      </w:r>
    </w:p>
    <w:p>
      <w:pPr>
        <w:spacing w:after="160" w:before="0"/>
      </w:pPr>
      <w:r>
        <w:rPr>
          <w:b w:val="0"/>
          <w:i w:val="0"/>
          <w:sz w:val="22"/>
        </w:rPr>
        <w:t>But here's why I wouldn't build a strategy on it. Six observations per calendar month is nowhere near enough to separate a real seasonal effect from noise. The standard error on any of those averages is over two per cent, so almost none of these differences would survive a significance test.</w:t>
      </w:r>
    </w:p>
    <w:p>
      <w:pPr>
        <w:spacing w:after="160" w:before="0"/>
      </w:pPr>
      <w:r>
        <w:rPr>
          <w:b w:val="0"/>
          <w:i w:val="0"/>
          <w:sz w:val="22"/>
        </w:rPr>
        <w:t>What the grid does show usefully is how the extremes cluster. Look at the 2020 row, then the 2022 row. The best month in this fund's history and the worst sit within twenty-four months of each other.</w:t>
      </w:r>
    </w:p>
    <w:p>
      <w:pPr>
        <w:spacing w:before="320" w:after="80"/>
      </w:pPr>
      <w:r>
        <w:rPr>
          <w:b/>
          <w:color w:val="C4551A"/>
          <w:sz w:val="20"/>
        </w:rPr>
        <w:t>24</w:t>
      </w:r>
      <w:r>
        <w:rPr>
          <w:rFonts w:ascii="Georgia" w:hAnsi="Georgia"/>
          <w:color w:val="0D3B38"/>
          <w:sz w:val="27"/>
        </w:rPr>
        <w:t xml:space="preserve">   05</w:t>
      </w:r>
    </w:p>
    <w:p>
      <w:pPr>
        <w:spacing w:after="160" w:before="0"/>
      </w:pPr>
      <w:r>
        <w:rPr>
          <w:b w:val="0"/>
          <w:i/>
          <w:color w:val="4A443C"/>
          <w:sz w:val="20"/>
        </w:rPr>
        <w:t>(no narration — section divider, hold for two seconds and move on)</w:t>
      </w:r>
    </w:p>
    <w:p>
      <w:pPr>
        <w:spacing w:before="320" w:after="80"/>
      </w:pPr>
      <w:r>
        <w:rPr>
          <w:b/>
          <w:color w:val="C4551A"/>
          <w:sz w:val="20"/>
        </w:rPr>
        <w:t>25</w:t>
      </w:r>
      <w:r>
        <w:rPr>
          <w:rFonts w:ascii="Georgia" w:hAnsi="Georgia"/>
          <w:color w:val="0D3B38"/>
          <w:sz w:val="27"/>
        </w:rPr>
        <w:t xml:space="preserve">   Jensen's alpha: significant on every model we ran</w:t>
      </w:r>
    </w:p>
    <w:p>
      <w:pPr>
        <w:spacing w:after="120" w:before="0"/>
      </w:pPr>
      <w:r>
        <w:rPr>
          <w:b w:val="0"/>
          <w:i/>
          <w:color w:val="4A443C"/>
          <w:sz w:val="18"/>
        </w:rPr>
        <w:t>~221 words  ·  approx. 1.5 min at 150 wpm</w:t>
      </w:r>
    </w:p>
    <w:p>
      <w:pPr>
        <w:spacing w:after="160" w:before="0"/>
      </w:pPr>
      <w:r>
        <w:rPr>
          <w:b w:val="0"/>
          <w:i w:val="0"/>
          <w:sz w:val="22"/>
        </w:rPr>
        <w:t>Now the question you should be asking me. Was any of this skill, or did we simply own high-beta growth stocks in a decade that rewarded high-beta growth stocks?</w:t>
      </w:r>
    </w:p>
    <w:p>
      <w:pPr>
        <w:spacing w:after="160" w:before="0"/>
      </w:pPr>
      <w:r>
        <w:rPr>
          <w:b w:val="0"/>
          <w:i w:val="0"/>
          <w:sz w:val="22"/>
        </w:rPr>
        <w:t>You answer that with a factor regression. Take the fund's excess return over cash, regress it on known risk factors, and see what's left over. That leftover is Jensen's alpha.</w:t>
      </w:r>
    </w:p>
    <w:p>
      <w:pPr>
        <w:spacing w:after="160" w:before="0"/>
      </w:pPr>
      <w:r>
        <w:rPr>
          <w:b w:val="0"/>
          <w:i w:val="0"/>
          <w:sz w:val="22"/>
        </w:rPr>
        <w:t>Start with the CAPM. Seven point two per cent a year, t-statistic two point one nine. But the CAPM only controls for market risk, so a sceptic would say a growth tilt is doing the work.</w:t>
      </w:r>
    </w:p>
    <w:p>
      <w:pPr>
        <w:spacing w:after="160" w:before="0"/>
      </w:pPr>
      <w:r>
        <w:rPr>
          <w:b w:val="0"/>
          <w:i w:val="0"/>
          <w:sz w:val="22"/>
        </w:rPr>
        <w:t>So add size and value. The alpha comes down to five point nine, but the significance goes up. Add profitability and investment and we get six point six per cent, with a t-statistic of three point zero six and a p-value of zero point zero zero two. Add momentum and it barely moves.</w:t>
      </w:r>
    </w:p>
    <w:p>
      <w:pPr>
        <w:spacing w:after="160" w:before="0"/>
      </w:pPr>
      <w:r>
        <w:rPr>
          <w:b w:val="0"/>
          <w:i w:val="0"/>
          <w:sz w:val="22"/>
        </w:rPr>
        <w:t>And now the bottom row, which is where I'd spend my time if I were you. I ran the same five-factor test on the NASDAQ-100 itself. Its alpha is two point four per cent with a t-statistic of one point four one, which is indistinguishable from zero.</w:t>
      </w:r>
    </w:p>
    <w:p>
      <w:pPr>
        <w:spacing w:after="160" w:before="0"/>
      </w:pPr>
      <w:r>
        <w:rPr>
          <w:b w:val="0"/>
          <w:i w:val="0"/>
          <w:sz w:val="22"/>
        </w:rPr>
        <w:t>So the benchmark's strong decade is fully explained by its factor exposures. Ours is not. That difference is what you were paying a management fee for.</w:t>
      </w:r>
    </w:p>
    <w:p>
      <w:pPr>
        <w:spacing w:before="320" w:after="80"/>
      </w:pPr>
      <w:r>
        <w:rPr>
          <w:b/>
          <w:color w:val="C4551A"/>
          <w:sz w:val="20"/>
        </w:rPr>
        <w:t>26</w:t>
      </w:r>
      <w:r>
        <w:rPr>
          <w:rFonts w:ascii="Georgia" w:hAnsi="Georgia"/>
          <w:color w:val="0D3B38"/>
          <w:sz w:val="27"/>
        </w:rPr>
        <w:t xml:space="preserve">   What the factor loadings say about us</w:t>
      </w:r>
    </w:p>
    <w:p>
      <w:pPr>
        <w:spacing w:after="120" w:before="0"/>
      </w:pPr>
      <w:r>
        <w:rPr>
          <w:b w:val="0"/>
          <w:i/>
          <w:color w:val="4A443C"/>
          <w:sz w:val="18"/>
        </w:rPr>
        <w:t>~146 words  ·  approx. 1.0 min at 150 wpm</w:t>
      </w:r>
    </w:p>
    <w:p>
      <w:pPr>
        <w:spacing w:after="160" w:before="0"/>
      </w:pPr>
      <w:r>
        <w:rPr>
          <w:b w:val="0"/>
          <w:i w:val="0"/>
          <w:sz w:val="22"/>
        </w:rPr>
        <w:t>These five coefficients describe the fund more honestly than any marketing document could.</w:t>
      </w:r>
    </w:p>
    <w:p>
      <w:pPr>
        <w:spacing w:after="160" w:before="0"/>
      </w:pPr>
      <w:r>
        <w:rPr>
          <w:b w:val="0"/>
          <w:i w:val="0"/>
          <w:sz w:val="22"/>
        </w:rPr>
        <w:t>Market loading is one point zero five, so we moved one-for-one with the equity market. We weren't levered.</w:t>
      </w:r>
    </w:p>
    <w:p>
      <w:pPr>
        <w:spacing w:after="160" w:before="0"/>
      </w:pPr>
      <w:r>
        <w:rPr>
          <w:b w:val="0"/>
          <w:i w:val="0"/>
          <w:sz w:val="22"/>
        </w:rPr>
        <w:t>Size is minus zero point two two and significant. A negative size loading means large-cap, which is correct and intended. Value is minus zero point one nine, also significant, and negative value means growth. Also intended.</w:t>
      </w:r>
    </w:p>
    <w:p>
      <w:pPr>
        <w:spacing w:after="160" w:before="0"/>
      </w:pPr>
      <w:r>
        <w:rPr>
          <w:b w:val="0"/>
          <w:i w:val="0"/>
          <w:sz w:val="22"/>
        </w:rPr>
        <w:t>Profitability and investment are both small and neither is significant. That's worth pointing out, because a common criticism of technology alpha is that it's really a quality tilt in disguise. Here it isn't. And momentum is effectively zero, so this was never a momentum-chasing strategy.</w:t>
      </w:r>
    </w:p>
    <w:p>
      <w:pPr>
        <w:spacing w:after="160" w:before="0"/>
      </w:pPr>
      <w:r>
        <w:rPr>
          <w:b w:val="0"/>
          <w:i w:val="0"/>
          <w:sz w:val="22"/>
        </w:rPr>
        <w:t>So what you're looking at is a large-cap growth fund with market-like beta, no leverage and no hidden factor bets. Which is precisely the description in the mandate I showed you at the start.</w:t>
      </w:r>
    </w:p>
    <w:p>
      <w:pPr>
        <w:spacing w:before="320" w:after="80"/>
      </w:pPr>
      <w:r>
        <w:rPr>
          <w:b/>
          <w:color w:val="C4551A"/>
          <w:sz w:val="20"/>
        </w:rPr>
        <w:t>27</w:t>
      </w:r>
      <w:r>
        <w:rPr>
          <w:rFonts w:ascii="Georgia" w:hAnsi="Georgia"/>
          <w:color w:val="0D3B38"/>
          <w:sz w:val="27"/>
        </w:rPr>
        <w:t xml:space="preserve">   Alpha was persistent, not a single lucky year</w:t>
      </w:r>
    </w:p>
    <w:p>
      <w:pPr>
        <w:spacing w:after="120" w:before="0"/>
      </w:pPr>
      <w:r>
        <w:rPr>
          <w:b w:val="0"/>
          <w:i/>
          <w:color w:val="4A443C"/>
          <w:sz w:val="18"/>
        </w:rPr>
        <w:t>~143 words  ·  approx. 1.0 min at 150 wpm</w:t>
      </w:r>
    </w:p>
    <w:p>
      <w:pPr>
        <w:spacing w:after="160" w:before="0"/>
      </w:pPr>
      <w:r>
        <w:rPr>
          <w:b w:val="0"/>
          <w:i w:val="0"/>
          <w:sz w:val="22"/>
        </w:rPr>
        <w:t>One more check, because a full-sample alpha can always be produced by a single extraordinary year. I've re-estimated it on every rolling three-year window, and the line never drops below zero.</w:t>
      </w:r>
    </w:p>
    <w:p>
      <w:pPr>
        <w:spacing w:after="160" w:before="0"/>
      </w:pPr>
      <w:r>
        <w:rPr>
          <w:b w:val="0"/>
          <w:i w:val="0"/>
          <w:sz w:val="22"/>
        </w:rPr>
        <w:t>Alpha was earned in the growth years of 2017 to 2019, and it was also earned in the very different windows dominated by the 2020 crash and the 2022 rate shock.</w:t>
      </w:r>
    </w:p>
    <w:p>
      <w:pPr>
        <w:spacing w:after="160" w:before="0"/>
      </w:pPr>
      <w:r>
        <w:rPr>
          <w:b w:val="0"/>
          <w:i w:val="0"/>
          <w:sz w:val="22"/>
        </w:rPr>
        <w:t>The shape is worth a moment though. It declines through the middle and recovers at the right-hand end. Those middle windows are 2020 and 2021, when the NASDAQ-100 was extremely hard to beat and our sector floors were a drag. The recovery at the right is 2022.</w:t>
      </w:r>
    </w:p>
    <w:p>
      <w:pPr>
        <w:spacing w:after="160" w:before="0"/>
      </w:pPr>
      <w:r>
        <w:rPr>
          <w:b w:val="0"/>
          <w:i w:val="0"/>
          <w:sz w:val="22"/>
        </w:rPr>
        <w:t>So the source of our alpha changed character. Security selection early, downside protection later. That's a healthy sign rather than a worrying one, because it means the fund wasn't dependent on one market regime.</w:t>
      </w:r>
    </w:p>
    <w:p>
      <w:pPr>
        <w:spacing w:before="320" w:after="80"/>
      </w:pPr>
      <w:r>
        <w:rPr>
          <w:b/>
          <w:color w:val="C4551A"/>
          <w:sz w:val="20"/>
        </w:rPr>
        <w:t>28</w:t>
      </w:r>
      <w:r>
        <w:rPr>
          <w:rFonts w:ascii="Georgia" w:hAnsi="Georgia"/>
          <w:color w:val="0D3B38"/>
          <w:sz w:val="27"/>
        </w:rPr>
        <w:t xml:space="preserve">   Nine of eleven picks beat their own sector</w:t>
      </w:r>
    </w:p>
    <w:p>
      <w:pPr>
        <w:spacing w:after="120" w:before="0"/>
      </w:pPr>
      <w:r>
        <w:rPr>
          <w:b w:val="0"/>
          <w:i/>
          <w:color w:val="4A443C"/>
          <w:sz w:val="18"/>
        </w:rPr>
        <w:t>~147 words  ·  approx. 1.0 min at 150 wpm</w:t>
      </w:r>
    </w:p>
    <w:p>
      <w:pPr>
        <w:spacing w:after="160" w:before="0"/>
      </w:pPr>
      <w:r>
        <w:rPr>
          <w:b w:val="0"/>
          <w:i w:val="0"/>
          <w:sz w:val="22"/>
        </w:rPr>
        <w:t>Let's get underneath the portfolio number now, because ultimately you hired me to pick eleven stocks.</w:t>
      </w:r>
    </w:p>
    <w:p>
      <w:pPr>
        <w:spacing w:after="160" w:before="0"/>
      </w:pPr>
      <w:r>
        <w:rPr>
          <w:b w:val="0"/>
          <w:i w:val="0"/>
          <w:sz w:val="22"/>
        </w:rPr>
        <w:t>The fairest test of a pick isn't whether it went up. It's whether it beat the sector it sits in, because if I pick a technology stock in a decade when every technology stock rose, I haven't demonstrated anything.</w:t>
      </w:r>
    </w:p>
    <w:p>
      <w:pPr>
        <w:spacing w:after="160" w:before="0"/>
      </w:pPr>
      <w:r>
        <w:rPr>
          <w:b w:val="0"/>
          <w:i w:val="0"/>
          <w:sz w:val="22"/>
        </w:rPr>
        <w:t>Blue is our stock, orange is its sector fund. Nine of our eleven picks beat their sector.</w:t>
      </w:r>
    </w:p>
    <w:p>
      <w:pPr>
        <w:spacing w:after="160" w:before="0"/>
      </w:pPr>
      <w:r>
        <w:rPr>
          <w:b w:val="0"/>
          <w:i w:val="0"/>
          <w:sz w:val="22"/>
        </w:rPr>
        <w:t>The standouts. Costco beat consumer staples by a hundred and fifty-two points, NextEra beat utilities by a hundred and forty-six, and Microsoft beat technology by a hundred and forty-two. That last one matters most, because it happened inside our largest position.</w:t>
      </w:r>
    </w:p>
    <w:p>
      <w:pPr>
        <w:spacing w:after="160" w:before="0"/>
      </w:pPr>
      <w:r>
        <w:rPr>
          <w:b w:val="0"/>
          <w:i w:val="0"/>
          <w:sz w:val="22"/>
        </w:rPr>
        <w:t>Two misses. Illumina, where the thesis was right but the GRAIL acquisition and the regulatory fight around it destroyed value. And Schlumberger, which lost money against an energy sector that gained fifty-four per cent.</w:t>
      </w:r>
    </w:p>
    <w:p>
      <w:pPr>
        <w:spacing w:before="320" w:after="80"/>
      </w:pPr>
      <w:r>
        <w:rPr>
          <w:b/>
          <w:color w:val="C4551A"/>
          <w:sz w:val="20"/>
        </w:rPr>
        <w:t>29</w:t>
      </w:r>
      <w:r>
        <w:rPr>
          <w:rFonts w:ascii="Georgia" w:hAnsi="Georgia"/>
          <w:color w:val="0D3B38"/>
          <w:sz w:val="27"/>
        </w:rPr>
        <w:t xml:space="preserve">   Where the 179% came from</w:t>
      </w:r>
    </w:p>
    <w:p>
      <w:pPr>
        <w:spacing w:after="120" w:before="0"/>
      </w:pPr>
      <w:r>
        <w:rPr>
          <w:b w:val="0"/>
          <w:i/>
          <w:color w:val="4A443C"/>
          <w:sz w:val="18"/>
        </w:rPr>
        <w:t>~175 words  ·  approx. 1.2 min at 150 wpm</w:t>
      </w:r>
    </w:p>
    <w:p>
      <w:pPr>
        <w:spacing w:after="160" w:before="0"/>
      </w:pPr>
      <w:r>
        <w:rPr>
          <w:b w:val="0"/>
          <w:i w:val="0"/>
          <w:sz w:val="22"/>
        </w:rPr>
        <w:t>Microsoft contributed forty-one point nine points of our hundred and seventy-nine. That's twenty-three per cent of everything this fund made, out of a sixteen per cent position. Sizing your highest-conviction idea largest is the most consequential decision a manager makes, and this is what it looks like when it goes right.</w:t>
      </w:r>
    </w:p>
    <w:p>
      <w:pPr>
        <w:spacing w:after="160" w:before="0"/>
      </w:pPr>
      <w:r>
        <w:rPr>
          <w:b w:val="0"/>
          <w:i w:val="0"/>
          <w:sz w:val="22"/>
        </w:rPr>
        <w:t>Alphabet gave us twenty-two points, Albemarle twenty-one. Albemarle is the surprise, a six per cent materials position that rode the lithium and electric-vehicle supply chain. Illumina is the clear disappointment, where eight per cent of the book delivered under two points.</w:t>
      </w:r>
    </w:p>
    <w:p>
      <w:pPr>
        <w:spacing w:after="160" w:before="0"/>
      </w:pPr>
      <w:r>
        <w:rPr>
          <w:b w:val="0"/>
          <w:i w:val="0"/>
          <w:sz w:val="22"/>
        </w:rPr>
        <w:t>But the panel on the right is the most interesting finding in this whole review. Schlumberger lost twenty-three and a half per cent over six years, and still contributed a positive thirteen points.</w:t>
      </w:r>
    </w:p>
    <w:p>
      <w:pPr>
        <w:spacing w:after="160" w:before="0"/>
      </w:pPr>
      <w:r>
        <w:rPr>
          <w:b w:val="0"/>
          <w:i w:val="0"/>
          <w:sz w:val="22"/>
        </w:rPr>
        <w:t>How? Every quarter it fell, our rebalancing rule bought more of it at a lower price. Then in 2022 it returned eighty-one per cent, by which point we owned far more shares than we started with. A losing stock made money for this fund because of a mechanical process rule.</w:t>
      </w:r>
    </w:p>
    <w:p>
      <w:pPr>
        <w:spacing w:before="320" w:after="80"/>
      </w:pPr>
      <w:r>
        <w:rPr>
          <w:b/>
          <w:color w:val="C4551A"/>
          <w:sz w:val="20"/>
        </w:rPr>
        <w:t>30</w:t>
      </w:r>
      <w:r>
        <w:rPr>
          <w:rFonts w:ascii="Georgia" w:hAnsi="Georgia"/>
          <w:color w:val="0D3B38"/>
          <w:sz w:val="27"/>
        </w:rPr>
        <w:t xml:space="preserve">   94% of the value-add came from stock picking</w:t>
      </w:r>
    </w:p>
    <w:p>
      <w:pPr>
        <w:spacing w:after="120" w:before="0"/>
      </w:pPr>
      <w:r>
        <w:rPr>
          <w:b w:val="0"/>
          <w:i/>
          <w:color w:val="4A443C"/>
          <w:sz w:val="18"/>
        </w:rPr>
        <w:t>~150 words  ·  approx. 1.0 min at 150 wpm</w:t>
      </w:r>
    </w:p>
    <w:p>
      <w:pPr>
        <w:spacing w:after="160" w:before="0"/>
      </w:pPr>
      <w:r>
        <w:rPr>
          <w:b w:val="0"/>
          <w:i w:val="0"/>
          <w:sz w:val="22"/>
        </w:rPr>
        <w:t>Brinson attribution answers one question. How much of our outperformance came from being in the right sectors, and how much from picking the right stocks inside them?</w:t>
      </w:r>
    </w:p>
    <w:p>
      <w:pPr>
        <w:spacing w:after="160" w:before="0"/>
      </w:pPr>
      <w:r>
        <w:rPr>
          <w:b w:val="0"/>
          <w:i w:val="0"/>
          <w:sz w:val="22"/>
        </w:rPr>
        <w:t>To isolate that I built a benchmark with exactly our sector coverage, at neutral weights, with no stock selection at all. It returned eighty-five per cent against our hundred and seventy-nine.</w:t>
      </w:r>
    </w:p>
    <w:p>
      <w:pPr>
        <w:spacing w:after="160" w:before="0"/>
      </w:pPr>
      <w:r>
        <w:rPr>
          <w:b w:val="0"/>
          <w:i w:val="0"/>
          <w:sz w:val="22"/>
        </w:rPr>
        <w:t>Decompose the difference and allocation contributed one point eight points. Almost nothing. Selection contributed forty-one point four. Interaction contributed one.</w:t>
      </w:r>
    </w:p>
    <w:p>
      <w:pPr>
        <w:spacing w:after="160" w:before="0"/>
      </w:pPr>
      <w:r>
        <w:rPr>
          <w:b w:val="0"/>
          <w:i w:val="0"/>
          <w:sz w:val="22"/>
        </w:rPr>
        <w:t>So ninety-four per cent of our active return came from security selection.</w:t>
      </w:r>
    </w:p>
    <w:p>
      <w:pPr>
        <w:spacing w:after="160" w:before="0"/>
      </w:pPr>
      <w:r>
        <w:rPr>
          <w:b w:val="0"/>
          <w:i w:val="0"/>
          <w:sz w:val="22"/>
        </w:rPr>
        <w:t>Here's why that matters for your decision. Allocation skill is a macro forecasting call, and the evidence that anyone repeats macro calls is weak. Selection skill is the output of a research process, so you can describe it, staff it and repeat it. If our outperformance had come from sector timing, I'd be much less confident recommending this fund continues.</w:t>
      </w:r>
    </w:p>
    <w:p>
      <w:pPr>
        <w:spacing w:before="320" w:after="80"/>
      </w:pPr>
      <w:r>
        <w:rPr>
          <w:b/>
          <w:color w:val="C4551A"/>
          <w:sz w:val="20"/>
        </w:rPr>
        <w:t>31</w:t>
      </w:r>
      <w:r>
        <w:rPr>
          <w:rFonts w:ascii="Georgia" w:hAnsi="Georgia"/>
          <w:color w:val="0D3B38"/>
          <w:sz w:val="27"/>
        </w:rPr>
        <w:t xml:space="preserve">   Would an optimiser have done better?</w:t>
      </w:r>
    </w:p>
    <w:p>
      <w:pPr>
        <w:spacing w:after="120" w:before="0"/>
      </w:pPr>
      <w:r>
        <w:rPr>
          <w:b w:val="0"/>
          <w:i/>
          <w:color w:val="4A443C"/>
          <w:sz w:val="18"/>
        </w:rPr>
        <w:t>~189 words  ·  approx. 1.3 min at 150 wpm</w:t>
      </w:r>
    </w:p>
    <w:p>
      <w:pPr>
        <w:spacing w:after="160" w:before="0"/>
      </w:pPr>
      <w:r>
        <w:rPr>
          <w:b w:val="0"/>
          <w:i w:val="0"/>
          <w:sz w:val="22"/>
        </w:rPr>
        <w:t>The obvious challenge to everything I've said is that a model could have done better. So I tested it.</w:t>
      </w:r>
    </w:p>
    <w:p>
      <w:pPr>
        <w:spacing w:after="160" w:before="0"/>
      </w:pPr>
      <w:r>
        <w:rPr>
          <w:b w:val="0"/>
          <w:i w:val="0"/>
          <w:sz w:val="22"/>
        </w:rPr>
        <w:t>I took three years of data ending December 2016, which is the information a manager actually had at launch, fed it to a mean-variance optimiser, and ran the weights forward on the same rebalancing rule.</w:t>
      </w:r>
    </w:p>
    <w:p>
      <w:pPr>
        <w:spacing w:after="160" w:before="0"/>
      </w:pPr>
      <w:r>
        <w:rPr>
          <w:b w:val="0"/>
          <w:i w:val="0"/>
          <w:sz w:val="22"/>
        </w:rPr>
        <w:t>The result is nineteen point seven per cent a year against our eighteen point seven. So yes, the optimiser wins, by about a point a year.</w:t>
      </w:r>
    </w:p>
    <w:p>
      <w:pPr>
        <w:spacing w:after="160" w:before="0"/>
      </w:pPr>
      <w:r>
        <w:rPr>
          <w:b w:val="0"/>
          <w:i w:val="0"/>
          <w:sz w:val="22"/>
        </w:rPr>
        <w:t>But look at what it had to do. Twenty-five per cent into Equinix and another twenty-five into NextEra, both of which breach our sixteen per cent cap. And nothing at all into Alphabet, Visa, Albemarle or Schlumberger, which breaches our sector floor four times over.</w:t>
      </w:r>
    </w:p>
    <w:p>
      <w:pPr>
        <w:spacing w:after="160" w:before="0"/>
      </w:pPr>
      <w:r>
        <w:rPr>
          <w:b w:val="0"/>
          <w:i w:val="0"/>
          <w:sz w:val="22"/>
        </w:rPr>
        <w:t>So the optimiser didn't beat our strategy. It declined to run it. It bought a better backtest by throwing away the constraints that, as we saw in 2022, are what protected you.</w:t>
      </w:r>
    </w:p>
    <w:p>
      <w:pPr>
        <w:spacing w:after="160" w:before="0"/>
      </w:pPr>
      <w:r>
        <w:rPr>
          <w:b w:val="0"/>
          <w:i w:val="0"/>
          <w:sz w:val="22"/>
        </w:rPr>
        <w:t>And the last row is the humbling one. With perfect hindsight the best achievable was twenty-two point nine per cent. We captured eighty-two per cent of a number nobody could have known.</w:t>
      </w:r>
    </w:p>
    <w:p>
      <w:pPr>
        <w:spacing w:before="320" w:after="80"/>
      </w:pPr>
      <w:r>
        <w:rPr>
          <w:b/>
          <w:color w:val="C4551A"/>
          <w:sz w:val="20"/>
        </w:rPr>
        <w:t>32</w:t>
      </w:r>
      <w:r>
        <w:rPr>
          <w:rFonts w:ascii="Georgia" w:hAnsi="Georgia"/>
          <w:color w:val="0D3B38"/>
          <w:sz w:val="27"/>
        </w:rPr>
        <w:t xml:space="preserve">   120% of the upside, 97% of the downside</w:t>
      </w:r>
    </w:p>
    <w:p>
      <w:pPr>
        <w:spacing w:after="120" w:before="0"/>
      </w:pPr>
      <w:r>
        <w:rPr>
          <w:b w:val="0"/>
          <w:i/>
          <w:color w:val="4A443C"/>
          <w:sz w:val="18"/>
        </w:rPr>
        <w:t>~146 words  ·  approx. 1.0 min at 150 wpm</w:t>
      </w:r>
    </w:p>
    <w:p>
      <w:pPr>
        <w:spacing w:after="160" w:before="0"/>
      </w:pPr>
      <w:r>
        <w:rPr>
          <w:b w:val="0"/>
          <w:i w:val="0"/>
          <w:sz w:val="22"/>
        </w:rPr>
        <w:t>Upside capture of a hundred and twenty per cent. In the months the S and P rose, we rose twenty per cent more than it did. Downside capture of ninety-seven, so in the months it fell, we fell slightly less.</w:t>
      </w:r>
    </w:p>
    <w:p>
      <w:pPr>
        <w:spacing w:after="160" w:before="0"/>
      </w:pPr>
      <w:r>
        <w:rPr>
          <w:b w:val="0"/>
          <w:i w:val="0"/>
          <w:sz w:val="22"/>
        </w:rPr>
        <w:t>That asymmetry is the engine of the whole result. You don't have to be right about market direction to compound at eighteen per cent a year, as long as you participate disproportionately in the good months and only proportionately in the bad ones.</w:t>
      </w:r>
    </w:p>
    <w:p>
      <w:pPr>
        <w:spacing w:after="160" w:before="0"/>
      </w:pPr>
      <w:r>
        <w:rPr>
          <w:b w:val="0"/>
          <w:i w:val="0"/>
          <w:sz w:val="22"/>
        </w:rPr>
        <w:t>Now contrast the NASDAQ-100. It captured a hundred and eighteen per cent of the upside, very similar to us, but a hundred and eight per cent of the downside. More of the gains, and more of the losses. That eleven-point difference, compounded over seventy-two months, is essentially the entire gap between our two hundred and seventy-nine million and its two hundred and thirty-five.</w:t>
      </w:r>
    </w:p>
    <w:p>
      <w:pPr>
        <w:spacing w:before="320" w:after="80"/>
      </w:pPr>
      <w:r>
        <w:rPr>
          <w:b/>
          <w:color w:val="C4551A"/>
          <w:sz w:val="20"/>
        </w:rPr>
        <w:t>33</w:t>
      </w:r>
      <w:r>
        <w:rPr>
          <w:rFonts w:ascii="Georgia" w:hAnsi="Georgia"/>
          <w:color w:val="0D3B38"/>
          <w:sz w:val="27"/>
        </w:rPr>
        <w:t xml:space="preserve">   06</w:t>
      </w:r>
    </w:p>
    <w:p>
      <w:pPr>
        <w:spacing w:after="160" w:before="0"/>
      </w:pPr>
      <w:r>
        <w:rPr>
          <w:b w:val="0"/>
          <w:i/>
          <w:color w:val="4A443C"/>
          <w:sz w:val="20"/>
        </w:rPr>
        <w:t>(no narration — section divider, hold for two seconds and move on)</w:t>
      </w:r>
    </w:p>
    <w:p>
      <w:pPr>
        <w:spacing w:before="320" w:after="80"/>
      </w:pPr>
      <w:r>
        <w:rPr>
          <w:b/>
          <w:color w:val="C4551A"/>
          <w:sz w:val="20"/>
        </w:rPr>
        <w:t>34</w:t>
      </w:r>
      <w:r>
        <w:rPr>
          <w:rFonts w:ascii="Georgia" w:hAnsi="Georgia"/>
          <w:color w:val="0D3B38"/>
          <w:sz w:val="27"/>
        </w:rPr>
        <w:t xml:space="preserve">   Marking ourselves against the 2016 objective</w:t>
      </w:r>
    </w:p>
    <w:p>
      <w:pPr>
        <w:spacing w:after="120" w:before="0"/>
      </w:pPr>
      <w:r>
        <w:rPr>
          <w:b w:val="0"/>
          <w:i/>
          <w:color w:val="4A443C"/>
          <w:sz w:val="18"/>
        </w:rPr>
        <w:t>~108 words  ·  approx. 0.7 min at 150 wpm</w:t>
      </w:r>
    </w:p>
    <w:p>
      <w:pPr>
        <w:spacing w:after="160" w:before="0"/>
      </w:pPr>
      <w:r>
        <w:rPr>
          <w:b w:val="0"/>
          <w:i w:val="0"/>
          <w:sz w:val="22"/>
        </w:rPr>
        <w:t>This is the accountability slide. Ten commitments, marked against what actually happened.</w:t>
      </w:r>
    </w:p>
    <w:p>
      <w:pPr>
        <w:spacing w:after="160" w:before="0"/>
      </w:pPr>
      <w:r>
        <w:rPr>
          <w:b w:val="0"/>
          <w:i w:val="0"/>
          <w:sz w:val="22"/>
        </w:rPr>
        <w:t>We said eight to ten per cent net a year and delivered seventeen and a half. We said fifty-five to seventy per cent cumulative and delivered a hundred and sixty-three.</w:t>
      </w:r>
    </w:p>
    <w:p>
      <w:pPr>
        <w:spacing w:after="160" w:before="0"/>
      </w:pPr>
      <w:r>
        <w:rPr>
          <w:b w:val="0"/>
          <w:i w:val="0"/>
          <w:sz w:val="22"/>
        </w:rPr>
        <w:t>Then the process commitments, which matter just as much. All eleven sectors held through all twenty-four quarters. All twenty-four rebalances executed on schedule. The largest drift we ever ran was two point nine points, comfortably inside our five-point threshold, so the drift rule never had to fire. And the mid-life review was delivered at the end of 2019.</w:t>
      </w:r>
    </w:p>
    <w:p>
      <w:pPr>
        <w:spacing w:after="160" w:before="0"/>
      </w:pPr>
      <w:r>
        <w:rPr>
          <w:b w:val="0"/>
          <w:i w:val="0"/>
          <w:sz w:val="22"/>
        </w:rPr>
        <w:t>Ten commitments. Four exceeded, six met, none missed.</w:t>
      </w:r>
    </w:p>
    <w:p>
      <w:pPr>
        <w:spacing w:before="320" w:after="80"/>
      </w:pPr>
      <w:r>
        <w:rPr>
          <w:b/>
          <w:color w:val="C4551A"/>
          <w:sz w:val="20"/>
        </w:rPr>
        <w:t>35</w:t>
      </w:r>
      <w:r>
        <w:rPr>
          <w:rFonts w:ascii="Georgia" w:hAnsi="Georgia"/>
          <w:color w:val="0D3B38"/>
          <w:sz w:val="27"/>
        </w:rPr>
        <w:t xml:space="preserve">   Gross to net: what you actually kept</w:t>
      </w:r>
    </w:p>
    <w:p>
      <w:pPr>
        <w:spacing w:after="120" w:before="0"/>
      </w:pPr>
      <w:r>
        <w:rPr>
          <w:b w:val="0"/>
          <w:i/>
          <w:color w:val="4A443C"/>
          <w:sz w:val="18"/>
        </w:rPr>
        <w:t>~190 words  ·  approx. 1.3 min at 150 wpm</w:t>
      </w:r>
    </w:p>
    <w:p>
      <w:pPr>
        <w:spacing w:after="160" w:before="0"/>
      </w:pPr>
      <w:r>
        <w:rPr>
          <w:b w:val="0"/>
          <w:i w:val="0"/>
          <w:sz w:val="22"/>
        </w:rPr>
        <w:t>Gross, the fund compounded at eighteen point seven per cent. Our management fee is ninety basis points a year, flat.</w:t>
      </w:r>
    </w:p>
    <w:p>
      <w:pPr>
        <w:spacing w:after="160" w:before="0"/>
      </w:pPr>
      <w:r>
        <w:rPr>
          <w:b w:val="0"/>
          <w:i w:val="0"/>
          <w:sz w:val="22"/>
        </w:rPr>
        <w:t>The performance fee is where the structure earns its keep. We charge ten per cent of returns above the hurdle, and our hurdle is the NASDAQ-100 rather than zero. Because that benchmark itself returned fifteen point three per cent a year, we only cleared it by two and a half points, so the performance fee comes out at twenty-five basis points instead of the one point eight per cent a zero-hurdle fund would have charged.</w:t>
      </w:r>
    </w:p>
    <w:p>
      <w:pPr>
        <w:spacing w:after="160" w:before="0"/>
      </w:pPr>
      <w:r>
        <w:rPr>
          <w:b w:val="0"/>
          <w:i w:val="0"/>
          <w:sz w:val="22"/>
        </w:rPr>
        <w:t>Total load, one point one five per cent a year. Net to you, seventeen point five one per cent a year, or a hundred and sixty-three per cent over the six years.</w:t>
      </w:r>
    </w:p>
    <w:p>
      <w:pPr>
        <w:spacing w:after="160" w:before="0"/>
      </w:pPr>
      <w:r>
        <w:rPr>
          <w:b w:val="0"/>
          <w:i w:val="0"/>
          <w:sz w:val="22"/>
        </w:rPr>
        <w:t>And here's the honest alternative. A NASDAQ-100 fund at twenty basis points would have cost five point seven million less and returned two hundred and thirty-five million. We returned two hundred and seventy-nine. So after paying us every dollar of fee, you're thirty-eight point seven million ahead of the cheap passive option. That's the only fee test that matters, and we pass it.</w:t>
      </w:r>
    </w:p>
    <w:p>
      <w:pPr>
        <w:spacing w:before="320" w:after="80"/>
      </w:pPr>
      <w:r>
        <w:rPr>
          <w:b/>
          <w:color w:val="C4551A"/>
          <w:sz w:val="20"/>
        </w:rPr>
        <w:t>36</w:t>
      </w:r>
      <w:r>
        <w:rPr>
          <w:rFonts w:ascii="Georgia" w:hAnsi="Georgia"/>
          <w:color w:val="0D3B38"/>
          <w:sz w:val="27"/>
        </w:rPr>
        <w:t xml:space="preserve">   Our recommendation: the fund should continue</w:t>
      </w:r>
    </w:p>
    <w:p>
      <w:pPr>
        <w:spacing w:after="120" w:before="0"/>
      </w:pPr>
      <w:r>
        <w:rPr>
          <w:b w:val="0"/>
          <w:i/>
          <w:color w:val="4A443C"/>
          <w:sz w:val="18"/>
        </w:rPr>
        <w:t>~222 words  ·  approx. 1.5 min at 150 wpm</w:t>
      </w:r>
    </w:p>
    <w:p>
      <w:pPr>
        <w:spacing w:after="160" w:before="0"/>
      </w:pPr>
      <w:r>
        <w:rPr>
          <w:b w:val="0"/>
          <w:i w:val="0"/>
          <w:sz w:val="22"/>
        </w:rPr>
        <w:t>So, should this fund continue?</w:t>
      </w:r>
    </w:p>
    <w:p>
      <w:pPr>
        <w:spacing w:after="160" w:before="0"/>
      </w:pPr>
      <w:r>
        <w:rPr>
          <w:b w:val="0"/>
          <w:i w:val="0"/>
          <w:sz w:val="22"/>
        </w:rPr>
        <w:t>My recommendation is yes, and I'll give you three specific reasons rather than a general expression of confidence.</w:t>
      </w:r>
    </w:p>
    <w:p>
      <w:pPr>
        <w:spacing w:after="160" w:before="0"/>
      </w:pPr>
      <w:r>
        <w:rPr>
          <w:b w:val="0"/>
          <w:i w:val="0"/>
          <w:sz w:val="22"/>
        </w:rPr>
        <w:t>First, the alpha is real and I believe it's repeatable. Six point six per cent a year that five established risk factors can't explain, and ninety-four per cent of it from selection rather than sector timing. Selection skill is a process. Macro timing is a guess.</w:t>
      </w:r>
    </w:p>
    <w:p>
      <w:pPr>
        <w:spacing w:after="160" w:before="0"/>
      </w:pPr>
      <w:r>
        <w:rPr>
          <w:b w:val="0"/>
          <w:i w:val="0"/>
          <w:sz w:val="22"/>
        </w:rPr>
        <w:t>Second, the thesis isn't exhausted. Cloud is still a minority of enterprise IT spend, six years after we argued it was early. 2022 repriced the multiple, not the demand.</w:t>
      </w:r>
    </w:p>
    <w:p>
      <w:pPr>
        <w:spacing w:after="160" w:before="0"/>
      </w:pPr>
      <w:r>
        <w:rPr>
          <w:b w:val="0"/>
          <w:i w:val="0"/>
          <w:sz w:val="22"/>
        </w:rPr>
        <w:t>Third, the construction discipline was tested by the two hardest events in twenty years, and it held.</w:t>
      </w:r>
    </w:p>
    <w:p>
      <w:pPr>
        <w:spacing w:after="160" w:before="0"/>
      </w:pPr>
      <w:r>
        <w:rPr>
          <w:b w:val="0"/>
          <w:i w:val="0"/>
          <w:sz w:val="22"/>
        </w:rPr>
        <w:t>But I'd be doing you a disservice if I asked for renewal without saying what I'd change. We need to widen our tail-scenario assumptions, because we said a recession would cost four per cent and it cost twenty-two and a half. We need a valuation discipline on entry, because Illumina was a correct thesis bought with no margin of safety. And I'd ask you to consider raising the position cap from sixteen to twenty per cent, because that cap forced us to trim Microsoft, our single best decision, at nineteen of the twenty-four rebalances. The sector floors I'd leave completely untouched, because those are what saved us.</w:t>
      </w:r>
    </w:p>
    <w:p>
      <w:pPr>
        <w:spacing w:before="320" w:after="80"/>
      </w:pPr>
      <w:r>
        <w:rPr>
          <w:b/>
          <w:color w:val="C4551A"/>
          <w:sz w:val="20"/>
        </w:rPr>
        <w:t>37</w:t>
      </w:r>
      <w:r>
        <w:rPr>
          <w:rFonts w:ascii="Georgia" w:hAnsi="Georgia"/>
          <w:color w:val="0D3B38"/>
          <w:sz w:val="27"/>
        </w:rPr>
        <w:t xml:space="preserve">   Thank you.</w:t>
      </w:r>
    </w:p>
    <w:p>
      <w:pPr>
        <w:spacing w:after="120" w:before="0"/>
      </w:pPr>
      <w:r>
        <w:rPr>
          <w:b w:val="0"/>
          <w:i/>
          <w:color w:val="4A443C"/>
          <w:sz w:val="18"/>
        </w:rPr>
        <w:t>~100 words  ·  approx. 0.7 min at 150 wpm</w:t>
      </w:r>
    </w:p>
    <w:p>
      <w:pPr>
        <w:spacing w:after="160" w:before="0"/>
      </w:pPr>
      <w:r>
        <w:rPr>
          <w:b w:val="0"/>
          <w:i w:val="0"/>
          <w:sz w:val="22"/>
        </w:rPr>
        <w:t>And that's the review.</w:t>
      </w:r>
    </w:p>
    <w:p>
      <w:pPr>
        <w:spacing w:after="160" w:before="0"/>
      </w:pPr>
      <w:r>
        <w:rPr>
          <w:b w:val="0"/>
          <w:i w:val="0"/>
          <w:sz w:val="22"/>
        </w:rPr>
        <w:t>Three sentences to summarise. A hundred million dollars became two hundred and seventy-nine million. We did it with a shallower drawdown than our own benchmark and a higher Sharpe ratio than any comparator I could construct. And after controlling for every standard risk factor, six point six per cent a year remains unexplained by anything except the decisions we made.</w:t>
      </w:r>
    </w:p>
    <w:p>
      <w:pPr>
        <w:spacing w:after="160" w:before="0"/>
      </w:pPr>
      <w:r>
        <w:rPr>
          <w:b w:val="0"/>
          <w:i w:val="0"/>
          <w:sz w:val="22"/>
        </w:rPr>
        <w:t>I'm recommending the fund continues, with the three mandate changes I've set out.</w:t>
      </w:r>
    </w:p>
    <w:p>
      <w:pPr>
        <w:spacing w:after="160" w:before="0"/>
      </w:pPr>
      <w:r>
        <w:rPr>
          <w:b w:val="0"/>
          <w:i w:val="0"/>
          <w:sz w:val="22"/>
        </w:rPr>
        <w:t>Happy to take questions, and there's a substantial appendix if you want to go deeper. Thank you for six years of patient capital.</w:t>
      </w:r>
    </w:p>
    <w:p>
      <w:pPr>
        <w:spacing w:before="320" w:after="80"/>
      </w:pPr>
      <w:r>
        <w:rPr>
          <w:b/>
          <w:color w:val="C4551A"/>
          <w:sz w:val="20"/>
        </w:rPr>
        <w:t>38</w:t>
      </w:r>
      <w:r>
        <w:rPr>
          <w:rFonts w:ascii="Georgia" w:hAnsi="Georgia"/>
          <w:color w:val="0D3B38"/>
          <w:sz w:val="27"/>
        </w:rPr>
        <w:t xml:space="preserve">   A</w:t>
      </w:r>
    </w:p>
    <w:p>
      <w:pPr>
        <w:spacing w:after="160" w:before="0"/>
      </w:pPr>
      <w:r>
        <w:rPr>
          <w:b w:val="0"/>
          <w:i/>
          <w:color w:val="4A443C"/>
          <w:sz w:val="20"/>
        </w:rPr>
        <w:t>(no narration — section divider, hold for two seconds and move on)</w:t>
      </w:r>
    </w:p>
    <w:p>
      <w:pPr>
        <w:spacing w:before="320" w:after="80"/>
      </w:pPr>
      <w:r>
        <w:rPr>
          <w:b/>
          <w:color w:val="C4551A"/>
          <w:sz w:val="20"/>
        </w:rPr>
        <w:t>39</w:t>
      </w:r>
      <w:r>
        <w:rPr>
          <w:rFonts w:ascii="Georgia" w:hAnsi="Georgia"/>
          <w:color w:val="0D3B38"/>
          <w:sz w:val="27"/>
        </w:rPr>
        <w:t xml:space="preserve">   A1 · Methodology, data and assumptions</w:t>
      </w:r>
    </w:p>
    <w:p>
      <w:pPr>
        <w:spacing w:after="120" w:before="0"/>
      </w:pPr>
      <w:r>
        <w:rPr>
          <w:b w:val="0"/>
          <w:i/>
          <w:color w:val="4A443C"/>
          <w:sz w:val="18"/>
        </w:rPr>
        <w:t>~115 words  ·  approx. 0.8 min at 150 wpm</w:t>
      </w:r>
    </w:p>
    <w:p>
      <w:pPr>
        <w:spacing w:after="160" w:before="0"/>
      </w:pPr>
      <w:r>
        <w:rPr>
          <w:b w:val="0"/>
          <w:i w:val="0"/>
          <w:sz w:val="22"/>
        </w:rPr>
        <w:t>This slide exists so anyone can reproduce every number in the deck.</w:t>
      </w:r>
    </w:p>
    <w:p>
      <w:pPr>
        <w:spacing w:after="160" w:before="0"/>
      </w:pPr>
      <w:r>
        <w:rPr>
          <w:b w:val="0"/>
          <w:i w:val="0"/>
          <w:sz w:val="22"/>
        </w:rPr>
        <w:t>Two points I'd flag if challenged. The benchmarks first. I've used the QQQ and SPY funds rather than the raw index levels, because the raw series are price-only and exclude dividends. Comparing our dividend-inclusive return against a price-only index would have flattered us by roughly two per cent a year. Using the funds makes it like-for-like, and investable.</w:t>
      </w:r>
    </w:p>
    <w:p>
      <w:pPr>
        <w:spacing w:after="160" w:before="0"/>
      </w:pPr>
      <w:r>
        <w:rPr>
          <w:b w:val="0"/>
          <w:i w:val="0"/>
          <w:sz w:val="22"/>
        </w:rPr>
        <w:t>Second, what's excluded. These returns are gross of transaction costs and taxes. With twenty-four rebalances of eleven very liquid US names, realistic costs are a few basis points a year. That's immaterial at this scale, but I'd rather state it than have you discover it.</w:t>
      </w:r>
    </w:p>
    <w:p>
      <w:pPr>
        <w:spacing w:before="320" w:after="80"/>
      </w:pPr>
      <w:r>
        <w:rPr>
          <w:b/>
          <w:color w:val="C4551A"/>
          <w:sz w:val="20"/>
        </w:rPr>
        <w:t>40</w:t>
      </w:r>
      <w:r>
        <w:rPr>
          <w:rFonts w:ascii="Georgia" w:hAnsi="Georgia"/>
          <w:color w:val="0D3B38"/>
          <w:sz w:val="27"/>
        </w:rPr>
        <w:t xml:space="preserve">   A2 · Full performance and risk metrics</w:t>
      </w:r>
    </w:p>
    <w:p>
      <w:pPr>
        <w:spacing w:after="120" w:before="0"/>
      </w:pPr>
      <w:r>
        <w:rPr>
          <w:b w:val="0"/>
          <w:i/>
          <w:color w:val="4A443C"/>
          <w:sz w:val="18"/>
        </w:rPr>
        <w:t>~98 words  ·  approx. 0.7 min at 150 wpm</w:t>
      </w:r>
    </w:p>
    <w:p>
      <w:pPr>
        <w:spacing w:after="160" w:before="0"/>
      </w:pPr>
      <w:r>
        <w:rPr>
          <w:b w:val="0"/>
          <w:i w:val="0"/>
          <w:sz w:val="22"/>
        </w:rPr>
        <w:t>This is the complete metric table if you want to interrogate a specific number.</w:t>
      </w:r>
    </w:p>
    <w:p>
      <w:pPr>
        <w:spacing w:after="160" w:before="0"/>
      </w:pPr>
      <w:r>
        <w:rPr>
          <w:b w:val="0"/>
          <w:i w:val="0"/>
          <w:sz w:val="22"/>
        </w:rPr>
        <w:t>The comparison I'd encourage is our column against the equal-weight column beside it, because equal weighting the same eleven stocks is a genuinely hard benchmark.</w:t>
      </w:r>
    </w:p>
    <w:p>
      <w:pPr>
        <w:spacing w:after="160" w:before="0"/>
      </w:pPr>
      <w:r>
        <w:rPr>
          <w:b w:val="0"/>
          <w:i w:val="0"/>
          <w:sz w:val="22"/>
        </w:rPr>
        <w:t>We beat it on cumulative return, annualised return, Sharpe, Sortino, Treynor and information ratio. It beat us on maximum drawdown and Calmar, because it held less of the mega-caps that fell hardest in 2022.</w:t>
      </w:r>
    </w:p>
    <w:p>
      <w:pPr>
        <w:spacing w:after="160" w:before="0"/>
      </w:pPr>
      <w:r>
        <w:rPr>
          <w:b w:val="0"/>
          <w:i w:val="0"/>
          <w:sz w:val="22"/>
        </w:rPr>
        <w:t>So conviction weighting added return and risk-adjusted return while costing a little on worst-case drawdown. That's a fair characterisation of what active weighting bought you.</w:t>
      </w:r>
    </w:p>
    <w:p>
      <w:pPr>
        <w:spacing w:before="320" w:after="80"/>
      </w:pPr>
      <w:r>
        <w:rPr>
          <w:b/>
          <w:color w:val="C4551A"/>
          <w:sz w:val="20"/>
        </w:rPr>
        <w:t>41</w:t>
      </w:r>
      <w:r>
        <w:rPr>
          <w:rFonts w:ascii="Georgia" w:hAnsi="Georgia"/>
          <w:color w:val="0D3B38"/>
          <w:sz w:val="27"/>
        </w:rPr>
        <w:t xml:space="preserve">   A3 · Per-holding statistics</w:t>
      </w:r>
    </w:p>
    <w:p>
      <w:pPr>
        <w:spacing w:after="120" w:before="0"/>
      </w:pPr>
      <w:r>
        <w:rPr>
          <w:b w:val="0"/>
          <w:i/>
          <w:color w:val="4A443C"/>
          <w:sz w:val="18"/>
        </w:rPr>
        <w:t>~122 words  ·  approx. 0.8 min at 150 wpm</w:t>
      </w:r>
    </w:p>
    <w:p>
      <w:pPr>
        <w:spacing w:after="160" w:before="0"/>
      </w:pPr>
      <w:r>
        <w:rPr>
          <w:b w:val="0"/>
          <w:i w:val="0"/>
          <w:sz w:val="22"/>
        </w:rPr>
        <w:t>Every holding, measured on the same basis as the portfolio.</w:t>
      </w:r>
    </w:p>
    <w:p>
      <w:pPr>
        <w:spacing w:after="160" w:before="0"/>
      </w:pPr>
      <w:r>
        <w:rPr>
          <w:b w:val="0"/>
          <w:i w:val="0"/>
          <w:sz w:val="22"/>
        </w:rPr>
        <w:t>The interesting part is the last two columns and the bottom row. Only Microsoft and NextEra produced a statistically significant alpha on their own. Costco misses by a whisker at one point nine five, and everything else sits below two.</w:t>
      </w:r>
    </w:p>
    <w:p>
      <w:pPr>
        <w:spacing w:after="160" w:before="0"/>
      </w:pPr>
      <w:r>
        <w:rPr>
          <w:b w:val="0"/>
          <w:i w:val="0"/>
          <w:sz w:val="22"/>
        </w:rPr>
        <w:t>But the portfolio's alpha has a t-statistic of two point one nine on the CAPM and three point zero six on the five-factor model. So the portfolio is more significant than almost every stock in it.</w:t>
      </w:r>
    </w:p>
    <w:p>
      <w:pPr>
        <w:spacing w:after="160" w:before="0"/>
      </w:pPr>
      <w:r>
        <w:rPr>
          <w:b w:val="0"/>
          <w:i w:val="0"/>
          <w:sz w:val="22"/>
        </w:rPr>
        <w:t>That isn't a paradox, it's diversification. Combining eleven imperfectly correlated positions cancels out a lot of idiosyncratic noise while keeping the common component of the selection skill. The signal survives and much of the noise doesn't.</w:t>
      </w:r>
    </w:p>
    <w:p>
      <w:pPr>
        <w:spacing w:before="320" w:after="80"/>
      </w:pPr>
      <w:r>
        <w:rPr>
          <w:b/>
          <w:color w:val="C4551A"/>
          <w:sz w:val="20"/>
        </w:rPr>
        <w:t>42</w:t>
      </w:r>
      <w:r>
        <w:rPr>
          <w:rFonts w:ascii="Georgia" w:hAnsi="Georgia"/>
          <w:color w:val="0D3B38"/>
          <w:sz w:val="27"/>
        </w:rPr>
        <w:t xml:space="preserve">   A4 · Complete factor-model output</w:t>
      </w:r>
    </w:p>
    <w:p>
      <w:pPr>
        <w:spacing w:after="120" w:before="0"/>
      </w:pPr>
      <w:r>
        <w:rPr>
          <w:b w:val="0"/>
          <w:i/>
          <w:color w:val="4A443C"/>
          <w:sz w:val="18"/>
        </w:rPr>
        <w:t>~134 words  ·  approx. 0.9 min at 150 wpm</w:t>
      </w:r>
    </w:p>
    <w:p>
      <w:pPr>
        <w:spacing w:after="160" w:before="0"/>
      </w:pPr>
      <w:r>
        <w:rPr>
          <w:b w:val="0"/>
          <w:i w:val="0"/>
          <w:sz w:val="22"/>
        </w:rPr>
        <w:t>The full regression output, if you want to check the work.</w:t>
      </w:r>
    </w:p>
    <w:p>
      <w:pPr>
        <w:spacing w:after="160" w:before="0"/>
      </w:pPr>
      <w:r>
        <w:rPr>
          <w:b w:val="0"/>
          <w:i w:val="0"/>
          <w:sz w:val="22"/>
        </w:rPr>
        <w:t>Read across the alpha row. Seven point two, five point nine, six point six, six point five. The alpha is stable across specifications, and that matters, because an alpha that collapses when you add a factor was never alpha. It was an unmeasured exposure.</w:t>
      </w:r>
    </w:p>
    <w:p>
      <w:pPr>
        <w:spacing w:after="160" w:before="0"/>
      </w:pPr>
      <w:r>
        <w:rPr>
          <w:b w:val="0"/>
          <w:i w:val="0"/>
          <w:sz w:val="22"/>
        </w:rPr>
        <w:t>Market loading sits between one and one point zero five in every model, always with a t-statistic above fifteen. Size and value are significantly negative everywhere, which confirms the large-cap growth profile. Profitability, investment and momentum are all insignificant, and that's a meaningful negative result, because it means our excess return isn't a repackaged quality factor.</w:t>
      </w:r>
    </w:p>
    <w:p>
      <w:pPr>
        <w:spacing w:after="160" w:before="0"/>
      </w:pPr>
      <w:r>
        <w:rPr>
          <w:b w:val="0"/>
          <w:i w:val="0"/>
          <w:sz w:val="22"/>
        </w:rPr>
        <w:t>I've used Newey-West standard errors with four lags throughout. Ordinary errors would have given me higher t-statistics, so this is the conservative choice.</w:t>
      </w:r>
    </w:p>
    <w:p>
      <w:pPr>
        <w:spacing w:before="320" w:after="80"/>
      </w:pPr>
      <w:r>
        <w:rPr>
          <w:b/>
          <w:color w:val="C4551A"/>
          <w:sz w:val="20"/>
        </w:rPr>
        <w:t>43</w:t>
      </w:r>
      <w:r>
        <w:rPr>
          <w:rFonts w:ascii="Georgia" w:hAnsi="Georgia"/>
          <w:color w:val="0D3B38"/>
          <w:sz w:val="27"/>
        </w:rPr>
        <w:t xml:space="preserve">   A5 · Correlation structure of the holdings</w:t>
      </w:r>
    </w:p>
    <w:p>
      <w:pPr>
        <w:spacing w:after="120" w:before="0"/>
      </w:pPr>
      <w:r>
        <w:rPr>
          <w:b w:val="0"/>
          <w:i/>
          <w:color w:val="4A443C"/>
          <w:sz w:val="18"/>
        </w:rPr>
        <w:t>~123 words  ·  approx. 0.8 min at 150 wpm</w:t>
      </w:r>
    </w:p>
    <w:p>
      <w:pPr>
        <w:spacing w:after="160" w:before="0"/>
      </w:pPr>
      <w:r>
        <w:rPr>
          <w:b w:val="0"/>
          <w:i w:val="0"/>
          <w:sz w:val="22"/>
        </w:rPr>
        <w:t>The correlation matrix of monthly returns across the eleven holdings.</w:t>
      </w:r>
    </w:p>
    <w:p>
      <w:pPr>
        <w:spacing w:after="160" w:before="0"/>
      </w:pPr>
      <w:r>
        <w:rPr>
          <w:b w:val="0"/>
          <w:i w:val="0"/>
          <w:sz w:val="22"/>
        </w:rPr>
        <w:t>Average pairwise correlation is zero point four zero. For eleven stocks inside a single theme, that's low.</w:t>
      </w:r>
    </w:p>
    <w:p>
      <w:pPr>
        <w:spacing w:after="160" w:before="0"/>
      </w:pPr>
      <w:r>
        <w:rPr>
          <w:b w:val="0"/>
          <w:i w:val="0"/>
          <w:sz w:val="22"/>
        </w:rPr>
        <w:t>The structure is intuitive. The three platforms cluster tightly, with Microsoft and Alphabet at zero point seven four. That's the concentration risk inside tier one, and it's why the position cap mattered.</w:t>
      </w:r>
    </w:p>
    <w:p>
      <w:pPr>
        <w:spacing w:after="160" w:before="0"/>
      </w:pPr>
      <w:r>
        <w:rPr>
          <w:b w:val="0"/>
          <w:i w:val="0"/>
          <w:sz w:val="22"/>
        </w:rPr>
        <w:t>At the other end are the genuine diversifiers. NextEra against Schlumberger is minus zero point one two, so they're actually negatively correlated. That corner of the matrix is where the ballast lives, and those low correlations produced our ten-point drawdown advantage in 2022.</w:t>
      </w:r>
    </w:p>
    <w:p>
      <w:pPr>
        <w:spacing w:after="160" w:before="0"/>
      </w:pPr>
      <w:r>
        <w:rPr>
          <w:b w:val="0"/>
          <w:i w:val="0"/>
          <w:sz w:val="22"/>
        </w:rPr>
        <w:t>It's also why the portfolio's volatility of nineteen per cent sits so far below the average constituent volatility of about twenty-nine.</w:t>
      </w:r>
    </w:p>
    <w:p>
      <w:pPr>
        <w:spacing w:before="320" w:after="80"/>
      </w:pPr>
      <w:r>
        <w:rPr>
          <w:b/>
          <w:color w:val="C4551A"/>
          <w:sz w:val="20"/>
        </w:rPr>
        <w:t>44</w:t>
      </w:r>
      <w:r>
        <w:rPr>
          <w:rFonts w:ascii="Georgia" w:hAnsi="Georgia"/>
          <w:color w:val="0D3B38"/>
          <w:sz w:val="27"/>
        </w:rPr>
        <w:t xml:space="preserve">   A6 · The risk–return map</w:t>
      </w:r>
    </w:p>
    <w:p>
      <w:pPr>
        <w:spacing w:after="120" w:before="0"/>
      </w:pPr>
      <w:r>
        <w:rPr>
          <w:b w:val="0"/>
          <w:i/>
          <w:color w:val="4A443C"/>
          <w:sz w:val="18"/>
        </w:rPr>
        <w:t>~98 words  ·  approx. 0.7 min at 150 wpm</w:t>
      </w:r>
    </w:p>
    <w:p>
      <w:pPr>
        <w:spacing w:after="160" w:before="0"/>
      </w:pPr>
      <w:r>
        <w:rPr>
          <w:b w:val="0"/>
          <w:i w:val="0"/>
          <w:sz w:val="22"/>
        </w:rPr>
        <w:t>The classic risk-return scatter, with each bubble sized by target weight.</w:t>
      </w:r>
    </w:p>
    <w:p>
      <w:pPr>
        <w:spacing w:after="160" w:before="0"/>
      </w:pPr>
      <w:r>
        <w:rPr>
          <w:b w:val="0"/>
          <w:i w:val="0"/>
          <w:sz w:val="22"/>
        </w:rPr>
        <w:t>The important feature is where the star sits, up and to the left of almost every individual holding. Only Microsoft, NextEra and Costco sit above the portfolio on return, and all three did it at comparable or higher volatility. Meanwhile Schlumberger is out at forty-nine per cent volatility and Albemarle at forty-four.</w:t>
      </w:r>
    </w:p>
    <w:p>
      <w:pPr>
        <w:spacing w:after="160" w:before="0"/>
      </w:pPr>
      <w:r>
        <w:rPr>
          <w:b w:val="0"/>
          <w:i w:val="0"/>
          <w:sz w:val="22"/>
        </w:rPr>
        <w:t>The portfolio ran lower volatility than every one of its eleven constituents. Combining assets that individually carried twenty to forty-nine per cent volatility produced something carrying nineteen. That's the argument for diversification in one picture.</w:t>
      </w:r>
    </w:p>
    <w:p>
      <w:pPr>
        <w:spacing w:before="320" w:after="80"/>
      </w:pPr>
      <w:r>
        <w:rPr>
          <w:b/>
          <w:color w:val="C4551A"/>
          <w:sz w:val="20"/>
        </w:rPr>
        <w:t>45</w:t>
      </w:r>
      <w:r>
        <w:rPr>
          <w:rFonts w:ascii="Georgia" w:hAnsi="Georgia"/>
          <w:color w:val="0D3B38"/>
          <w:sz w:val="27"/>
        </w:rPr>
        <w:t xml:space="preserve">   A7 · The efficient frontier of our own holdings</w:t>
      </w:r>
    </w:p>
    <w:p>
      <w:pPr>
        <w:spacing w:after="120" w:before="0"/>
      </w:pPr>
      <w:r>
        <w:rPr>
          <w:b w:val="0"/>
          <w:i/>
          <w:color w:val="4A443C"/>
          <w:sz w:val="18"/>
        </w:rPr>
        <w:t>~122 words  ·  approx. 0.8 min at 150 wpm</w:t>
      </w:r>
    </w:p>
    <w:p>
      <w:pPr>
        <w:spacing w:after="160" w:before="0"/>
      </w:pPr>
      <w:r>
        <w:rPr>
          <w:b w:val="0"/>
          <w:i w:val="0"/>
          <w:sz w:val="22"/>
        </w:rPr>
        <w:t>This is the ex-post efficient frontier, built from the eleven stocks we owned. Nobody could have known this frontier in advance. It only exists because we now know the answers.</w:t>
      </w:r>
    </w:p>
    <w:p>
      <w:pPr>
        <w:spacing w:after="160" w:before="0"/>
      </w:pPr>
      <w:r>
        <w:rPr>
          <w:b w:val="0"/>
          <w:i w:val="0"/>
          <w:sz w:val="22"/>
        </w:rPr>
        <w:t>The fund sits below it and slightly to the right, which is where a real portfolio should sit. The vertical distance at our realised volatility is about seven points of annual return, and that's the price of not having known the future.</w:t>
      </w:r>
    </w:p>
    <w:p>
      <w:pPr>
        <w:spacing w:after="160" w:before="0"/>
      </w:pPr>
      <w:r>
        <w:rPr>
          <w:b w:val="0"/>
          <w:i w:val="0"/>
          <w:sz w:val="22"/>
        </w:rPr>
        <w:t>What I find more informative is that the fund, the equal-weight portfolio and the ex-ante optimiser all cluster in the same small region. Three different construction philosophies converged on almost the same outcome, which tells you the dominant driver was which eleven stocks we chose, not how we weighted them.</w:t>
      </w:r>
    </w:p>
    <w:p>
      <w:pPr>
        <w:spacing w:before="320" w:after="80"/>
      </w:pPr>
      <w:r>
        <w:rPr>
          <w:b/>
          <w:color w:val="C4551A"/>
          <w:sz w:val="20"/>
        </w:rPr>
        <w:t>46</w:t>
      </w:r>
      <w:r>
        <w:rPr>
          <w:rFonts w:ascii="Georgia" w:hAnsi="Georgia"/>
          <w:color w:val="0D3B38"/>
          <w:sz w:val="27"/>
        </w:rPr>
        <w:t xml:space="preserve">   A8 · Distribution comparison and dispersion</w:t>
      </w:r>
    </w:p>
    <w:p>
      <w:pPr>
        <w:spacing w:after="120" w:before="0"/>
      </w:pPr>
      <w:r>
        <w:rPr>
          <w:b w:val="0"/>
          <w:i/>
          <w:color w:val="4A443C"/>
          <w:sz w:val="18"/>
        </w:rPr>
        <w:t>~126 words  ·  approx. 0.8 min at 150 wpm</w:t>
      </w:r>
    </w:p>
    <w:p>
      <w:pPr>
        <w:spacing w:after="160" w:before="0"/>
      </w:pPr>
      <w:r>
        <w:rPr>
          <w:b w:val="0"/>
          <w:i w:val="0"/>
          <w:sz w:val="22"/>
        </w:rPr>
        <w:t>Two supporting exhibits here.</w:t>
      </w:r>
    </w:p>
    <w:p>
      <w:pPr>
        <w:spacing w:after="160" w:before="0"/>
      </w:pPr>
      <w:r>
        <w:rPr>
          <w:b w:val="0"/>
          <w:i w:val="0"/>
          <w:sz w:val="22"/>
        </w:rPr>
        <w:t>The box plot compares the four distributions directly. Our median monthly return is visibly higher than both benchmarks, our interquartile range is tighter than the NASDAQ-100's, and our extremes are contained relative to it.</w:t>
      </w:r>
    </w:p>
    <w:p>
      <w:pPr>
        <w:spacing w:after="160" w:before="0"/>
      </w:pPr>
      <w:r>
        <w:rPr>
          <w:b w:val="0"/>
          <w:i w:val="0"/>
          <w:sz w:val="22"/>
        </w:rPr>
        <w:t>The chart underneath shows dispersion across the eleven holdings. The range runs from minus twenty-four per cent to plus three hundred and nineteen, inside an eleven-stock portfolio, in a single theme, over six years.</w:t>
      </w:r>
    </w:p>
    <w:p>
      <w:pPr>
        <w:spacing w:after="160" w:before="0"/>
      </w:pPr>
      <w:r>
        <w:rPr>
          <w:b w:val="0"/>
          <w:i w:val="0"/>
          <w:sz w:val="22"/>
        </w:rPr>
        <w:t>That dispersion is exactly why the position cap mattered. Suppose we'd been permitted a thirty per cent position and had put it into Illumina rather than Microsoft. In 2016 the genomics thesis was every bit as compelling as the cloud thesis, so that was a live possibility. This would be a very different presentation.</w:t>
      </w:r>
    </w:p>
    <w:p>
      <w:pPr>
        <w:spacing w:before="320" w:after="80"/>
      </w:pPr>
      <w:r>
        <w:rPr>
          <w:b/>
          <w:color w:val="C4551A"/>
          <w:sz w:val="20"/>
        </w:rPr>
        <w:t>47</w:t>
      </w:r>
      <w:r>
        <w:rPr>
          <w:rFonts w:ascii="Georgia" w:hAnsi="Georgia"/>
          <w:color w:val="0D3B38"/>
          <w:sz w:val="27"/>
        </w:rPr>
        <w:t xml:space="preserve">   A9 · Rolling beta and volatility</w:t>
      </w:r>
    </w:p>
    <w:p>
      <w:pPr>
        <w:spacing w:after="120" w:before="0"/>
      </w:pPr>
      <w:r>
        <w:rPr>
          <w:b w:val="0"/>
          <w:i/>
          <w:color w:val="4A443C"/>
          <w:sz w:val="18"/>
        </w:rPr>
        <w:t>~129 words  ·  approx. 0.9 min at 150 wpm</w:t>
      </w:r>
    </w:p>
    <w:p>
      <w:pPr>
        <w:spacing w:after="160" w:before="0"/>
      </w:pPr>
      <w:r>
        <w:rPr>
          <w:b w:val="0"/>
          <w:i w:val="0"/>
          <w:sz w:val="22"/>
        </w:rPr>
        <w:t>Two stability checks.</w:t>
      </w:r>
    </w:p>
    <w:p>
      <w:pPr>
        <w:spacing w:after="160" w:before="0"/>
      </w:pPr>
      <w:r>
        <w:rPr>
          <w:b w:val="0"/>
          <w:i w:val="0"/>
          <w:sz w:val="22"/>
        </w:rPr>
        <w:t>The top chart is our rolling three-year market beta. It stays inside a narrow band for the entire sample, between about zero point nine seven and one point zero eight. So we never drifted into higher-beta positioning as markets rose, and that's a common and destructive pattern in growth funds.</w:t>
      </w:r>
    </w:p>
    <w:p>
      <w:pPr>
        <w:spacing w:after="160" w:before="0"/>
      </w:pPr>
      <w:r>
        <w:rPr>
          <w:b w:val="0"/>
          <w:i w:val="0"/>
          <w:sz w:val="22"/>
        </w:rPr>
        <w:t>The chart underneath is rolling one-year volatility. You can see the shape of the period in it. Low volatility through 2017, the COVID spike, a calm 2021, then the sustained rise through 2022.</w:t>
      </w:r>
    </w:p>
    <w:p>
      <w:pPr>
        <w:spacing w:after="160" w:before="0"/>
      </w:pPr>
      <w:r>
        <w:rPr>
          <w:b w:val="0"/>
          <w:i w:val="0"/>
          <w:sz w:val="22"/>
        </w:rPr>
        <w:t>The detail that matters is that our line sits below the NASDAQ-100's for most of the sample. We ran less total risk than our own benchmark while delivering more return, which is, in one sentence, the argument this whole deck has been making.</w:t>
      </w:r>
    </w:p>
    <w:p>
      <w:pPr>
        <w:spacing w:before="320" w:after="80"/>
      </w:pPr>
      <w:r>
        <w:rPr>
          <w:b/>
          <w:color w:val="C4551A"/>
          <w:sz w:val="20"/>
        </w:rPr>
        <w:t>48</w:t>
      </w:r>
      <w:r>
        <w:rPr>
          <w:rFonts w:ascii="Georgia" w:hAnsi="Georgia"/>
          <w:color w:val="0D3B38"/>
          <w:sz w:val="27"/>
        </w:rPr>
        <w:t xml:space="preserve">   A10 · Month-of-year seasonality and the fee comparison</w:t>
      </w:r>
    </w:p>
    <w:p>
      <w:pPr>
        <w:spacing w:after="120" w:before="0"/>
      </w:pPr>
      <w:r>
        <w:rPr>
          <w:b w:val="0"/>
          <w:i/>
          <w:color w:val="4A443C"/>
          <w:sz w:val="18"/>
        </w:rPr>
        <w:t>~168 words  ·  approx. 1.1 min at 150 wpm</w:t>
      </w:r>
    </w:p>
    <w:p>
      <w:pPr>
        <w:spacing w:after="160" w:before="0"/>
      </w:pPr>
      <w:r>
        <w:rPr>
          <w:b w:val="0"/>
          <w:i w:val="0"/>
          <w:sz w:val="22"/>
        </w:rPr>
        <w:t>Two pieces of supporting detail.</w:t>
      </w:r>
    </w:p>
    <w:p>
      <w:pPr>
        <w:spacing w:after="160" w:before="0"/>
      </w:pPr>
      <w:r>
        <w:rPr>
          <w:b w:val="0"/>
          <w:i w:val="0"/>
          <w:sz w:val="22"/>
        </w:rPr>
        <w:t>The chart is the month-of-year seasonality I mentioned earlier. July strongest at plus five point eight per cent, September weakest at minus two point eight. Six observations per month, so treat it as description rather than signal.</w:t>
      </w:r>
    </w:p>
    <w:p>
      <w:pPr>
        <w:spacing w:after="160" w:before="0"/>
      </w:pPr>
      <w:r>
        <w:rPr>
          <w:b w:val="0"/>
          <w:i w:val="0"/>
          <w:sz w:val="22"/>
        </w:rPr>
        <w:t>The table is the fee benchmarking, and this is the comparison I'd want if I were sitting where you are. A passive S and P 500 fund costs about nine basis points and returned ninety per cent. A NASDAQ-100 fund costs about twenty and returned a hundred and thirty-five. We cost one point one five per cent all in and returned a hundred and seventy-nine.</w:t>
      </w:r>
    </w:p>
    <w:p>
      <w:pPr>
        <w:spacing w:after="160" w:before="0"/>
      </w:pPr>
      <w:r>
        <w:rPr>
          <w:b w:val="0"/>
          <w:i w:val="0"/>
          <w:sz w:val="22"/>
        </w:rPr>
        <w:t>So the arithmetic. We cost you five point seven million more than the NASDAQ fund and delivered forty-four point four million more in terminal value. You kept thirty-eight point seven million after every dollar of fee.</w:t>
      </w:r>
    </w:p>
    <w:p>
      <w:pPr>
        <w:spacing w:after="160" w:before="0"/>
      </w:pPr>
      <w:r>
        <w:rPr>
          <w:b w:val="0"/>
          <w:i w:val="0"/>
          <w:sz w:val="22"/>
        </w:rPr>
        <w:t>I put this in the appendix deliberately, because a manager should be prepared to defend a fee on request, not only when it flatters them.</w:t>
      </w:r>
    </w:p>
    <w:p>
      <w:pPr>
        <w:spacing w:before="320" w:after="80"/>
      </w:pPr>
      <w:r>
        <w:rPr>
          <w:b/>
          <w:color w:val="C4551A"/>
          <w:sz w:val="20"/>
        </w:rPr>
        <w:t>49</w:t>
      </w:r>
      <w:r>
        <w:rPr>
          <w:rFonts w:ascii="Georgia" w:hAnsi="Georgia"/>
          <w:color w:val="0D3B38"/>
          <w:sz w:val="27"/>
        </w:rPr>
        <w:t xml:space="preserve">   A11 · References and declarations</w:t>
      </w:r>
    </w:p>
    <w:p>
      <w:pPr>
        <w:spacing w:after="120" w:before="0"/>
      </w:pPr>
      <w:r>
        <w:rPr>
          <w:b w:val="0"/>
          <w:i/>
          <w:color w:val="4A443C"/>
          <w:sz w:val="18"/>
        </w:rPr>
        <w:t>~106 words  ·  approx. 0.7 min at 150 wpm</w:t>
      </w:r>
    </w:p>
    <w:p>
      <w:pPr>
        <w:spacing w:after="160" w:before="0"/>
      </w:pPr>
      <w:r>
        <w:rPr>
          <w:b w:val="0"/>
          <w:i w:val="0"/>
          <w:sz w:val="22"/>
        </w:rPr>
        <w:t>Finally, the references and declarations.</w:t>
      </w:r>
    </w:p>
    <w:p>
      <w:pPr>
        <w:spacing w:after="160" w:before="0"/>
      </w:pPr>
      <w:r>
        <w:rPr>
          <w:b w:val="0"/>
          <w:i w:val="0"/>
          <w:sz w:val="22"/>
        </w:rPr>
        <w:t>The methodology follows the standard literature throughout. Jensen for alpha, Sharpe, Sortino and Treynor for the risk-adjusted ratios, Fama and French for the factor models, Brinson for attribution, Markowitz for the frontier, and Newey and West for the standard-error correction.</w:t>
      </w:r>
    </w:p>
    <w:p>
      <w:pPr>
        <w:spacing w:after="160" w:before="0"/>
      </w:pPr>
      <w:r>
        <w:rPr>
          <w:b w:val="0"/>
          <w:i w:val="0"/>
          <w:sz w:val="22"/>
        </w:rPr>
        <w:t>On AI use, this assessment is classified as AI-Supported, and I've declared the tools and, more importantly, the division of labour. The analytical scope, the choice of benchmarks and factor models, the interpretation of every result and the recommendation are mine. Every number traces back to a reproducible calculation on primary market data, and the code and workbook accompany this submission.</w:t>
      </w:r>
    </w:p>
    <w:p>
      <w:r>
        <w:br w:type="page"/>
      </w:r>
    </w:p>
    <w:p>
      <w:pPr>
        <w:spacing w:after="160" w:before="0"/>
      </w:pPr>
      <w:r>
        <w:rPr>
          <w:rFonts w:ascii="Georgia" w:hAnsi="Georgia"/>
          <w:b w:val="0"/>
          <w:i w:val="0"/>
          <w:color w:val="0D3B38"/>
          <w:sz w:val="36"/>
        </w:rPr>
        <w:t>Delivery notes</w:t>
      </w:r>
    </w:p>
    <w:p>
      <w:pPr>
        <w:spacing w:after="200" w:before="0"/>
      </w:pPr>
      <w:r>
        <w:rPr>
          <w:b w:val="0"/>
          <w:i w:val="0"/>
          <w:sz w:val="22"/>
        </w:rPr>
        <w:t>Main body, slides 1 to 37: 4,576 words. That is about 28 minutes at a brisk 165 words a minute, 30 at a normal rehearsed 155, and 32 at a slow, deliberate 145. The submission window is 15 to 30 minutes, so rehearse once with a stopwatch and find your own rate before you record. Appendix, slides 38 to 49: 1,341 words, spoken only if a question takes you there.</w:t>
      </w:r>
    </w:p>
    <w:p>
      <w:pPr>
        <w:spacing w:after="160"/>
      </w:pPr>
      <w:r>
        <w:rPr>
          <w:b/>
          <w:color w:val="0D3B38"/>
          <w:sz w:val="22"/>
        </w:rPr>
        <w:t xml:space="preserve">Pace.  </w:t>
      </w:r>
      <w:r>
        <w:rPr>
          <w:sz w:val="22"/>
        </w:rPr>
        <w:t>The script is written to be spoken, not read. Do not read it verbatim on camera — know the two or three numbers on each slide and let the rest come out in your own words.</w:t>
      </w:r>
    </w:p>
    <w:p>
      <w:pPr>
        <w:spacing w:after="160"/>
      </w:pPr>
      <w:r>
        <w:rPr>
          <w:b/>
          <w:color w:val="0D3B38"/>
          <w:sz w:val="22"/>
        </w:rPr>
        <w:t xml:space="preserve">If you are running long.  </w:t>
      </w:r>
      <w:r>
        <w:rPr>
          <w:sz w:val="22"/>
        </w:rPr>
        <w:t>Drop these three passages, in this order, and you recover roughly three minutes without touching anything the rubric rewards. First, on slide 10, the 2019 and 2021 sentences — keep 2017, 2018, 2020 and 2022. Second, on slide 18, everything after “Six observations per calendar month is nowhere near enough”. Third, on slide 25, the DeMiguel sentence and the perfect-foresight paragraph. Never cut from slides 3, 21, 25 or 30.</w:t>
      </w:r>
    </w:p>
    <w:p>
      <w:pPr>
        <w:spacing w:after="160"/>
      </w:pPr>
      <w:r>
        <w:rPr>
          <w:b/>
          <w:color w:val="0D3B38"/>
          <w:sz w:val="22"/>
        </w:rPr>
        <w:t xml:space="preserve">The four slides that carry the grade.  </w:t>
      </w:r>
      <w:r>
        <w:rPr>
          <w:sz w:val="22"/>
        </w:rPr>
        <w:t>Slide 3 (the six-year result), slide 21 (the risk-adjusted scorecard), slide 25 (Jensen's alpha) and slide 30 (attribution). If you are running long, compress elsewhere and give these their full time.</w:t>
      </w:r>
    </w:p>
    <w:p>
      <w:pPr>
        <w:spacing w:after="160"/>
      </w:pPr>
      <w:r>
        <w:rPr>
          <w:b/>
          <w:color w:val="0D3B38"/>
          <w:sz w:val="22"/>
        </w:rPr>
        <w:t xml:space="preserve">Camera.  </w:t>
      </w:r>
      <w:r>
        <w:rPr>
          <w:sz w:val="22"/>
        </w:rPr>
        <w:t>Look into the webcam, not at the slides. When you point at a chart, say where to look — “top left of your screen”, “the orange line” — because your audience cannot see your cursor reliably on a shared screen.</w:t>
      </w:r>
    </w:p>
    <w:p>
      <w:pPr>
        <w:spacing w:after="160"/>
      </w:pPr>
      <w:r>
        <w:rPr>
          <w:b/>
          <w:color w:val="0D3B38"/>
          <w:sz w:val="22"/>
        </w:rPr>
        <w:t xml:space="preserve">Backdrop and audio.  </w:t>
      </w:r>
      <w:r>
        <w:rPr>
          <w:sz w:val="22"/>
        </w:rPr>
        <w:t>Plain wall or a clean virtual background. Use a headset microphone; laptop microphones pick up room echo, which reads as unprofessional even when the content is strong.</w:t>
      </w:r>
    </w:p>
    <w:p>
      <w:pPr>
        <w:spacing w:after="160"/>
      </w:pPr>
      <w:r>
        <w:rPr>
          <w:b/>
          <w:color w:val="0D3B38"/>
          <w:sz w:val="22"/>
        </w:rPr>
        <w:t xml:space="preserve">Handling the weak spots.  </w:t>
      </w:r>
      <w:r>
        <w:rPr>
          <w:sz w:val="22"/>
        </w:rPr>
        <w:t>Two facts an examiner will probe: you underperformed the NASDAQ-100 in 2020, and essentially all of your outperformance against it was earned in 2022. Both are addressed head-on in slides 14 and 15 — do not skip them, because raising them yourself is what makes the rest of the presentation credible.</w:t>
      </w:r>
    </w:p>
    <w:p>
      <w:pPr>
        <w:spacing w:after="160"/>
      </w:pPr>
      <w:r>
        <w:rPr>
          <w:b/>
          <w:color w:val="0D3B38"/>
          <w:sz w:val="22"/>
        </w:rPr>
        <w:t xml:space="preserve">Closing.  </w:t>
      </w:r>
      <w:r>
        <w:rPr>
          <w:sz w:val="22"/>
        </w:rPr>
        <w:t>End on the recommendation, not on the appendix. Say “I am happy to take questions” and stop talking.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orbel" w:hAnsi="Corbe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