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ctronic-crf-creation"/>
      <w:bookmarkEnd w:id="21"/>
      <w:r>
        <w:t xml:space="preserve">Electronic CRF Creation</w:t>
      </w:r>
    </w:p>
    <w:p>
      <w:pPr>
        <w:pStyle w:val="Heading2"/>
      </w:pPr>
      <w:bookmarkStart w:id="22" w:name="purpose"/>
      <w:bookmarkEnd w:id="22"/>
      <w:r>
        <w:t xml:space="preserve">Purpose</w:t>
      </w:r>
    </w:p>
    <w:p>
      <w:r>
        <w:t xml:space="preserve">To describe the process of creating an electronic case report form (CRF) by adding variables, units, ranges, and branching logic when appropriate.</w:t>
      </w:r>
    </w:p>
    <w:p>
      <w:pPr>
        <w:pStyle w:val="Heading2"/>
      </w:pPr>
      <w:bookmarkStart w:id="23" w:name="scope"/>
      <w:bookmarkEnd w:id="23"/>
      <w:r>
        <w:t xml:space="preserve">Scope</w:t>
      </w:r>
    </w:p>
    <w:p>
      <w:r>
        <w:t xml:space="preserve">This SOP is intended for use by any clinical research staff who may be involved in the creation of CRFs.</w:t>
      </w:r>
    </w:p>
    <w:p>
      <w:pPr>
        <w:pStyle w:val="Heading2"/>
      </w:pPr>
      <w:bookmarkStart w:id="24" w:name="responsibilities"/>
      <w:bookmarkEnd w:id="24"/>
      <w:r>
        <w:t xml:space="preserve">Responsibilities</w:t>
      </w:r>
    </w:p>
    <w:p>
      <w:pPr>
        <w:pStyle w:val="Heading4"/>
      </w:pPr>
      <w:bookmarkStart w:id="25" w:name="data-manager"/>
      <w:bookmarkEnd w:id="25"/>
      <w:r>
        <w:t xml:space="preserve">Data Manager</w:t>
      </w:r>
    </w:p>
    <w:p>
      <w:pPr>
        <w:pStyle w:val="Compact"/>
        <w:numPr>
          <w:numId w:val="1001"/>
          <w:ilvl w:val="0"/>
        </w:numPr>
      </w:pPr>
      <w:r>
        <w:t xml:space="preserve">To provide guidance to Research Assistant(s) working on a CRF</w:t>
      </w:r>
    </w:p>
    <w:p>
      <w:pPr>
        <w:pStyle w:val="Compact"/>
        <w:numPr>
          <w:numId w:val="1001"/>
          <w:ilvl w:val="0"/>
        </w:numPr>
      </w:pPr>
      <w:r>
        <w:t xml:space="preserve">To designate the electronic data capture software that will be used to house the CRF</w:t>
      </w:r>
    </w:p>
    <w:p>
      <w:pPr>
        <w:pStyle w:val="Heading4"/>
      </w:pPr>
      <w:bookmarkStart w:id="26" w:name="research-assistant"/>
      <w:bookmarkEnd w:id="26"/>
      <w:r>
        <w:t xml:space="preserve">Research Assistant</w:t>
      </w:r>
    </w:p>
    <w:p>
      <w:pPr>
        <w:pStyle w:val="Compact"/>
        <w:numPr>
          <w:numId w:val="1002"/>
          <w:ilvl w:val="0"/>
        </w:numPr>
      </w:pPr>
      <w:r>
        <w:t xml:space="preserve">To create and maintain CRF(s) for any given study</w:t>
      </w:r>
    </w:p>
    <w:p>
      <w:pPr>
        <w:pStyle w:val="Heading2"/>
      </w:pPr>
      <w:bookmarkStart w:id="27" w:name="procedure"/>
      <w:bookmarkEnd w:id="27"/>
      <w:r>
        <w:t xml:space="preserve">Procedure</w:t>
      </w:r>
    </w:p>
    <w:p>
      <w:pPr>
        <w:pStyle w:val="Compact"/>
        <w:numPr>
          <w:numId w:val="1003"/>
          <w:ilvl w:val="0"/>
        </w:numPr>
      </w:pPr>
      <w:r>
        <w:t xml:space="preserve">Determine which CRF(s) will be created</w:t>
      </w:r>
    </w:p>
    <w:p>
      <w:pPr>
        <w:pStyle w:val="Compact"/>
        <w:numPr>
          <w:numId w:val="1004"/>
          <w:ilvl w:val="0"/>
        </w:numPr>
      </w:pPr>
      <w:r>
        <w:t xml:space="preserve">Data Manager will provide Research Assistant with paper or electronic copies of the CRF that is being created</w:t>
      </w:r>
    </w:p>
    <w:p>
      <w:pPr>
        <w:pStyle w:val="Compact"/>
        <w:numPr>
          <w:numId w:val="1005"/>
          <w:ilvl w:val="1"/>
        </w:numPr>
      </w:pPr>
      <w:r>
        <w:t xml:space="preserve">If possible, the CRF should be annotated with desired variable names</w:t>
      </w:r>
    </w:p>
    <w:p>
      <w:pPr>
        <w:pStyle w:val="Compact"/>
        <w:numPr>
          <w:numId w:val="1006"/>
          <w:ilvl w:val="0"/>
        </w:numPr>
      </w:pPr>
      <w:r>
        <w:t xml:space="preserve">Create variables</w:t>
      </w:r>
    </w:p>
    <w:p>
      <w:pPr>
        <w:pStyle w:val="Compact"/>
        <w:numPr>
          <w:numId w:val="1007"/>
          <w:ilvl w:val="0"/>
        </w:numPr>
      </w:pPr>
      <w:r>
        <w:t xml:space="preserve">Research Assistant will create electronic versions of each individual variable found the CRF</w:t>
      </w:r>
    </w:p>
    <w:p>
      <w:pPr>
        <w:pStyle w:val="Compact"/>
        <w:numPr>
          <w:numId w:val="1008"/>
          <w:ilvl w:val="1"/>
        </w:numPr>
      </w:pPr>
      <w:r>
        <w:t xml:space="preserve">Variables should be given easy to reference variable names (such as ess_1 rather than would_you_every_fall_asleep)</w:t>
      </w:r>
    </w:p>
    <w:p>
      <w:pPr>
        <w:pStyle w:val="Compact"/>
        <w:numPr>
          <w:numId w:val="1008"/>
          <w:ilvl w:val="1"/>
        </w:numPr>
      </w:pPr>
      <w:r>
        <w:t xml:space="preserve">Variables should be designated the correct type (numeric, date, scale, etc.) prior to the start of data collection</w:t>
      </w: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If possible, date and numeric variables should have established minimums and maximums to flag improbable or impossible values</w:t>
      </w: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Variables should be given consistent units</w:t>
      </w:r>
      <w:r>
        <w:t xml:space="preserve">1</w:t>
      </w:r>
    </w:p>
    <w:p>
      <w:pPr>
        <w:pStyle w:val="Compact"/>
        <w:numPr>
          <w:numId w:val="1007"/>
          <w:ilvl w:val="0"/>
        </w:numPr>
      </w:pPr>
      <w:r>
        <w:t xml:space="preserve">For variables that contain option choices, these conventions should be followed whenever possible</w:t>
      </w:r>
    </w:p>
    <w:p>
      <w:pPr>
        <w:pStyle w:val="Compact"/>
        <w:numPr>
          <w:numId w:val="1009"/>
          <w:ilvl w:val="1"/>
        </w:numPr>
      </w:pPr>
      <w:r>
        <w:t xml:space="preserve">For yes/no variables, yes should be coded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 no should be coded as</w:t>
      </w:r>
      <w:r>
        <w:t xml:space="preserve"> </w:t>
      </w:r>
      <w:r>
        <w:rPr>
          <w:rStyle w:val="VerbatimChar"/>
        </w:rPr>
        <w:t xml:space="preserve">0</w:t>
      </w:r>
    </w:p>
    <w:p>
      <w:pPr>
        <w:pStyle w:val="Compact"/>
        <w:numPr>
          <w:numId w:val="1009"/>
          <w:ilvl w:val="1"/>
        </w:numPr>
      </w:pPr>
      <w:r>
        <w:t xml:space="preserve">For checked/unchecked variables, checked should be coded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 unchecked should be coded as</w:t>
      </w:r>
      <w:r>
        <w:t xml:space="preserve"> </w:t>
      </w:r>
      <w:r>
        <w:rPr>
          <w:rStyle w:val="VerbatimChar"/>
        </w:rPr>
        <w:t xml:space="preserve">0</w:t>
      </w:r>
    </w:p>
    <w:p>
      <w:pPr>
        <w:pStyle w:val="Compact"/>
        <w:numPr>
          <w:numId w:val="1009"/>
          <w:ilvl w:val="1"/>
        </w:numPr>
      </w:pPr>
      <w:r>
        <w:t xml:space="preserve">The following missing codes have been established for use in all projects: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-10: Confusion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-9: Missing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-8: Not Applicable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-2: Don't Know</w:t>
      </w:r>
    </w:p>
    <w:p>
      <w:pPr>
        <w:pStyle w:val="Compact"/>
        <w:numPr>
          <w:numId w:val="1007"/>
          <w:ilvl w:val="0"/>
        </w:numPr>
      </w:pPr>
      <w:r>
        <w:t xml:space="preserve">Branching logic should be used judiciously to ensure that the flow of electronic form completion mimics that of the paper copy</w:t>
      </w:r>
    </w:p>
    <w:p>
      <w:pPr>
        <w:pStyle w:val="Heading2"/>
      </w:pPr>
      <w:bookmarkStart w:id="28" w:name="references"/>
      <w:bookmarkEnd w:id="28"/>
      <w:r>
        <w:t xml:space="preserve">References</w:t>
      </w:r>
    </w:p>
    <w:p>
      <w:r>
        <w:t xml:space="preserve">1</w:t>
      </w:r>
      <w:r>
        <w:t xml:space="preserve"> </w:t>
      </w:r>
      <w:hyperlink r:id="rId29">
        <w:r>
          <w:rPr>
            <w:rStyle w:val="Link"/>
          </w:rPr>
          <w:t xml:space="preserve">Spout Style Guide</w:t>
        </w:r>
      </w:hyperlink>
    </w:p>
    <w:p>
      <w:r>
        <w:t xml:space="preserve">===============</w:t>
      </w:r>
      <w:r>
        <w:t xml:space="preserve"> </w:t>
      </w:r>
      <w:hyperlink r:id="rId30">
        <w:r>
          <w:rPr>
            <w:rStyle w:val="Link"/>
          </w:rPr>
          <w:t xml:space="preserve">Back to README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0339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93ae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b41f8a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584c57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README.md" TargetMode="External" /><Relationship Type="http://schemas.openxmlformats.org/officeDocument/2006/relationships/hyperlink" Id="rId29" Target="https://www.github.com/sleepepi/spou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README.md" TargetMode="External" /><Relationship Type="http://schemas.openxmlformats.org/officeDocument/2006/relationships/hyperlink" Id="rId29" Target="https://www.github.com/sleepepi/spou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