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sz w:val="28"/>
        </w:rPr>
        <w:t>Smartphone Camera-Based Multimodal Biomarker Framework for</w:t>
        <w:br/>
        <w:t>AI-Driven Prediction of PCOS and Endometriosis</w:t>
      </w:r>
    </w:p>
    <w:p>
      <w:pPr>
        <w:spacing w:after="40"/>
        <w:jc w:val="center"/>
      </w:pPr>
      <w:r>
        <w:rPr>
          <w:rFonts w:ascii="Malgun Gothic" w:hAnsi="Malgun Gothic"/>
          <w:b w:val="0"/>
          <w:i w:val="0"/>
          <w:sz w:val="22"/>
        </w:rPr>
        <w:t>신홍철 (Hongchul Shin)</w:t>
      </w:r>
    </w:p>
    <w:p>
      <w:pPr>
        <w:spacing w:after="280"/>
        <w:jc w:val="center"/>
      </w:pPr>
      <w:r>
        <w:rPr>
          <w:rFonts w:ascii="Malgun Gothic" w:hAnsi="Malgun Gothic"/>
          <w:b w:val="0"/>
          <w:i w:val="0"/>
          <w:sz w:val="20"/>
        </w:rPr>
        <w:t>과학기술연합대학원대학교(U.S.T)</w:t>
        <w:br/>
      </w:r>
      <w:r>
        <w:rPr>
          <w:rFonts w:ascii="Times New Roman" w:hAnsi="Times New Roman"/>
          <w:b w:val="0"/>
          <w:i w:val="0"/>
          <w:sz w:val="20"/>
        </w:rPr>
        <w:t>University of Science and Technology (UST)</w:t>
        <w:br/>
      </w:r>
      <w:r>
        <w:rPr>
          <w:rFonts w:ascii="Times New Roman" w:hAnsi="Times New Roman"/>
          <w:b w:val="0"/>
          <w:i/>
          <w:sz w:val="20"/>
        </w:rPr>
        <w:t>neohc@ust.ac.kr</w:t>
      </w:r>
    </w:p>
    <w:p>
      <w:pPr>
        <w:spacing w:after="120"/>
        <w:jc w:val="center"/>
      </w:pPr>
      <w:r>
        <w:t>────────────────────────────────────────────────────────────────────────────────</w:t>
      </w:r>
    </w:p>
    <w:p>
      <w:pPr>
        <w:spacing w:before="160" w:after="80"/>
        <w:jc w:val="left"/>
      </w:pPr>
      <w:r>
        <w:rPr>
          <w:rFonts w:ascii="Times New Roman" w:hAnsi="Times New Roman"/>
          <w:b/>
          <w:i w:val="0"/>
          <w:sz w:val="22"/>
        </w:rPr>
        <w:t>Abstract</w:t>
      </w:r>
    </w:p>
    <w:p>
      <w:pPr>
        <w:spacing w:after="120"/>
        <w:jc w:val="both"/>
      </w:pPr>
      <w:r>
        <w:rPr>
          <w:rFonts w:ascii="Times New Roman" w:hAnsi="Times New Roman"/>
          <w:b w:val="0"/>
          <w:i/>
          <w:sz w:val="20"/>
        </w:rPr>
        <w:t>Polycystic ovary syndrome (PCOS) and endometriosis collectively affect over 300 million women worldwide, yet both conditions suffer from diagnostic delays averaging 7-10 years due to reliance on invasive procedures, hormonal assays, and specialist imaging. We propose the first smartphone camera-based multimodal biomarker framework specifically designed for non-invasive, AI-driven prediction of PCOS and endometriosis. Our framework integrates three complementary modalities: (1) remote photoplethysmography (rPPG)-derived heart rate variability (HRV), exploiting established autonomic nervous system dysregulation in both conditions (PCOS: LF/HF standardized mean difference +0.670, 17-study meta-analysis; endometriosis: significant RMSSD reduction); (2) facial and skin phenotype analysis using convolutional neural networks for acne grading (accuracy 0.85), hirsutism scoring (concordance 0.89), and acanthosis nigricans detection (AUC 0.854); and (3) longitudinal menstrual cycle tracking via app-reported data fused with HRV temporal patterns. We design a Cross-Attention Fusion architecture combining 1D-CNN/Transformer-extracted HRV features, EfficientNet-derived dermatological scores, and LSTM-encoded cycle features for three-class classification (PCOS/endometriosis/healthy), with an estimated macro-AUC of 0.80-0.90. A three-phase prospective cohort protocol (Phase I: 150, Phase II: 600, Phase III: 300 participants) with Privacy-by-Design principles is proposed. We present a tiered biomarker evaluation across five dimensions, identifying four Tier 1 and six Tier 2 biomarkers.</w:t>
      </w:r>
    </w:p>
    <w:p>
      <w:pPr>
        <w:spacing w:after="200"/>
      </w:pPr>
      <w:r>
        <w:rPr>
          <w:rFonts w:ascii="Times New Roman" w:hAnsi="Times New Roman"/>
          <w:b/>
          <w:i w:val="0"/>
          <w:sz w:val="20"/>
        </w:rPr>
        <w:t xml:space="preserve">Keywords: </w:t>
      </w:r>
      <w:r>
        <w:rPr>
          <w:rFonts w:ascii="Times New Roman" w:hAnsi="Times New Roman"/>
          <w:b w:val="0"/>
          <w:i w:val="0"/>
          <w:sz w:val="20"/>
        </w:rPr>
        <w:t>PCOS, endometriosis, digital biomarker, smartphone camera, remote photoplethysmography, heart rate variability, multimodal AI, women's health</w:t>
      </w:r>
    </w:p>
    <w:p>
      <w:pPr>
        <w:spacing w:before="160" w:after="80"/>
        <w:jc w:val="left"/>
      </w:pPr>
      <w:r>
        <w:rPr>
          <w:rFonts w:ascii="Times New Roman" w:hAnsi="Times New Roman"/>
          <w:b/>
          <w:i w:val="0"/>
          <w:sz w:val="24"/>
        </w:rPr>
        <w:t>I. Introduction</w:t>
      </w:r>
    </w:p>
    <w:p>
      <w:pPr>
        <w:spacing w:after="120"/>
        <w:jc w:val="both"/>
      </w:pPr>
      <w:r>
        <w:rPr>
          <w:rFonts w:ascii="Times New Roman" w:hAnsi="Times New Roman"/>
          <w:b w:val="0"/>
          <w:i w:val="0"/>
          <w:sz w:val="20"/>
        </w:rPr>
        <w:t>Polycystic ovary syndrome (PCOS) and endometriosis are the two most prevalent gynecological conditions affecting women of reproductive age, with estimated prevalences of 8-13% and 6-10%, respectively. Despite their high burden, both conditions are characterized by prolonged diagnostic delays. Endometriosis requires an average of 7-10 years from symptom onset to definitive diagnosis, typically via laparoscopy or advanced imaging. PCOS diagnosis under the Rotterdam criteria demands ultrasound and hormonal assays, leaving a substantial proportion of affected women undiagnosed, particularly in resource-limited settings.</w:t>
      </w:r>
    </w:p>
    <w:p>
      <w:pPr>
        <w:spacing w:after="120"/>
        <w:jc w:val="both"/>
      </w:pPr>
      <w:r>
        <w:rPr>
          <w:rFonts w:ascii="Times New Roman" w:hAnsi="Times New Roman"/>
          <w:b w:val="0"/>
          <w:i w:val="0"/>
          <w:sz w:val="20"/>
        </w:rPr>
        <w:t>The global proliferation of smartphones—exceeding 6.9 billion users—presents an unprecedented opportunity for non-invasive, decentralized health screening. Modern smartphone cameras enable remote photoplethysmography (rPPG) for contactless extraction of heart rate variability (HRV) with correlations of r=0.85-0.95 against electrocardiogram (ECG) reference. Simultaneously, deep learning advances have enabled automated analysis of skin conditions from smartphone images, including acne grading, facial BMI estimation, and acanthosis nigricans detection.</w:t>
      </w:r>
    </w:p>
    <w:p>
      <w:pPr>
        <w:spacing w:after="120"/>
        <w:jc w:val="both"/>
      </w:pPr>
      <w:r>
        <w:rPr>
          <w:rFonts w:ascii="Times New Roman" w:hAnsi="Times New Roman"/>
          <w:b w:val="0"/>
          <w:i w:val="0"/>
          <w:sz w:val="20"/>
        </w:rPr>
        <w:t>This paper makes four contributions:</w:t>
      </w:r>
    </w:p>
    <w:p>
      <w:pPr>
        <w:spacing w:after="60"/>
      </w:pPr>
      <w:r>
        <w:rPr>
          <w:rFonts w:ascii="Times New Roman" w:hAnsi="Times New Roman"/>
          <w:b w:val="0"/>
          <w:i w:val="0"/>
          <w:sz w:val="20"/>
        </w:rPr>
        <w:t xml:space="preserve">  1. We present the first systematic evaluation of smartphone camera-based digital biomarkers specifically for PCOS and endometriosis prediction, identifying four Tier 1 and six Tier 2 candidate biomarkers through a five-dimensional assessment matrix.</w:t>
      </w:r>
    </w:p>
    <w:p>
      <w:pPr>
        <w:spacing w:after="60"/>
      </w:pPr>
      <w:r>
        <w:rPr>
          <w:rFonts w:ascii="Times New Roman" w:hAnsi="Times New Roman"/>
          <w:b w:val="0"/>
          <w:i w:val="0"/>
          <w:sz w:val="20"/>
        </w:rPr>
        <w:t xml:space="preserve">  2. We propose a novel multimodal AI framework integrating rPPG-HRV, facial skin phenotype analysis, and menstrual cycle data through Cross-Attention Fusion for three-class classification (PCOS/endometriosis/healthy).</w:t>
      </w:r>
    </w:p>
    <w:p>
      <w:pPr>
        <w:spacing w:after="60"/>
      </w:pPr>
      <w:r>
        <w:rPr>
          <w:rFonts w:ascii="Times New Roman" w:hAnsi="Times New Roman"/>
          <w:b w:val="0"/>
          <w:i w:val="0"/>
          <w:sz w:val="20"/>
        </w:rPr>
        <w:t xml:space="preserve">  3. We design a three-phase prospective cohort validation protocol (150→600→300 participants) with concrete sample size justifications grounded in meta-analytic effect sizes.</w:t>
      </w:r>
    </w:p>
    <w:p>
      <w:pPr>
        <w:spacing w:after="60"/>
      </w:pPr>
      <w:r>
        <w:rPr>
          <w:rFonts w:ascii="Times New Roman" w:hAnsi="Times New Roman"/>
          <w:b w:val="0"/>
          <w:i w:val="0"/>
          <w:sz w:val="20"/>
        </w:rPr>
        <w:t xml:space="preserve">  4. We address diagnostic equity by incorporating skin tone bias mitigation, Privacy-by-Design on-device processing, and accessibility considerations for underserved populations.</w:t>
      </w:r>
    </w:p>
    <w:p>
      <w:pPr>
        <w:spacing w:before="160" w:after="80"/>
        <w:jc w:val="left"/>
      </w:pPr>
      <w:r>
        <w:rPr>
          <w:rFonts w:ascii="Times New Roman" w:hAnsi="Times New Roman"/>
          <w:b/>
          <w:i w:val="0"/>
          <w:sz w:val="24"/>
        </w:rPr>
        <w:t>II. Related Work</w:t>
      </w:r>
    </w:p>
    <w:p>
      <w:pPr>
        <w:spacing w:before="160" w:after="80"/>
        <w:jc w:val="left"/>
      </w:pPr>
      <w:r>
        <w:rPr>
          <w:rFonts w:ascii="Times New Roman" w:hAnsi="Times New Roman"/>
          <w:b/>
          <w:i w:val="0"/>
          <w:sz w:val="22"/>
        </w:rPr>
        <w:t>A. rPPG-Based HRV Estimation</w:t>
      </w:r>
    </w:p>
    <w:p>
      <w:pPr>
        <w:spacing w:after="120"/>
        <w:jc w:val="both"/>
      </w:pPr>
      <w:r>
        <w:rPr>
          <w:rFonts w:ascii="Times New Roman" w:hAnsi="Times New Roman"/>
          <w:b w:val="0"/>
          <w:i w:val="0"/>
          <w:sz w:val="20"/>
        </w:rPr>
        <w:t>Remote photoplethysmography extracts cardiovascular signals from facial video by detecting micro-variations in skin color caused by blood volume pulse. Comprehensive reviews document the evolution from signal processing methods (ICA, POS, CHROM) to deep learning architectures, with heart rate estimation achieving MAE of 0.5-3 bpm. Transdermal Optical Imaging with 1,328 participants achieved blood pressure estimation accuracy of 95.3%/96.4% for SBP/DBP within ±5 mmHg. For HRV extraction, correlations of r=0.85-0.95 for time-domain (SDNN, RMSSD) and frequency-domain (LF, HF, LF/HF) metrics against ECG reference have been reported. The FibriCheck application achieved FDA clearance for atrial fibrillation detection with 98.5% accuracy.</w:t>
      </w:r>
    </w:p>
    <w:p>
      <w:pPr>
        <w:spacing w:before="160" w:after="80"/>
        <w:jc w:val="left"/>
      </w:pPr>
      <w:r>
        <w:rPr>
          <w:rFonts w:ascii="Times New Roman" w:hAnsi="Times New Roman"/>
          <w:b/>
          <w:i w:val="0"/>
          <w:sz w:val="22"/>
        </w:rPr>
        <w:t>B. Facial and Skin Analysis for Disease Detection</w:t>
      </w:r>
    </w:p>
    <w:p>
      <w:pPr>
        <w:spacing w:after="120"/>
        <w:jc w:val="both"/>
      </w:pPr>
      <w:r>
        <w:rPr>
          <w:rFonts w:ascii="Times New Roman" w:hAnsi="Times New Roman"/>
          <w:b w:val="0"/>
          <w:i w:val="0"/>
          <w:sz w:val="20"/>
        </w:rPr>
        <w:t>Deep learning applied to smartphone-captured skin images has achieved clinically relevant accuracy. AcneDet achieved IGA accuracy of 0.85 for acne grading; AcneAI reported ICC of 0.8 for automated acne severity assessment. For BMI estimation, semantic segmentation-based pooling achieved MAE of 1.04. ANcam achieved sensitivity 81.1%, specificity 70.3%, and AUC 0.854 for acanthosis nigricans detection—directly relevant to PCOS-associated insulin resistance. Image-based hirsutism scoring demonstrated concordance of 0.89 and Cohen's κ=0.75.</w:t>
      </w:r>
    </w:p>
    <w:p>
      <w:pPr>
        <w:spacing w:before="160" w:after="80"/>
        <w:jc w:val="left"/>
      </w:pPr>
      <w:r>
        <w:rPr>
          <w:rFonts w:ascii="Times New Roman" w:hAnsi="Times New Roman"/>
          <w:b/>
          <w:i w:val="0"/>
          <w:sz w:val="22"/>
        </w:rPr>
        <w:t>C. PCOS and Endometriosis Digital Biomarkers</w:t>
      </w:r>
    </w:p>
    <w:p>
      <w:pPr>
        <w:spacing w:after="120"/>
        <w:jc w:val="both"/>
      </w:pPr>
      <w:r>
        <w:rPr>
          <w:rFonts w:ascii="Times New Roman" w:hAnsi="Times New Roman"/>
          <w:b w:val="0"/>
          <w:i w:val="0"/>
          <w:sz w:val="20"/>
        </w:rPr>
        <w:t>A meta-analysis of 17 studies demonstrated significantly altered HRV in PCOS: SDNN (SMD −0.763), LF/HF ratio (SMD +0.670), HFnu (SMD −0.873), and total HRV power (SMD −1.997). For endometriosis, multiple studies identified vagal tone reduction and significant associations between pain severity and vagally-mediated HRV. A contactless menstrual health prediction framework using PPG achieved 91.7% accuracy for cycle phase classification and 87.6% for irregular cycle detection.</w:t>
      </w:r>
    </w:p>
    <w:p>
      <w:pPr>
        <w:spacing w:before="160" w:after="80"/>
        <w:jc w:val="left"/>
      </w:pPr>
      <w:r>
        <w:rPr>
          <w:rFonts w:ascii="Times New Roman" w:hAnsi="Times New Roman"/>
          <w:b/>
          <w:i w:val="0"/>
          <w:sz w:val="24"/>
        </w:rPr>
        <w:t>III. Proposed Multimodal Framework</w:t>
      </w:r>
    </w:p>
    <w:p>
      <w:pPr>
        <w:spacing w:before="160" w:after="80"/>
        <w:jc w:val="left"/>
      </w:pPr>
      <w:r>
        <w:rPr>
          <w:rFonts w:ascii="Times New Roman" w:hAnsi="Times New Roman"/>
          <w:b/>
          <w:i w:val="0"/>
          <w:sz w:val="22"/>
        </w:rPr>
        <w:t>A. System Architecture Overview</w:t>
      </w:r>
    </w:p>
    <w:p>
      <w:pPr>
        <w:spacing w:after="120"/>
        <w:jc w:val="both"/>
      </w:pPr>
      <w:r>
        <w:rPr>
          <w:rFonts w:ascii="Times New Roman" w:hAnsi="Times New Roman"/>
          <w:b w:val="0"/>
          <w:i w:val="0"/>
          <w:sz w:val="20"/>
        </w:rPr>
        <w:t>The proposed framework consists of four interconnected modules operating in a pipeline architecture. The smartphone serves as the sole data collection device, with three input streams: (1) a 60-second frontal facial video for rPPG-HRV extraction; (2) three standardized selfie photographs for facial and skin phenotype analysis; and (3) daily menstrual cycle tracking data via a companion mobile application. On-device processing ensures raw images and video are never transmitted to external servers.</w:t>
      </w:r>
    </w:p>
    <w:p>
      <w:pPr>
        <w:spacing w:before="160" w:after="80"/>
        <w:jc w:val="left"/>
      </w:pPr>
      <w:r>
        <w:rPr>
          <w:rFonts w:ascii="Times New Roman" w:hAnsi="Times New Roman"/>
          <w:b/>
          <w:i w:val="0"/>
          <w:sz w:val="22"/>
        </w:rPr>
        <w:t>B. Module A: rPPG-HRV Extraction</w:t>
      </w:r>
    </w:p>
    <w:p>
      <w:pPr>
        <w:spacing w:after="120"/>
        <w:jc w:val="both"/>
      </w:pPr>
      <w:r>
        <w:rPr>
          <w:rFonts w:ascii="Times New Roman" w:hAnsi="Times New Roman"/>
          <w:b w:val="0"/>
          <w:i w:val="0"/>
          <w:sz w:val="20"/>
        </w:rPr>
        <w:t>The user records a 60-second facial video using the smartphone front camera (minimum 8 MP, iOS 15+ or Android 11+) under indoor lighting conditions (50-500 lux). Face detection employs MediaPipe Face Mesh (468 landmarks). The rPPG signal is extracted using a hybrid CHROM+DeepPhys approach. HRV metrics computed: time-domain (SDNN, RMSSD, pNN50, meanRR) and frequency-domain (LF, HF, LF/HF, HFnu). Sessions with SQI &lt; 0.6 trigger a re-recording prompt.</w:t>
      </w:r>
    </w:p>
    <w:p>
      <w:pPr>
        <w:spacing w:before="160" w:after="80"/>
        <w:jc w:val="left"/>
      </w:pPr>
      <w:r>
        <w:rPr>
          <w:rFonts w:ascii="Times New Roman" w:hAnsi="Times New Roman"/>
          <w:b/>
          <w:i w:val="0"/>
          <w:sz w:val="22"/>
        </w:rPr>
        <w:t>C. Module B: Facial Skin Phenotype Analysis (PCOS-DermScore)</w:t>
      </w:r>
    </w:p>
    <w:p>
      <w:pPr>
        <w:spacing w:after="120"/>
        <w:jc w:val="both"/>
      </w:pPr>
      <w:r>
        <w:rPr>
          <w:rFonts w:ascii="Times New Roman" w:hAnsi="Times New Roman"/>
          <w:b w:val="0"/>
          <w:i w:val="0"/>
          <w:sz w:val="20"/>
        </w:rPr>
        <w:t>Three standardized photographs are captured weekly. Four sub-modules operate in parallel: (1) Acne Detection and Grading: Faster R-CNN + LightGBM, IGA grades 0-4; (2) Hirsutism Scoring: ResNet50 regression for mFG score; (3) Acanthosis Nigricans Detection: CMYK color channel analysis following ANcam methodology; (4) Facial BMI Estimation: ResNet50 with semantic segmentation-based pooling. The four outputs are concatenated into a 16-dimensional DermScore feature vector.</w:t>
      </w:r>
    </w:p>
    <w:p>
      <w:pPr>
        <w:spacing w:before="160" w:after="80"/>
        <w:jc w:val="left"/>
      </w:pPr>
      <w:r>
        <w:rPr>
          <w:rFonts w:ascii="Times New Roman" w:hAnsi="Times New Roman"/>
          <w:b/>
          <w:i w:val="0"/>
          <w:sz w:val="22"/>
        </w:rPr>
        <w:t>D. AI Model Design: Cross-Attention Fusion</w:t>
      </w:r>
    </w:p>
    <w:p>
      <w:pPr>
        <w:spacing w:after="120"/>
        <w:jc w:val="both"/>
      </w:pPr>
      <w:r>
        <w:rPr>
          <w:rFonts w:ascii="Times New Roman" w:hAnsi="Times New Roman"/>
          <w:b w:val="0"/>
          <w:i w:val="0"/>
          <w:sz w:val="20"/>
        </w:rPr>
        <w:t>The three feature vectors—HRV (32-dim), DermScore (16-dim), and Cycle (16-dim)—are projected into a shared 64-dimensional embedding space. Cross-Attention Fusion computes pairwise attention between modalities: Attn(Qi, Kj, Vj) = softmax(Qi·Kj^T / sqrt(dk)) · Vj. The fused representation passes through two fully connected layers (128 and 64 dims, dropout p=0.3) before a softmax output for three-class classification (PCOS/endometriosis/healthy).</w:t>
      </w:r>
    </w:p>
    <w:p>
      <w:pPr>
        <w:spacing w:before="160" w:after="80"/>
        <w:jc w:val="left"/>
      </w:pPr>
      <w:r>
        <w:rPr>
          <w:rFonts w:ascii="Times New Roman" w:hAnsi="Times New Roman"/>
          <w:b/>
          <w:i w:val="0"/>
          <w:sz w:val="22"/>
        </w:rPr>
        <w:t>E. Three-Phase Cohort Protocol</w:t>
      </w:r>
    </w:p>
    <w:p>
      <w:pPr>
        <w:spacing w:after="120"/>
        <w:jc w:val="both"/>
      </w:pPr>
      <w:r>
        <w:rPr>
          <w:rFonts w:ascii="Times New Roman" w:hAnsi="Times New Roman"/>
          <w:b w:val="0"/>
          <w:i w:val="0"/>
          <w:sz w:val="20"/>
        </w:rPr>
        <w:t>Phase I (Feasibility Pilot, 6 months, n=150): 50 participants per group; technical validation of rPPG-HRV against ECG. Phase II (Validation Cohort, 12-18 months, n=600): 200 participants per group; powered by meta-analytic effect size d=0.57 (α=0.05, power 0.80, 20% dropout). Phase III (External Validation, 6 months, n=300): 100 participants per group at independent clinical sites.</w:t>
      </w:r>
    </w:p>
    <w:p>
      <w:pPr>
        <w:spacing w:before="160" w:after="80"/>
        <w:jc w:val="left"/>
      </w:pPr>
      <w:r>
        <w:rPr>
          <w:rFonts w:ascii="Times New Roman" w:hAnsi="Times New Roman"/>
          <w:b/>
          <w:i w:val="0"/>
          <w:sz w:val="24"/>
        </w:rPr>
        <w:t>IV. Biomarker Evaluation Results</w:t>
      </w:r>
    </w:p>
    <w:p>
      <w:pPr>
        <w:spacing w:before="160" w:after="80"/>
        <w:jc w:val="left"/>
      </w:pPr>
      <w:r>
        <w:rPr>
          <w:rFonts w:ascii="Times New Roman" w:hAnsi="Times New Roman"/>
          <w:b/>
          <w:i w:val="0"/>
          <w:sz w:val="22"/>
        </w:rPr>
        <w:t>A. Tier Classification</w:t>
      </w:r>
    </w:p>
    <w:p>
      <w:pPr>
        <w:spacing w:after="120"/>
        <w:jc w:val="both"/>
      </w:pPr>
      <w:r>
        <w:rPr>
          <w:rFonts w:ascii="Times New Roman" w:hAnsi="Times New Roman"/>
          <w:b w:val="0"/>
          <w:i w:val="0"/>
          <w:sz w:val="20"/>
        </w:rPr>
        <w:t>Biomarkers were evaluated using a five-dimensional scoring matrix: Technical Readiness Level (TRL), Clinical Validity (CV), Practicality (PR), Data Availability (DA), and Regulatory Friendliness (RF), each scored 1-5. Tier 1 (≥18): directly applicable; Tier 2 (13-17): promising; Tier 3 (7-12): exploratory.</w:t>
      </w:r>
    </w:p>
    <w:p>
      <w:pPr>
        <w:jc w:val="center"/>
      </w:pPr>
      <w:r>
        <w:rPr>
          <w:rFonts w:ascii="Times New Roman" w:hAnsi="Times New Roman"/>
          <w:b/>
          <w:i w:val="0"/>
          <w:sz w:val="20"/>
        </w:rPr>
        <w:t>Table I. Tiered Classification of Smartphone Camera-Based Biomarkers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sz w:val="18"/>
              </w:rPr>
              <w:t>Tier</w:t>
            </w:r>
          </w:p>
        </w:tc>
        <w:tc>
          <w:tcPr>
            <w:tcW w:type="dxa" w:w="1560"/>
          </w:tcPr>
          <w:p>
            <w:r>
              <w:rPr>
                <w:rFonts w:ascii="Times New Roman" w:hAnsi="Times New Roman"/>
                <w:b/>
                <w:i w:val="0"/>
                <w:sz w:val="18"/>
              </w:rPr>
              <w:t>Biomarker</w:t>
            </w:r>
          </w:p>
        </w:tc>
        <w:tc>
          <w:tcPr>
            <w:tcW w:type="dxa" w:w="1560"/>
          </w:tcPr>
          <w:p>
            <w:r>
              <w:rPr>
                <w:rFonts w:ascii="Times New Roman" w:hAnsi="Times New Roman"/>
                <w:b/>
                <w:i w:val="0"/>
                <w:sz w:val="18"/>
              </w:rPr>
              <w:t>Disease</w:t>
            </w:r>
          </w:p>
        </w:tc>
        <w:tc>
          <w:tcPr>
            <w:tcW w:type="dxa" w:w="1560"/>
          </w:tcPr>
          <w:p>
            <w:r>
              <w:rPr>
                <w:rFonts w:ascii="Times New Roman" w:hAnsi="Times New Roman"/>
                <w:b/>
                <w:i w:val="0"/>
                <w:sz w:val="18"/>
              </w:rPr>
              <w:t>Best Performance</w:t>
            </w:r>
          </w:p>
        </w:tc>
        <w:tc>
          <w:tcPr>
            <w:tcW w:type="dxa" w:w="1560"/>
          </w:tcPr>
          <w:p>
            <w:r>
              <w:rPr>
                <w:rFonts w:ascii="Times New Roman" w:hAnsi="Times New Roman"/>
                <w:b/>
                <w:i w:val="0"/>
                <w:sz w:val="18"/>
              </w:rPr>
              <w:t>Total Score</w:t>
            </w:r>
          </w:p>
        </w:tc>
        <w:tc>
          <w:tcPr>
            <w:tcW w:type="dxa" w:w="1560"/>
          </w:tcPr>
          <w:p>
            <w:r>
              <w:rPr>
                <w:rFonts w:ascii="Times New Roman" w:hAnsi="Times New Roman"/>
                <w:b/>
                <w:i w:val="0"/>
                <w:sz w:val="18"/>
              </w:rPr>
              <w:t>Verdict</w:t>
            </w:r>
          </w:p>
        </w:tc>
      </w:tr>
      <w:tr>
        <w:tc>
          <w:tcPr>
            <w:tcW w:type="dxa" w:w="1560"/>
          </w:tcPr>
          <w:p>
            <w:r>
              <w:rPr>
                <w:rFonts w:ascii="Times New Roman" w:hAnsi="Times New Roman"/>
                <w:b w:val="0"/>
                <w:i w:val="0"/>
                <w:sz w:val="18"/>
              </w:rPr>
              <w:t>1</w:t>
            </w:r>
          </w:p>
        </w:tc>
        <w:tc>
          <w:tcPr>
            <w:tcW w:type="dxa" w:w="1560"/>
          </w:tcPr>
          <w:p>
            <w:r>
              <w:rPr>
                <w:rFonts w:ascii="Times New Roman" w:hAnsi="Times New Roman"/>
                <w:b w:val="0"/>
                <w:i w:val="0"/>
                <w:sz w:val="18"/>
              </w:rPr>
              <w:t>rPPG-HRV (LF/HF, RMSSD, HFnu)</w:t>
            </w:r>
          </w:p>
        </w:tc>
        <w:tc>
          <w:tcPr>
            <w:tcW w:type="dxa" w:w="1560"/>
          </w:tcPr>
          <w:p>
            <w:r>
              <w:rPr>
                <w:rFonts w:ascii="Times New Roman" w:hAnsi="Times New Roman"/>
                <w:b w:val="0"/>
                <w:i w:val="0"/>
                <w:sz w:val="18"/>
              </w:rPr>
              <w:t>PCOS + Endo</w:t>
            </w:r>
          </w:p>
        </w:tc>
        <w:tc>
          <w:tcPr>
            <w:tcW w:type="dxa" w:w="1560"/>
          </w:tcPr>
          <w:p>
            <w:r>
              <w:rPr>
                <w:rFonts w:ascii="Times New Roman" w:hAnsi="Times New Roman"/>
                <w:b w:val="0"/>
                <w:i w:val="0"/>
                <w:sz w:val="18"/>
              </w:rPr>
              <w:t>ECG r=0.85-0.95; LF/HF SMD +0.670</w:t>
            </w:r>
          </w:p>
        </w:tc>
        <w:tc>
          <w:tcPr>
            <w:tcW w:type="dxa" w:w="1560"/>
          </w:tcPr>
          <w:p>
            <w:r>
              <w:rPr>
                <w:rFonts w:ascii="Times New Roman" w:hAnsi="Times New Roman"/>
                <w:b w:val="0"/>
                <w:i w:val="0"/>
                <w:sz w:val="18"/>
              </w:rPr>
              <w:t>21</w:t>
            </w:r>
          </w:p>
        </w:tc>
        <w:tc>
          <w:tcPr>
            <w:tcW w:type="dxa" w:w="1560"/>
          </w:tcPr>
          <w:p>
            <w:r>
              <w:rPr>
                <w:rFonts w:ascii="Times New Roman" w:hAnsi="Times New Roman"/>
                <w:b w:val="0"/>
                <w:i w:val="0"/>
                <w:sz w:val="18"/>
              </w:rPr>
              <w:t>Tier 1</w:t>
            </w:r>
          </w:p>
        </w:tc>
      </w:tr>
      <w:tr>
        <w:tc>
          <w:tcPr>
            <w:tcW w:type="dxa" w:w="1560"/>
          </w:tcPr>
          <w:p>
            <w:r>
              <w:rPr>
                <w:rFonts w:ascii="Times New Roman" w:hAnsi="Times New Roman"/>
                <w:b w:val="0"/>
                <w:i w:val="0"/>
                <w:sz w:val="18"/>
              </w:rPr>
              <w:t>1</w:t>
            </w:r>
          </w:p>
        </w:tc>
        <w:tc>
          <w:tcPr>
            <w:tcW w:type="dxa" w:w="1560"/>
          </w:tcPr>
          <w:p>
            <w:r>
              <w:rPr>
                <w:rFonts w:ascii="Times New Roman" w:hAnsi="Times New Roman"/>
                <w:b w:val="0"/>
                <w:i w:val="0"/>
                <w:sz w:val="18"/>
              </w:rPr>
              <w:t>Menstrual Cycle HRV Pattern</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RF AUC 0.96 (wearable)</w:t>
            </w:r>
          </w:p>
        </w:tc>
        <w:tc>
          <w:tcPr>
            <w:tcW w:type="dxa" w:w="1560"/>
          </w:tcPr>
          <w:p>
            <w:r>
              <w:rPr>
                <w:rFonts w:ascii="Times New Roman" w:hAnsi="Times New Roman"/>
                <w:b w:val="0"/>
                <w:i w:val="0"/>
                <w:sz w:val="18"/>
              </w:rPr>
              <w:t>19</w:t>
            </w:r>
          </w:p>
        </w:tc>
        <w:tc>
          <w:tcPr>
            <w:tcW w:type="dxa" w:w="1560"/>
          </w:tcPr>
          <w:p>
            <w:r>
              <w:rPr>
                <w:rFonts w:ascii="Times New Roman" w:hAnsi="Times New Roman"/>
                <w:b w:val="0"/>
                <w:i w:val="0"/>
                <w:sz w:val="18"/>
              </w:rPr>
              <w:t>Tier 1</w:t>
            </w:r>
          </w:p>
        </w:tc>
      </w:tr>
      <w:tr>
        <w:tc>
          <w:tcPr>
            <w:tcW w:type="dxa" w:w="1560"/>
          </w:tcPr>
          <w:p>
            <w:r>
              <w:rPr>
                <w:rFonts w:ascii="Times New Roman" w:hAnsi="Times New Roman"/>
                <w:b w:val="0"/>
                <w:i w:val="0"/>
                <w:sz w:val="18"/>
              </w:rPr>
              <w:t>1</w:t>
            </w:r>
          </w:p>
        </w:tc>
        <w:tc>
          <w:tcPr>
            <w:tcW w:type="dxa" w:w="1560"/>
          </w:tcPr>
          <w:p>
            <w:r>
              <w:rPr>
                <w:rFonts w:ascii="Times New Roman" w:hAnsi="Times New Roman"/>
                <w:b w:val="0"/>
                <w:i w:val="0"/>
                <w:sz w:val="18"/>
              </w:rPr>
              <w:t>Acne Auto-grading (IGA)</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IGA accuracy 0.85, mAP 0.54</w:t>
            </w:r>
          </w:p>
        </w:tc>
        <w:tc>
          <w:tcPr>
            <w:tcW w:type="dxa" w:w="1560"/>
          </w:tcPr>
          <w:p>
            <w:r>
              <w:rPr>
                <w:rFonts w:ascii="Times New Roman" w:hAnsi="Times New Roman"/>
                <w:b w:val="0"/>
                <w:i w:val="0"/>
                <w:sz w:val="18"/>
              </w:rPr>
              <w:t>19</w:t>
            </w:r>
          </w:p>
        </w:tc>
        <w:tc>
          <w:tcPr>
            <w:tcW w:type="dxa" w:w="1560"/>
          </w:tcPr>
          <w:p>
            <w:r>
              <w:rPr>
                <w:rFonts w:ascii="Times New Roman" w:hAnsi="Times New Roman"/>
                <w:b w:val="0"/>
                <w:i w:val="0"/>
                <w:sz w:val="18"/>
              </w:rPr>
              <w:t>Tier 1</w:t>
            </w:r>
          </w:p>
        </w:tc>
      </w:tr>
      <w:tr>
        <w:tc>
          <w:tcPr>
            <w:tcW w:type="dxa" w:w="1560"/>
          </w:tcPr>
          <w:p>
            <w:r>
              <w:rPr>
                <w:rFonts w:ascii="Times New Roman" w:hAnsi="Times New Roman"/>
                <w:b w:val="0"/>
                <w:i w:val="0"/>
                <w:sz w:val="18"/>
              </w:rPr>
              <w:t>1</w:t>
            </w:r>
          </w:p>
        </w:tc>
        <w:tc>
          <w:tcPr>
            <w:tcW w:type="dxa" w:w="1560"/>
          </w:tcPr>
          <w:p>
            <w:r>
              <w:rPr>
                <w:rFonts w:ascii="Times New Roman" w:hAnsi="Times New Roman"/>
                <w:b w:val="0"/>
                <w:i w:val="0"/>
                <w:sz w:val="18"/>
              </w:rPr>
              <w:t>Hirsutism Image mFG Score</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Concordance 0.89, κ=0.75</w:t>
            </w:r>
          </w:p>
        </w:tc>
        <w:tc>
          <w:tcPr>
            <w:tcW w:type="dxa" w:w="1560"/>
          </w:tcPr>
          <w:p>
            <w:r>
              <w:rPr>
                <w:rFonts w:ascii="Times New Roman" w:hAnsi="Times New Roman"/>
                <w:b w:val="0"/>
                <w:i w:val="0"/>
                <w:sz w:val="18"/>
              </w:rPr>
              <w:t>18</w:t>
            </w:r>
          </w:p>
        </w:tc>
        <w:tc>
          <w:tcPr>
            <w:tcW w:type="dxa" w:w="1560"/>
          </w:tcPr>
          <w:p>
            <w:r>
              <w:rPr>
                <w:rFonts w:ascii="Times New Roman" w:hAnsi="Times New Roman"/>
                <w:b w:val="0"/>
                <w:i w:val="0"/>
                <w:sz w:val="18"/>
              </w:rPr>
              <w:t>Tier 1</w:t>
            </w:r>
          </w:p>
        </w:tc>
      </w:tr>
      <w:tr>
        <w:tc>
          <w:tcPr>
            <w:tcW w:type="dxa" w:w="1560"/>
          </w:tcPr>
          <w:p>
            <w:r>
              <w:rPr>
                <w:rFonts w:ascii="Times New Roman" w:hAnsi="Times New Roman"/>
                <w:b w:val="0"/>
                <w:i w:val="0"/>
                <w:sz w:val="18"/>
              </w:rPr>
              <w:t>2</w:t>
            </w:r>
          </w:p>
        </w:tc>
        <w:tc>
          <w:tcPr>
            <w:tcW w:type="dxa" w:w="1560"/>
          </w:tcPr>
          <w:p>
            <w:r>
              <w:rPr>
                <w:rFonts w:ascii="Times New Roman" w:hAnsi="Times New Roman"/>
                <w:b w:val="0"/>
                <w:i w:val="0"/>
                <w:sz w:val="18"/>
              </w:rPr>
              <w:t>Acanthosis Nigricans (ANcam)</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Sens 81.1%, Spec 70.3%, AUC 0.854</w:t>
            </w:r>
          </w:p>
        </w:tc>
        <w:tc>
          <w:tcPr>
            <w:tcW w:type="dxa" w:w="1560"/>
          </w:tcPr>
          <w:p>
            <w:r>
              <w:rPr>
                <w:rFonts w:ascii="Times New Roman" w:hAnsi="Times New Roman"/>
                <w:b w:val="0"/>
                <w:i w:val="0"/>
                <w:sz w:val="18"/>
              </w:rPr>
              <w:t>17</w:t>
            </w:r>
          </w:p>
        </w:tc>
        <w:tc>
          <w:tcPr>
            <w:tcW w:type="dxa" w:w="1560"/>
          </w:tcPr>
          <w:p>
            <w:r>
              <w:rPr>
                <w:rFonts w:ascii="Times New Roman" w:hAnsi="Times New Roman"/>
                <w:b w:val="0"/>
                <w:i w:val="0"/>
                <w:sz w:val="18"/>
              </w:rPr>
              <w:t>Tier 2</w:t>
            </w:r>
          </w:p>
        </w:tc>
      </w:tr>
      <w:tr>
        <w:tc>
          <w:tcPr>
            <w:tcW w:type="dxa" w:w="1560"/>
          </w:tcPr>
          <w:p>
            <w:r>
              <w:rPr>
                <w:rFonts w:ascii="Times New Roman" w:hAnsi="Times New Roman"/>
                <w:b w:val="0"/>
                <w:i w:val="0"/>
                <w:sz w:val="18"/>
              </w:rPr>
              <w:t>2</w:t>
            </w:r>
          </w:p>
        </w:tc>
        <w:tc>
          <w:tcPr>
            <w:tcW w:type="dxa" w:w="1560"/>
          </w:tcPr>
          <w:p>
            <w:r>
              <w:rPr>
                <w:rFonts w:ascii="Times New Roman" w:hAnsi="Times New Roman"/>
                <w:b w:val="0"/>
                <w:i w:val="0"/>
                <w:sz w:val="18"/>
              </w:rPr>
              <w:t>Facial BMI Estimation</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MAE 1.04, AUC 0.861</w:t>
            </w:r>
          </w:p>
        </w:tc>
        <w:tc>
          <w:tcPr>
            <w:tcW w:type="dxa" w:w="1560"/>
          </w:tcPr>
          <w:p>
            <w:r>
              <w:rPr>
                <w:rFonts w:ascii="Times New Roman" w:hAnsi="Times New Roman"/>
                <w:b w:val="0"/>
                <w:i w:val="0"/>
                <w:sz w:val="18"/>
              </w:rPr>
              <w:t>16</w:t>
            </w:r>
          </w:p>
        </w:tc>
        <w:tc>
          <w:tcPr>
            <w:tcW w:type="dxa" w:w="1560"/>
          </w:tcPr>
          <w:p>
            <w:r>
              <w:rPr>
                <w:rFonts w:ascii="Times New Roman" w:hAnsi="Times New Roman"/>
                <w:b w:val="0"/>
                <w:i w:val="0"/>
                <w:sz w:val="18"/>
              </w:rPr>
              <w:t>Tier 2</w:t>
            </w:r>
          </w:p>
        </w:tc>
      </w:tr>
      <w:tr>
        <w:tc>
          <w:tcPr>
            <w:tcW w:type="dxa" w:w="1560"/>
          </w:tcPr>
          <w:p>
            <w:r>
              <w:rPr>
                <w:rFonts w:ascii="Times New Roman" w:hAnsi="Times New Roman"/>
                <w:b w:val="0"/>
                <w:i w:val="0"/>
                <w:sz w:val="18"/>
              </w:rPr>
              <w:t>2</w:t>
            </w:r>
          </w:p>
        </w:tc>
        <w:tc>
          <w:tcPr>
            <w:tcW w:type="dxa" w:w="1560"/>
          </w:tcPr>
          <w:p>
            <w:r>
              <w:rPr>
                <w:rFonts w:ascii="Times New Roman" w:hAnsi="Times New Roman"/>
                <w:b w:val="0"/>
                <w:i w:val="0"/>
                <w:sz w:val="18"/>
              </w:rPr>
              <w:t>rPPG Blood Pressure</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95.3%/96.4% (±5mmHg)</w:t>
            </w:r>
          </w:p>
        </w:tc>
        <w:tc>
          <w:tcPr>
            <w:tcW w:type="dxa" w:w="1560"/>
          </w:tcPr>
          <w:p>
            <w:r>
              <w:rPr>
                <w:rFonts w:ascii="Times New Roman" w:hAnsi="Times New Roman"/>
                <w:b w:val="0"/>
                <w:i w:val="0"/>
                <w:sz w:val="18"/>
              </w:rPr>
              <w:t>16</w:t>
            </w:r>
          </w:p>
        </w:tc>
        <w:tc>
          <w:tcPr>
            <w:tcW w:type="dxa" w:w="1560"/>
          </w:tcPr>
          <w:p>
            <w:r>
              <w:rPr>
                <w:rFonts w:ascii="Times New Roman" w:hAnsi="Times New Roman"/>
                <w:b w:val="0"/>
                <w:i w:val="0"/>
                <w:sz w:val="18"/>
              </w:rPr>
              <w:t>Tier 2</w:t>
            </w:r>
          </w:p>
        </w:tc>
      </w:tr>
      <w:tr>
        <w:tc>
          <w:tcPr>
            <w:tcW w:type="dxa" w:w="1560"/>
          </w:tcPr>
          <w:p>
            <w:r>
              <w:rPr>
                <w:rFonts w:ascii="Times New Roman" w:hAnsi="Times New Roman"/>
                <w:b w:val="0"/>
                <w:i w:val="0"/>
                <w:sz w:val="18"/>
              </w:rPr>
              <w:t>2</w:t>
            </w:r>
          </w:p>
        </w:tc>
        <w:tc>
          <w:tcPr>
            <w:tcW w:type="dxa" w:w="1560"/>
          </w:tcPr>
          <w:p>
            <w:r>
              <w:rPr>
                <w:rFonts w:ascii="Times New Roman" w:hAnsi="Times New Roman"/>
                <w:b w:val="0"/>
                <w:i w:val="0"/>
                <w:sz w:val="18"/>
              </w:rPr>
              <w:t>rPPG SpO2 Estimation</w:t>
            </w:r>
          </w:p>
        </w:tc>
        <w:tc>
          <w:tcPr>
            <w:tcW w:type="dxa" w:w="1560"/>
          </w:tcPr>
          <w:p>
            <w:r>
              <w:rPr>
                <w:rFonts w:ascii="Times New Roman" w:hAnsi="Times New Roman"/>
                <w:b w:val="0"/>
                <w:i w:val="0"/>
                <w:sz w:val="18"/>
              </w:rPr>
              <w:t>Endo</w:t>
            </w:r>
          </w:p>
        </w:tc>
        <w:tc>
          <w:tcPr>
            <w:tcW w:type="dxa" w:w="1560"/>
          </w:tcPr>
          <w:p>
            <w:r>
              <w:rPr>
                <w:rFonts w:ascii="Times New Roman" w:hAnsi="Times New Roman"/>
                <w:b w:val="0"/>
                <w:i w:val="0"/>
                <w:sz w:val="18"/>
              </w:rPr>
              <w:t>MAE 1.274%, RMSE 1.710%</w:t>
            </w:r>
          </w:p>
        </w:tc>
        <w:tc>
          <w:tcPr>
            <w:tcW w:type="dxa" w:w="1560"/>
          </w:tcPr>
          <w:p>
            <w:r>
              <w:rPr>
                <w:rFonts w:ascii="Times New Roman" w:hAnsi="Times New Roman"/>
                <w:b w:val="0"/>
                <w:i w:val="0"/>
                <w:sz w:val="18"/>
              </w:rPr>
              <w:t>15</w:t>
            </w:r>
          </w:p>
        </w:tc>
        <w:tc>
          <w:tcPr>
            <w:tcW w:type="dxa" w:w="1560"/>
          </w:tcPr>
          <w:p>
            <w:r>
              <w:rPr>
                <w:rFonts w:ascii="Times New Roman" w:hAnsi="Times New Roman"/>
                <w:b w:val="0"/>
                <w:i w:val="0"/>
                <w:sz w:val="18"/>
              </w:rPr>
              <w:t>Tier 2</w:t>
            </w:r>
          </w:p>
        </w:tc>
      </w:tr>
      <w:tr>
        <w:tc>
          <w:tcPr>
            <w:tcW w:type="dxa" w:w="1560"/>
          </w:tcPr>
          <w:p>
            <w:r>
              <w:rPr>
                <w:rFonts w:ascii="Times New Roman" w:hAnsi="Times New Roman"/>
                <w:b w:val="0"/>
                <w:i w:val="0"/>
                <w:sz w:val="18"/>
              </w:rPr>
              <w:t>2</w:t>
            </w:r>
          </w:p>
        </w:tc>
        <w:tc>
          <w:tcPr>
            <w:tcW w:type="dxa" w:w="1560"/>
          </w:tcPr>
          <w:p>
            <w:r>
              <w:rPr>
                <w:rFonts w:ascii="Times New Roman" w:hAnsi="Times New Roman"/>
                <w:b w:val="0"/>
                <w:i w:val="0"/>
                <w:sz w:val="18"/>
              </w:rPr>
              <w:t>Contactless Menstrual 4-Phase</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PPG 91.7%, irregular 87.6%</w:t>
            </w:r>
          </w:p>
        </w:tc>
        <w:tc>
          <w:tcPr>
            <w:tcW w:type="dxa" w:w="1560"/>
          </w:tcPr>
          <w:p>
            <w:r>
              <w:rPr>
                <w:rFonts w:ascii="Times New Roman" w:hAnsi="Times New Roman"/>
                <w:b w:val="0"/>
                <w:i w:val="0"/>
                <w:sz w:val="18"/>
              </w:rPr>
              <w:t>14</w:t>
            </w:r>
          </w:p>
        </w:tc>
        <w:tc>
          <w:tcPr>
            <w:tcW w:type="dxa" w:w="1560"/>
          </w:tcPr>
          <w:p>
            <w:r>
              <w:rPr>
                <w:rFonts w:ascii="Times New Roman" w:hAnsi="Times New Roman"/>
                <w:b w:val="0"/>
                <w:i w:val="0"/>
                <w:sz w:val="18"/>
              </w:rPr>
              <w:t>Tier 2</w:t>
            </w:r>
          </w:p>
        </w:tc>
      </w:tr>
      <w:tr>
        <w:tc>
          <w:tcPr>
            <w:tcW w:type="dxa" w:w="1560"/>
          </w:tcPr>
          <w:p>
            <w:r>
              <w:rPr>
                <w:rFonts w:ascii="Times New Roman" w:hAnsi="Times New Roman"/>
                <w:b w:val="0"/>
                <w:i w:val="0"/>
                <w:sz w:val="18"/>
              </w:rPr>
              <w:t>2</w:t>
            </w:r>
          </w:p>
        </w:tc>
        <w:tc>
          <w:tcPr>
            <w:tcW w:type="dxa" w:w="1560"/>
          </w:tcPr>
          <w:p>
            <w:r>
              <w:rPr>
                <w:rFonts w:ascii="Times New Roman" w:hAnsi="Times New Roman"/>
                <w:b w:val="0"/>
                <w:i w:val="0"/>
                <w:sz w:val="18"/>
              </w:rPr>
              <w:t>Skin Lesion Classification</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DenseNet 92.25%, MobileNet 98.4%</w:t>
            </w:r>
          </w:p>
        </w:tc>
        <w:tc>
          <w:tcPr>
            <w:tcW w:type="dxa" w:w="1560"/>
          </w:tcPr>
          <w:p>
            <w:r>
              <w:rPr>
                <w:rFonts w:ascii="Times New Roman" w:hAnsi="Times New Roman"/>
                <w:b w:val="0"/>
                <w:i w:val="0"/>
                <w:sz w:val="18"/>
              </w:rPr>
              <w:t>14</w:t>
            </w:r>
          </w:p>
        </w:tc>
        <w:tc>
          <w:tcPr>
            <w:tcW w:type="dxa" w:w="1560"/>
          </w:tcPr>
          <w:p>
            <w:r>
              <w:rPr>
                <w:rFonts w:ascii="Times New Roman" w:hAnsi="Times New Roman"/>
                <w:b w:val="0"/>
                <w:i w:val="0"/>
                <w:sz w:val="18"/>
              </w:rPr>
              <w:t>Tier 2</w:t>
            </w:r>
          </w:p>
        </w:tc>
      </w:tr>
      <w:tr>
        <w:tc>
          <w:tcPr>
            <w:tcW w:type="dxa" w:w="1560"/>
          </w:tcPr>
          <w:p>
            <w:r>
              <w:rPr>
                <w:rFonts w:ascii="Times New Roman" w:hAnsi="Times New Roman"/>
                <w:b w:val="0"/>
                <w:i w:val="0"/>
                <w:sz w:val="18"/>
              </w:rPr>
              <w:t>3</w:t>
            </w:r>
          </w:p>
        </w:tc>
        <w:tc>
          <w:tcPr>
            <w:tcW w:type="dxa" w:w="1560"/>
          </w:tcPr>
          <w:p>
            <w:r>
              <w:rPr>
                <w:rFonts w:ascii="Times New Roman" w:hAnsi="Times New Roman"/>
                <w:b w:val="0"/>
                <w:i w:val="0"/>
                <w:sz w:val="18"/>
              </w:rPr>
              <w:t>Skin Color Time-series (L*a*b*)</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Hypothesis-level</w:t>
            </w:r>
          </w:p>
        </w:tc>
        <w:tc>
          <w:tcPr>
            <w:tcW w:type="dxa" w:w="1560"/>
          </w:tcPr>
          <w:p>
            <w:r>
              <w:rPr>
                <w:rFonts w:ascii="Times New Roman" w:hAnsi="Times New Roman"/>
                <w:b w:val="0"/>
                <w:i w:val="0"/>
                <w:sz w:val="18"/>
              </w:rPr>
              <w:t>11</w:t>
            </w:r>
          </w:p>
        </w:tc>
        <w:tc>
          <w:tcPr>
            <w:tcW w:type="dxa" w:w="1560"/>
          </w:tcPr>
          <w:p>
            <w:r>
              <w:rPr>
                <w:rFonts w:ascii="Times New Roman" w:hAnsi="Times New Roman"/>
                <w:b w:val="0"/>
                <w:i w:val="0"/>
                <w:sz w:val="18"/>
              </w:rPr>
              <w:t>Tier 3</w:t>
            </w:r>
          </w:p>
        </w:tc>
      </w:tr>
      <w:tr>
        <w:tc>
          <w:tcPr>
            <w:tcW w:type="dxa" w:w="1560"/>
          </w:tcPr>
          <w:p>
            <w:r>
              <w:rPr>
                <w:rFonts w:ascii="Times New Roman" w:hAnsi="Times New Roman"/>
                <w:b w:val="0"/>
                <w:i w:val="0"/>
                <w:sz w:val="18"/>
              </w:rPr>
              <w:t>3</w:t>
            </w:r>
          </w:p>
        </w:tc>
        <w:tc>
          <w:tcPr>
            <w:tcW w:type="dxa" w:w="1560"/>
          </w:tcPr>
          <w:p>
            <w:r>
              <w:rPr>
                <w:rFonts w:ascii="Times New Roman" w:hAnsi="Times New Roman"/>
                <w:b w:val="0"/>
                <w:i w:val="0"/>
                <w:sz w:val="18"/>
              </w:rPr>
              <w:t>Micro-expression + rPPG Pain</w:t>
            </w:r>
          </w:p>
        </w:tc>
        <w:tc>
          <w:tcPr>
            <w:tcW w:type="dxa" w:w="1560"/>
          </w:tcPr>
          <w:p>
            <w:r>
              <w:rPr>
                <w:rFonts w:ascii="Times New Roman" w:hAnsi="Times New Roman"/>
                <w:b w:val="0"/>
                <w:i w:val="0"/>
                <w:sz w:val="18"/>
              </w:rPr>
              <w:t>Endo</w:t>
            </w:r>
          </w:p>
        </w:tc>
        <w:tc>
          <w:tcPr>
            <w:tcW w:type="dxa" w:w="1560"/>
          </w:tcPr>
          <w:p>
            <w:r>
              <w:rPr>
                <w:rFonts w:ascii="Times New Roman" w:hAnsi="Times New Roman"/>
                <w:b w:val="0"/>
                <w:i w:val="0"/>
                <w:sz w:val="18"/>
              </w:rPr>
              <w:t>Hypothesis-level</w:t>
            </w:r>
          </w:p>
        </w:tc>
        <w:tc>
          <w:tcPr>
            <w:tcW w:type="dxa" w:w="1560"/>
          </w:tcPr>
          <w:p>
            <w:r>
              <w:rPr>
                <w:rFonts w:ascii="Times New Roman" w:hAnsi="Times New Roman"/>
                <w:b w:val="0"/>
                <w:i w:val="0"/>
                <w:sz w:val="18"/>
              </w:rPr>
              <w:t>10</w:t>
            </w:r>
          </w:p>
        </w:tc>
        <w:tc>
          <w:tcPr>
            <w:tcW w:type="dxa" w:w="1560"/>
          </w:tcPr>
          <w:p>
            <w:r>
              <w:rPr>
                <w:rFonts w:ascii="Times New Roman" w:hAnsi="Times New Roman"/>
                <w:b w:val="0"/>
                <w:i w:val="0"/>
                <w:sz w:val="18"/>
              </w:rPr>
              <w:t>Tier 3</w:t>
            </w:r>
          </w:p>
        </w:tc>
      </w:tr>
      <w:tr>
        <w:tc>
          <w:tcPr>
            <w:tcW w:type="dxa" w:w="1560"/>
          </w:tcPr>
          <w:p>
            <w:r>
              <w:rPr>
                <w:rFonts w:ascii="Times New Roman" w:hAnsi="Times New Roman"/>
                <w:b w:val="0"/>
                <w:i w:val="0"/>
                <w:sz w:val="18"/>
              </w:rPr>
              <w:t>3</w:t>
            </w:r>
          </w:p>
        </w:tc>
        <w:tc>
          <w:tcPr>
            <w:tcW w:type="dxa" w:w="1560"/>
          </w:tcPr>
          <w:p>
            <w:r>
              <w:rPr>
                <w:rFonts w:ascii="Times New Roman" w:hAnsi="Times New Roman"/>
                <w:b w:val="0"/>
                <w:i w:val="0"/>
                <w:sz w:val="18"/>
              </w:rPr>
              <w:t>Nocturnal rPPG SpO2</w:t>
            </w:r>
          </w:p>
        </w:tc>
        <w:tc>
          <w:tcPr>
            <w:tcW w:type="dxa" w:w="1560"/>
          </w:tcPr>
          <w:p>
            <w:r>
              <w:rPr>
                <w:rFonts w:ascii="Times New Roman" w:hAnsi="Times New Roman"/>
                <w:b w:val="0"/>
                <w:i w:val="0"/>
                <w:sz w:val="18"/>
              </w:rPr>
              <w:t>PCOS-OSA</w:t>
            </w:r>
          </w:p>
        </w:tc>
        <w:tc>
          <w:tcPr>
            <w:tcW w:type="dxa" w:w="1560"/>
          </w:tcPr>
          <w:p>
            <w:r>
              <w:rPr>
                <w:rFonts w:ascii="Times New Roman" w:hAnsi="Times New Roman"/>
                <w:b w:val="0"/>
                <w:i w:val="0"/>
                <w:sz w:val="18"/>
              </w:rPr>
              <w:t>Hypothesis-level</w:t>
            </w:r>
          </w:p>
        </w:tc>
        <w:tc>
          <w:tcPr>
            <w:tcW w:type="dxa" w:w="1560"/>
          </w:tcPr>
          <w:p>
            <w:r>
              <w:rPr>
                <w:rFonts w:ascii="Times New Roman" w:hAnsi="Times New Roman"/>
                <w:b w:val="0"/>
                <w:i w:val="0"/>
                <w:sz w:val="18"/>
              </w:rPr>
              <w:t>9</w:t>
            </w:r>
          </w:p>
        </w:tc>
        <w:tc>
          <w:tcPr>
            <w:tcW w:type="dxa" w:w="1560"/>
          </w:tcPr>
          <w:p>
            <w:r>
              <w:rPr>
                <w:rFonts w:ascii="Times New Roman" w:hAnsi="Times New Roman"/>
                <w:b w:val="0"/>
                <w:i w:val="0"/>
                <w:sz w:val="18"/>
              </w:rPr>
              <w:t>Tier 3</w:t>
            </w:r>
          </w:p>
        </w:tc>
      </w:tr>
      <w:tr>
        <w:tc>
          <w:tcPr>
            <w:tcW w:type="dxa" w:w="1560"/>
          </w:tcPr>
          <w:p>
            <w:r>
              <w:rPr>
                <w:rFonts w:ascii="Times New Roman" w:hAnsi="Times New Roman"/>
                <w:b w:val="0"/>
                <w:i w:val="0"/>
                <w:sz w:val="18"/>
              </w:rPr>
              <w:t>3</w:t>
            </w:r>
          </w:p>
        </w:tc>
        <w:tc>
          <w:tcPr>
            <w:tcW w:type="dxa" w:w="1560"/>
          </w:tcPr>
          <w:p>
            <w:r>
              <w:rPr>
                <w:rFonts w:ascii="Times New Roman" w:hAnsi="Times New Roman"/>
                <w:b w:val="0"/>
                <w:i w:val="0"/>
                <w:sz w:val="18"/>
              </w:rPr>
              <w:t>Androgenetic Alopecia Pattern</w:t>
            </w:r>
          </w:p>
        </w:tc>
        <w:tc>
          <w:tcPr>
            <w:tcW w:type="dxa" w:w="1560"/>
          </w:tcPr>
          <w:p>
            <w:r>
              <w:rPr>
                <w:rFonts w:ascii="Times New Roman" w:hAnsi="Times New Roman"/>
                <w:b w:val="0"/>
                <w:i w:val="0"/>
                <w:sz w:val="18"/>
              </w:rPr>
              <w:t>PCOS</w:t>
            </w:r>
          </w:p>
        </w:tc>
        <w:tc>
          <w:tcPr>
            <w:tcW w:type="dxa" w:w="1560"/>
          </w:tcPr>
          <w:p>
            <w:r>
              <w:rPr>
                <w:rFonts w:ascii="Times New Roman" w:hAnsi="Times New Roman"/>
                <w:b w:val="0"/>
                <w:i w:val="0"/>
                <w:sz w:val="18"/>
              </w:rPr>
              <w:t>Hypothesis-level</w:t>
            </w:r>
          </w:p>
        </w:tc>
        <w:tc>
          <w:tcPr>
            <w:tcW w:type="dxa" w:w="1560"/>
          </w:tcPr>
          <w:p>
            <w:r>
              <w:rPr>
                <w:rFonts w:ascii="Times New Roman" w:hAnsi="Times New Roman"/>
                <w:b w:val="0"/>
                <w:i w:val="0"/>
                <w:sz w:val="18"/>
              </w:rPr>
              <w:t>8</w:t>
            </w:r>
          </w:p>
        </w:tc>
        <w:tc>
          <w:tcPr>
            <w:tcW w:type="dxa" w:w="1560"/>
          </w:tcPr>
          <w:p>
            <w:r>
              <w:rPr>
                <w:rFonts w:ascii="Times New Roman" w:hAnsi="Times New Roman"/>
                <w:b w:val="0"/>
                <w:i w:val="0"/>
                <w:sz w:val="18"/>
              </w:rPr>
              <w:t>Tier 3</w:t>
            </w:r>
          </w:p>
        </w:tc>
      </w:tr>
    </w:tbl>
    <w:p/>
    <w:p>
      <w:pPr>
        <w:spacing w:before="160" w:after="80"/>
        <w:jc w:val="left"/>
      </w:pPr>
      <w:r>
        <w:rPr>
          <w:rFonts w:ascii="Times New Roman" w:hAnsi="Times New Roman"/>
          <w:b/>
          <w:i w:val="0"/>
          <w:sz w:val="22"/>
        </w:rPr>
        <w:t>B. Meta-Analytic Performance Summary</w:t>
      </w:r>
    </w:p>
    <w:p>
      <w:pPr>
        <w:jc w:val="center"/>
      </w:pPr>
      <w:r>
        <w:rPr>
          <w:rFonts w:ascii="Times New Roman" w:hAnsi="Times New Roman"/>
          <w:b/>
          <w:i w:val="0"/>
          <w:sz w:val="20"/>
        </w:rPr>
        <w:t>Table II. Projected Multimodal Fusion AUC</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sz w:val="18"/>
              </w:rPr>
              <w:t>Modality</w:t>
            </w:r>
          </w:p>
        </w:tc>
        <w:tc>
          <w:tcPr>
            <w:tcW w:type="dxa" w:w="1872"/>
          </w:tcPr>
          <w:p>
            <w:r>
              <w:rPr>
                <w:rFonts w:ascii="Times New Roman" w:hAnsi="Times New Roman"/>
                <w:b/>
                <w:i w:val="0"/>
                <w:sz w:val="18"/>
              </w:rPr>
              <w:t>PCOS AUC</w:t>
            </w:r>
          </w:p>
        </w:tc>
        <w:tc>
          <w:tcPr>
            <w:tcW w:type="dxa" w:w="1872"/>
          </w:tcPr>
          <w:p>
            <w:r>
              <w:rPr>
                <w:rFonts w:ascii="Times New Roman" w:hAnsi="Times New Roman"/>
                <w:b/>
                <w:i w:val="0"/>
                <w:sz w:val="18"/>
              </w:rPr>
              <w:t>Endo AUC</w:t>
            </w:r>
          </w:p>
        </w:tc>
        <w:tc>
          <w:tcPr>
            <w:tcW w:type="dxa" w:w="1872"/>
          </w:tcPr>
          <w:p>
            <w:r>
              <w:rPr>
                <w:rFonts w:ascii="Times New Roman" w:hAnsi="Times New Roman"/>
                <w:b/>
                <w:i w:val="0"/>
                <w:sz w:val="18"/>
              </w:rPr>
              <w:t>3-class AUC</w:t>
            </w:r>
          </w:p>
        </w:tc>
        <w:tc>
          <w:tcPr>
            <w:tcW w:type="dxa" w:w="1872"/>
          </w:tcPr>
          <w:p>
            <w:r>
              <w:rPr>
                <w:rFonts w:ascii="Times New Roman" w:hAnsi="Times New Roman"/>
                <w:b/>
                <w:i w:val="0"/>
                <w:sz w:val="18"/>
              </w:rPr>
              <w:t>Evidence</w:t>
            </w:r>
          </w:p>
        </w:tc>
      </w:tr>
      <w:tr>
        <w:tc>
          <w:tcPr>
            <w:tcW w:type="dxa" w:w="1872"/>
          </w:tcPr>
          <w:p>
            <w:r>
              <w:rPr>
                <w:rFonts w:ascii="Times New Roman" w:hAnsi="Times New Roman"/>
                <w:b w:val="0"/>
                <w:i w:val="0"/>
                <w:sz w:val="18"/>
              </w:rPr>
              <w:t>rPPG-HRV only</w:t>
            </w:r>
          </w:p>
        </w:tc>
        <w:tc>
          <w:tcPr>
            <w:tcW w:type="dxa" w:w="1872"/>
          </w:tcPr>
          <w:p>
            <w:r>
              <w:rPr>
                <w:rFonts w:ascii="Times New Roman" w:hAnsi="Times New Roman"/>
                <w:b w:val="0"/>
                <w:i w:val="0"/>
                <w:sz w:val="18"/>
              </w:rPr>
              <w:t>0.70-0.80</w:t>
            </w:r>
          </w:p>
        </w:tc>
        <w:tc>
          <w:tcPr>
            <w:tcW w:type="dxa" w:w="1872"/>
          </w:tcPr>
          <w:p>
            <w:r>
              <w:rPr>
                <w:rFonts w:ascii="Times New Roman" w:hAnsi="Times New Roman"/>
                <w:b w:val="0"/>
                <w:i w:val="0"/>
                <w:sz w:val="18"/>
              </w:rPr>
              <w:t>0.65-0.75</w:t>
            </w:r>
          </w:p>
        </w:tc>
        <w:tc>
          <w:tcPr>
            <w:tcW w:type="dxa" w:w="1872"/>
          </w:tcPr>
          <w:p>
            <w:r>
              <w:rPr>
                <w:rFonts w:ascii="Times New Roman" w:hAnsi="Times New Roman"/>
                <w:b w:val="0"/>
                <w:i w:val="0"/>
                <w:sz w:val="18"/>
              </w:rPr>
              <w:t>0.65-0.75</w:t>
            </w:r>
          </w:p>
        </w:tc>
        <w:tc>
          <w:tcPr>
            <w:tcW w:type="dxa" w:w="1872"/>
          </w:tcPr>
          <w:p>
            <w:r>
              <w:rPr>
                <w:rFonts w:ascii="Times New Roman" w:hAnsi="Times New Roman"/>
                <w:b w:val="0"/>
                <w:i w:val="0"/>
                <w:sz w:val="18"/>
              </w:rPr>
              <w:t>High</w:t>
            </w:r>
          </w:p>
        </w:tc>
      </w:tr>
      <w:tr>
        <w:tc>
          <w:tcPr>
            <w:tcW w:type="dxa" w:w="1872"/>
          </w:tcPr>
          <w:p>
            <w:r>
              <w:rPr>
                <w:rFonts w:ascii="Times New Roman" w:hAnsi="Times New Roman"/>
                <w:b w:val="0"/>
                <w:i w:val="0"/>
                <w:sz w:val="18"/>
              </w:rPr>
              <w:t>Skin analysis only</w:t>
            </w:r>
          </w:p>
        </w:tc>
        <w:tc>
          <w:tcPr>
            <w:tcW w:type="dxa" w:w="1872"/>
          </w:tcPr>
          <w:p>
            <w:r>
              <w:rPr>
                <w:rFonts w:ascii="Times New Roman" w:hAnsi="Times New Roman"/>
                <w:b w:val="0"/>
                <w:i w:val="0"/>
                <w:sz w:val="18"/>
              </w:rPr>
              <w:t>0.75-0.85</w:t>
            </w:r>
          </w:p>
        </w:tc>
        <w:tc>
          <w:tcPr>
            <w:tcW w:type="dxa" w:w="1872"/>
          </w:tcPr>
          <w:p>
            <w:r>
              <w:rPr>
                <w:rFonts w:ascii="Times New Roman" w:hAnsi="Times New Roman"/>
                <w:b w:val="0"/>
                <w:i w:val="0"/>
                <w:sz w:val="18"/>
              </w:rPr>
              <w:t>0.55-0.65</w:t>
            </w:r>
          </w:p>
        </w:tc>
        <w:tc>
          <w:tcPr>
            <w:tcW w:type="dxa" w:w="1872"/>
          </w:tcPr>
          <w:p>
            <w:r>
              <w:rPr>
                <w:rFonts w:ascii="Times New Roman" w:hAnsi="Times New Roman"/>
                <w:b w:val="0"/>
                <w:i w:val="0"/>
                <w:sz w:val="18"/>
              </w:rPr>
              <w:t>0.60-0.70</w:t>
            </w:r>
          </w:p>
        </w:tc>
        <w:tc>
          <w:tcPr>
            <w:tcW w:type="dxa" w:w="1872"/>
          </w:tcPr>
          <w:p>
            <w:r>
              <w:rPr>
                <w:rFonts w:ascii="Times New Roman" w:hAnsi="Times New Roman"/>
                <w:b w:val="0"/>
                <w:i w:val="0"/>
                <w:sz w:val="18"/>
              </w:rPr>
              <w:t>Moderate</w:t>
            </w:r>
          </w:p>
        </w:tc>
      </w:tr>
      <w:tr>
        <w:tc>
          <w:tcPr>
            <w:tcW w:type="dxa" w:w="1872"/>
          </w:tcPr>
          <w:p>
            <w:r>
              <w:rPr>
                <w:rFonts w:ascii="Times New Roman" w:hAnsi="Times New Roman"/>
                <w:b w:val="0"/>
                <w:i w:val="0"/>
                <w:sz w:val="18"/>
              </w:rPr>
              <w:t>Menstrual only</w:t>
            </w:r>
          </w:p>
        </w:tc>
        <w:tc>
          <w:tcPr>
            <w:tcW w:type="dxa" w:w="1872"/>
          </w:tcPr>
          <w:p>
            <w:r>
              <w:rPr>
                <w:rFonts w:ascii="Times New Roman" w:hAnsi="Times New Roman"/>
                <w:b w:val="0"/>
                <w:i w:val="0"/>
                <w:sz w:val="18"/>
              </w:rPr>
              <w:t>0.65-0.75</w:t>
            </w:r>
          </w:p>
        </w:tc>
        <w:tc>
          <w:tcPr>
            <w:tcW w:type="dxa" w:w="1872"/>
          </w:tcPr>
          <w:p>
            <w:r>
              <w:rPr>
                <w:rFonts w:ascii="Times New Roman" w:hAnsi="Times New Roman"/>
                <w:b w:val="0"/>
                <w:i w:val="0"/>
                <w:sz w:val="18"/>
              </w:rPr>
              <w:t>0.60-0.70</w:t>
            </w:r>
          </w:p>
        </w:tc>
        <w:tc>
          <w:tcPr>
            <w:tcW w:type="dxa" w:w="1872"/>
          </w:tcPr>
          <w:p>
            <w:r>
              <w:rPr>
                <w:rFonts w:ascii="Times New Roman" w:hAnsi="Times New Roman"/>
                <w:b w:val="0"/>
                <w:i w:val="0"/>
                <w:sz w:val="18"/>
              </w:rPr>
              <w:t>0.60-0.70</w:t>
            </w:r>
          </w:p>
        </w:tc>
        <w:tc>
          <w:tcPr>
            <w:tcW w:type="dxa" w:w="1872"/>
          </w:tcPr>
          <w:p>
            <w:r>
              <w:rPr>
                <w:rFonts w:ascii="Times New Roman" w:hAnsi="Times New Roman"/>
                <w:b w:val="0"/>
                <w:i w:val="0"/>
                <w:sz w:val="18"/>
              </w:rPr>
              <w:t>Moderate</w:t>
            </w:r>
          </w:p>
        </w:tc>
      </w:tr>
      <w:tr>
        <w:tc>
          <w:tcPr>
            <w:tcW w:type="dxa" w:w="1872"/>
          </w:tcPr>
          <w:p>
            <w:r>
              <w:rPr>
                <w:rFonts w:ascii="Times New Roman" w:hAnsi="Times New Roman"/>
                <w:b/>
                <w:i w:val="0"/>
                <w:sz w:val="18"/>
              </w:rPr>
              <w:t>Fusion (all)</w:t>
            </w:r>
          </w:p>
        </w:tc>
        <w:tc>
          <w:tcPr>
            <w:tcW w:type="dxa" w:w="1872"/>
          </w:tcPr>
          <w:p>
            <w:r>
              <w:rPr>
                <w:rFonts w:ascii="Times New Roman" w:hAnsi="Times New Roman"/>
                <w:b/>
                <w:i w:val="0"/>
                <w:sz w:val="18"/>
              </w:rPr>
              <w:t>0.85-0.90</w:t>
            </w:r>
          </w:p>
        </w:tc>
        <w:tc>
          <w:tcPr>
            <w:tcW w:type="dxa" w:w="1872"/>
          </w:tcPr>
          <w:p>
            <w:r>
              <w:rPr>
                <w:rFonts w:ascii="Times New Roman" w:hAnsi="Times New Roman"/>
                <w:b/>
                <w:i w:val="0"/>
                <w:sz w:val="18"/>
              </w:rPr>
              <w:t>0.75-0.85</w:t>
            </w:r>
          </w:p>
        </w:tc>
        <w:tc>
          <w:tcPr>
            <w:tcW w:type="dxa" w:w="1872"/>
          </w:tcPr>
          <w:p>
            <w:r>
              <w:rPr>
                <w:rFonts w:ascii="Times New Roman" w:hAnsi="Times New Roman"/>
                <w:b/>
                <w:i w:val="0"/>
                <w:sz w:val="18"/>
              </w:rPr>
              <w:t>0.80-0.90</w:t>
            </w:r>
          </w:p>
        </w:tc>
        <w:tc>
          <w:tcPr>
            <w:tcW w:type="dxa" w:w="1872"/>
          </w:tcPr>
          <w:p>
            <w:r>
              <w:rPr>
                <w:rFonts w:ascii="Times New Roman" w:hAnsi="Times New Roman"/>
                <w:b/>
                <w:i w:val="0"/>
                <w:sz w:val="18"/>
              </w:rPr>
              <w:t>Projected</w:t>
            </w:r>
          </w:p>
        </w:tc>
      </w:tr>
    </w:tbl>
    <w:p/>
    <w:p>
      <w:pPr>
        <w:spacing w:before="160" w:after="80"/>
        <w:jc w:val="left"/>
      </w:pPr>
      <w:r>
        <w:rPr>
          <w:rFonts w:ascii="Times New Roman" w:hAnsi="Times New Roman"/>
          <w:b/>
          <w:i w:val="0"/>
          <w:sz w:val="24"/>
        </w:rPr>
        <w:t>V. Discussion</w:t>
      </w:r>
    </w:p>
    <w:p>
      <w:pPr>
        <w:spacing w:before="160" w:after="80"/>
        <w:jc w:val="left"/>
      </w:pPr>
      <w:r>
        <w:rPr>
          <w:rFonts w:ascii="Times New Roman" w:hAnsi="Times New Roman"/>
          <w:b/>
          <w:i w:val="0"/>
          <w:sz w:val="22"/>
        </w:rPr>
        <w:t>A. Technical Challenges</w:t>
      </w:r>
    </w:p>
    <w:p>
      <w:pPr>
        <w:spacing w:after="120"/>
        <w:jc w:val="both"/>
      </w:pPr>
      <w:r>
        <w:rPr>
          <w:rFonts w:ascii="Times New Roman" w:hAnsi="Times New Roman"/>
          <w:b w:val="0"/>
          <w:i w:val="0"/>
          <w:sz w:val="20"/>
        </w:rPr>
        <w:t>PCOS manifests in multiple phenotypes—hyperandrogenic, metabolic, lean, and mixed—each with distinct biomarker profiles. Our Cross-Attention Fusion architecture addresses this by learning phenotype-dependent feature weighting. Endometriosis encompasses superficial peritoneal, ovarian endometrioma, and deep infiltrating subtypes with varying autonomic signatures. rPPG reliability degrades under low illumination (&lt;50 lux); our protocol mitigates this through standardized indoor capture with SQI-based quality filtering.</w:t>
      </w:r>
    </w:p>
    <w:p>
      <w:pPr>
        <w:spacing w:before="160" w:after="80"/>
        <w:jc w:val="left"/>
      </w:pPr>
      <w:r>
        <w:rPr>
          <w:rFonts w:ascii="Times New Roman" w:hAnsi="Times New Roman"/>
          <w:b/>
          <w:i w:val="0"/>
          <w:sz w:val="22"/>
        </w:rPr>
        <w:t>B. Women's Health Equity and Diagnostic Equity</w:t>
      </w:r>
    </w:p>
    <w:p>
      <w:pPr>
        <w:spacing w:after="120"/>
        <w:jc w:val="both"/>
      </w:pPr>
      <w:r>
        <w:rPr>
          <w:rFonts w:ascii="Times New Roman" w:hAnsi="Times New Roman"/>
          <w:b w:val="0"/>
          <w:i w:val="0"/>
          <w:sz w:val="20"/>
        </w:rPr>
        <w:t>The 7-10 year diagnostic delay for endometriosis represents a systemic failure in women's healthcare. Our framework directly addresses diagnostic equity by offering a population-level screening pathway requiring only a smartphone. rPPG accuracy degrades for darker skin tones (Fitzpatrick types V-VI); our protocol ensures mandatory Fitzpatrick type recording and targeted enrollment (≥20% types V-VI).</w:t>
      </w:r>
    </w:p>
    <w:p>
      <w:pPr>
        <w:spacing w:before="160" w:after="80"/>
        <w:jc w:val="left"/>
      </w:pPr>
      <w:r>
        <w:rPr>
          <w:rFonts w:ascii="Times New Roman" w:hAnsi="Times New Roman"/>
          <w:b/>
          <w:i w:val="0"/>
          <w:sz w:val="22"/>
        </w:rPr>
        <w:t>C. Privacy-by-Design Principles</w:t>
      </w:r>
    </w:p>
    <w:p>
      <w:pPr>
        <w:spacing w:after="120"/>
        <w:jc w:val="both"/>
      </w:pPr>
      <w:r>
        <w:rPr>
          <w:rFonts w:ascii="Times New Roman" w:hAnsi="Times New Roman"/>
          <w:b w:val="0"/>
          <w:i w:val="0"/>
          <w:sz w:val="20"/>
        </w:rPr>
        <w:t>Our framework implements a three-layer privacy architecture: (1) On-device processing—raw video deleted immediately after HRV computation; (2) Federated learning option for multi-institutional collaboration without raw data migration; (3) Regulatory compliance with GDPR, Korean PIPA, and HIPAA.</w:t>
      </w:r>
    </w:p>
    <w:p>
      <w:pPr>
        <w:spacing w:before="160" w:after="80"/>
        <w:jc w:val="left"/>
      </w:pPr>
      <w:r>
        <w:rPr>
          <w:rFonts w:ascii="Times New Roman" w:hAnsi="Times New Roman"/>
          <w:b/>
          <w:i w:val="0"/>
          <w:sz w:val="22"/>
        </w:rPr>
        <w:t>D. Limitations and Future Work</w:t>
      </w:r>
    </w:p>
    <w:p>
      <w:pPr>
        <w:spacing w:after="120"/>
        <w:jc w:val="both"/>
      </w:pPr>
      <w:r>
        <w:rPr>
          <w:rFonts w:ascii="Times New Roman" w:hAnsi="Times New Roman"/>
          <w:b w:val="0"/>
          <w:i w:val="0"/>
          <w:sz w:val="20"/>
        </w:rPr>
        <w:t>The projected fusion AUC of 0.80-0.90 remains unvalidated. The framework excludes PCOS-endometriosis comorbidity. Longitudinal compliance over multiple menstrual cycles may be challenging. Future work will encompass Phase I pilot execution, open-source rPPG-HRV toolkit development, and extension to adolescent populations.</w:t>
      </w:r>
    </w:p>
    <w:p>
      <w:pPr>
        <w:spacing w:before="160" w:after="80"/>
        <w:jc w:val="left"/>
      </w:pPr>
      <w:r>
        <w:rPr>
          <w:rFonts w:ascii="Times New Roman" w:hAnsi="Times New Roman"/>
          <w:b/>
          <w:i w:val="0"/>
          <w:sz w:val="24"/>
        </w:rPr>
        <w:t>VI. Conclusion</w:t>
      </w:r>
    </w:p>
    <w:p>
      <w:pPr>
        <w:spacing w:after="120"/>
        <w:jc w:val="both"/>
      </w:pPr>
      <w:r>
        <w:rPr>
          <w:rFonts w:ascii="Times New Roman" w:hAnsi="Times New Roman"/>
          <w:b w:val="0"/>
          <w:i w:val="0"/>
          <w:sz w:val="20"/>
        </w:rPr>
        <w:t>We have presented the first smartphone camera-based multimodal biomarker framework specifically designed for AI-driven prediction of PCOS and endometriosis. By synthesizing convergent evidence from three domains (rPPG-HRV autonomic sensing, AI-driven skin phenotype analysis, and digital menstrual cycle tracking), we identified four Tier 1 biomarkers with both strong clinical evidence and mature smartphone camera technology. Our proposed Cross-Attention Fusion architecture enables disease-specific feature interaction learning while gracefully handling missing modalities.</w:t>
      </w:r>
    </w:p>
    <w:p>
      <w:pPr>
        <w:spacing w:after="120"/>
        <w:jc w:val="both"/>
      </w:pPr>
      <w:r>
        <w:rPr>
          <w:rFonts w:ascii="Times New Roman" w:hAnsi="Times New Roman"/>
          <w:b w:val="0"/>
          <w:i w:val="0"/>
          <w:sz w:val="20"/>
        </w:rPr>
        <w:t>This work establishes smartphone camera-based multimodal biomarkers as a viable and scientifically grounded approach to non-invasive PCOS and endometriosis screening. Successful validation would represent a paradigm shift from episodic, facility-based diagnosis to continuous, patient-centered health monitoring, potentially transforming the landscape of women's reproductive healthcare.</w:t>
      </w:r>
    </w:p>
    <w:p/>
    <w:p>
      <w:pPr>
        <w:jc w:val="center"/>
      </w:pPr>
      <w:r>
        <w:t>────────────────────────────────────────────────────────────────────────────────</w:t>
      </w:r>
    </w:p>
    <w:p>
      <w:pPr>
        <w:jc w:val="center"/>
      </w:pPr>
      <w:r>
        <w:rPr>
          <w:rFonts w:ascii="Times New Roman" w:hAnsi="Times New Roman"/>
          <w:b/>
          <w:i w:val="0"/>
          <w:sz w:val="20"/>
        </w:rPr>
        <w:t>Version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18"/>
              </w:rPr>
              <w:t>Version</w:t>
            </w:r>
          </w:p>
        </w:tc>
        <w:tc>
          <w:tcPr>
            <w:tcW w:type="dxa" w:w="2340"/>
          </w:tcPr>
          <w:p>
            <w:r>
              <w:rPr>
                <w:rFonts w:ascii="Times New Roman" w:hAnsi="Times New Roman"/>
                <w:b/>
                <w:i w:val="0"/>
                <w:sz w:val="18"/>
              </w:rPr>
              <w:t>Date</w:t>
            </w:r>
          </w:p>
        </w:tc>
        <w:tc>
          <w:tcPr>
            <w:tcW w:type="dxa" w:w="2340"/>
          </w:tcPr>
          <w:p>
            <w:r>
              <w:rPr>
                <w:rFonts w:ascii="Times New Roman" w:hAnsi="Times New Roman"/>
                <w:b/>
                <w:i w:val="0"/>
                <w:sz w:val="18"/>
              </w:rPr>
              <w:t>Changed By</w:t>
            </w:r>
          </w:p>
        </w:tc>
        <w:tc>
          <w:tcPr>
            <w:tcW w:type="dxa" w:w="2340"/>
          </w:tcPr>
          <w:p>
            <w:r>
              <w:rPr>
                <w:rFonts w:ascii="Times New Roman" w:hAnsi="Times New Roman"/>
                <w:b/>
                <w:i w:val="0"/>
                <w:sz w:val="18"/>
              </w:rPr>
              <w:t>Change Description</w:t>
            </w:r>
          </w:p>
        </w:tc>
      </w:tr>
      <w:tr>
        <w:tc>
          <w:tcPr>
            <w:tcW w:type="dxa" w:w="2340"/>
          </w:tcPr>
          <w:p>
            <w:r>
              <w:rPr>
                <w:rFonts w:ascii="Times New Roman" w:hAnsi="Times New Roman"/>
                <w:b w:val="0"/>
                <w:i w:val="0"/>
                <w:sz w:val="18"/>
              </w:rPr>
              <w:t>v1.0</w:t>
            </w:r>
          </w:p>
        </w:tc>
        <w:tc>
          <w:tcPr>
            <w:tcW w:type="dxa" w:w="2340"/>
          </w:tcPr>
          <w:p>
            <w:r>
              <w:rPr>
                <w:rFonts w:ascii="Times New Roman" w:hAnsi="Times New Roman"/>
                <w:b w:val="0"/>
                <w:i w:val="0"/>
                <w:sz w:val="18"/>
              </w:rPr>
              <w:t>2026-04-12</w:t>
            </w:r>
          </w:p>
        </w:tc>
        <w:tc>
          <w:tcPr>
            <w:tcW w:type="dxa" w:w="2340"/>
          </w:tcPr>
          <w:p>
            <w:r>
              <w:rPr>
                <w:rFonts w:ascii="Times New Roman" w:hAnsi="Times New Roman"/>
                <w:b w:val="0"/>
                <w:i w:val="0"/>
                <w:sz w:val="18"/>
              </w:rPr>
              <w:t>-</w:t>
            </w:r>
          </w:p>
        </w:tc>
        <w:tc>
          <w:tcPr>
            <w:tcW w:type="dxa" w:w="2340"/>
          </w:tcPr>
          <w:p>
            <w:r>
              <w:rPr>
                <w:rFonts w:ascii="Times New Roman" w:hAnsi="Times New Roman"/>
                <w:b w:val="0"/>
                <w:i w:val="0"/>
                <w:sz w:val="18"/>
              </w:rPr>
              <w:t>Initial submission (Anonymous Authors)</w:t>
            </w:r>
          </w:p>
        </w:tc>
      </w:tr>
      <w:tr>
        <w:tc>
          <w:tcPr>
            <w:tcW w:type="dxa" w:w="2340"/>
          </w:tcPr>
          <w:p>
            <w:r>
              <w:rPr>
                <w:rFonts w:ascii="Times New Roman" w:hAnsi="Times New Roman"/>
                <w:b w:val="0"/>
                <w:i w:val="0"/>
                <w:sz w:val="18"/>
              </w:rPr>
              <w:t>v1.1</w:t>
            </w:r>
          </w:p>
        </w:tc>
        <w:tc>
          <w:tcPr>
            <w:tcW w:type="dxa" w:w="2340"/>
          </w:tcPr>
          <w:p>
            <w:r>
              <w:rPr>
                <w:rFonts w:ascii="Times New Roman" w:hAnsi="Times New Roman"/>
                <w:b w:val="0"/>
                <w:i w:val="0"/>
                <w:sz w:val="18"/>
              </w:rPr>
              <w:t>2026-04-12</w:t>
            </w:r>
          </w:p>
        </w:tc>
        <w:tc>
          <w:tcPr>
            <w:tcW w:type="dxa" w:w="2340"/>
          </w:tcPr>
          <w:p>
            <w:r>
              <w:rPr>
                <w:rFonts w:ascii="Times New Roman" w:hAnsi="Times New Roman"/>
                <w:b w:val="0"/>
                <w:i w:val="0"/>
                <w:sz w:val="18"/>
              </w:rPr>
              <w:t>-</w:t>
            </w:r>
          </w:p>
        </w:tc>
        <w:tc>
          <w:tcPr>
            <w:tcW w:type="dxa" w:w="2340"/>
          </w:tcPr>
          <w:p>
            <w:r>
              <w:rPr>
                <w:rFonts w:ascii="Times New Roman" w:hAnsi="Times New Roman"/>
                <w:b w:val="0"/>
                <w:i w:val="0"/>
                <w:sz w:val="18"/>
              </w:rPr>
              <w:t>Added tikz figures</w:t>
            </w:r>
          </w:p>
        </w:tc>
      </w:tr>
      <w:tr>
        <w:tc>
          <w:tcPr>
            <w:tcW w:type="dxa" w:w="2340"/>
          </w:tcPr>
          <w:p>
            <w:r>
              <w:rPr>
                <w:rFonts w:ascii="Times New Roman" w:hAnsi="Times New Roman"/>
                <w:b w:val="0"/>
                <w:i w:val="0"/>
                <w:sz w:val="18"/>
              </w:rPr>
              <w:t>v1.2</w:t>
            </w:r>
          </w:p>
        </w:tc>
        <w:tc>
          <w:tcPr>
            <w:tcW w:type="dxa" w:w="2340"/>
          </w:tcPr>
          <w:p>
            <w:r>
              <w:rPr>
                <w:rFonts w:ascii="Times New Roman" w:hAnsi="Times New Roman"/>
                <w:b w:val="0"/>
                <w:i w:val="0"/>
                <w:sz w:val="18"/>
              </w:rPr>
              <w:t>2026-04-16</w:t>
            </w:r>
          </w:p>
        </w:tc>
        <w:tc>
          <w:tcPr>
            <w:tcW w:type="dxa" w:w="2340"/>
          </w:tcPr>
          <w:p>
            <w:r>
              <w:rPr>
                <w:rFonts w:ascii="Times New Roman" w:hAnsi="Times New Roman"/>
                <w:b w:val="0"/>
                <w:i w:val="0"/>
                <w:sz w:val="18"/>
              </w:rPr>
              <w:t>신홍철 / Hongchul Shin</w:t>
            </w:r>
          </w:p>
        </w:tc>
        <w:tc>
          <w:tcPr>
            <w:tcW w:type="dxa" w:w="2340"/>
          </w:tcPr>
          <w:p>
            <w:r>
              <w:rPr>
                <w:rFonts w:ascii="Times New Roman" w:hAnsi="Times New Roman"/>
                <w:b w:val="0"/>
                <w:i w:val="0"/>
                <w:sz w:val="18"/>
              </w:rPr>
              <w:t>Updated author info: 신홍철 (Hongchul Shin), UST, neohc@ust.ac.kr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