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转账规则</w:t>
      </w:r>
    </w:p>
    <w:p>
      <w:pPr>
        <w:pStyle w:val="Heading2"/>
      </w:pPr>
      <w:r>
        <w:t>第一节 申请材料</w:t>
      </w:r>
    </w:p>
    <w:p>
      <w:pPr>
        <w:keepNext/>
      </w:pPr>
      <w:r>
        <w:t>办理转账前请核对以下材料。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EEF3"/>
          </w:tcPr>
          <w:p>
            <w:pPr>
              <w:spacing w:after="0" w:line="288" w:lineRule="auto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792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EEF3"/>
          </w:tcPr>
          <w:p>
            <w:pPr>
              <w:spacing w:after="0" w:line="288" w:lineRule="auto"/>
              <w:jc w:val="left"/>
            </w:pPr>
            <w:r>
              <w:rPr>
                <w:b/>
              </w:rPr>
              <w:t>材料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b w:val="0"/>
              </w:rPr>
              <w:t>001</w:t>
            </w:r>
          </w:p>
        </w:tc>
        <w:tc>
          <w:tcPr>
            <w:tcW w:type="dxa" w:w="792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b w:val="0"/>
              </w:rPr>
              <w:t>有效身份证件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b w:val="0"/>
              </w:rPr>
              <w:t>002</w:t>
            </w:r>
          </w:p>
        </w:tc>
        <w:tc>
          <w:tcPr>
            <w:tcW w:type="dxa" w:w="792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b w:val="0"/>
              </w:rPr>
              <w:t>资金用途说明</w:t>
            </w:r>
          </w:p>
        </w:tc>
      </w:tr>
    </w:tbl>
    <w:p>
      <w:pPr>
        <w:spacing w:before="240"/>
      </w:pPr>
      <w:r>
        <w:t>材料不完整时，应先补充材料。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00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0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转账申请材料测试样例</dc:title>
  <dc:subject/>
  <dc:creator>My_Rag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