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650F6">
      <w:pPr>
        <w:jc w:val="center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5528310</wp:posOffset>
                </wp:positionH>
                <wp:positionV relativeFrom="paragraph">
                  <wp:posOffset>-786765</wp:posOffset>
                </wp:positionV>
                <wp:extent cx="711835" cy="509905"/>
                <wp:effectExtent l="0" t="0" r="0" b="0"/>
                <wp:wrapNone/>
                <wp:docPr id="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032" cy="5096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233CF5">
                            <w:pPr>
                              <w:pStyle w:val="4"/>
                              <w:spacing w:before="0" w:beforeAutospacing="0" w:after="0" w:afterAutospacing="0" w:line="320" w:lineRule="exact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/>
                                <w:kern w:val="24"/>
                                <w:sz w:val="28"/>
                                <w:szCs w:val="36"/>
                              </w:rPr>
                              <w:t>CI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B050"/>
                                <w:kern w:val="24"/>
                                <w:sz w:val="28"/>
                                <w:szCs w:val="3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/>
                                <w:kern w:val="24"/>
                                <w:sz w:val="28"/>
                                <w:szCs w:val="36"/>
                              </w:rPr>
                              <w:t>C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/>
                                <w:kern w:val="24"/>
                                <w:sz w:val="20"/>
                              </w:rPr>
                              <w:t>中工数科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35.3pt;margin-top:-61.95pt;height:40.15pt;width:56.05pt;z-index:251659264;mso-width-relative:page;mso-height-relative:page;" filled="f" stroked="f" coordsize="21600,21600" o:gfxdata="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/lcPraAAAADAEA&#10;AA8AAAAAAAAAAQAgAAAAIgAAAGRycy9kb3ducmV2LnhtbFBLAQIUABQAAAAIAIdO4kBCpxi53wEA&#10;AKcDAAAOAAAAAAAAAAEAIAAAACkBAABkcnMvZTJvRG9jLnhtbFBLBQYAAAAABgAGAFkBAAB6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2233CF5">
                      <w:pPr>
                        <w:pStyle w:val="4"/>
                        <w:spacing w:before="0" w:beforeAutospacing="0" w:after="0" w:afterAutospacing="0" w:line="320" w:lineRule="exact"/>
                        <w:jc w:val="center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/>
                          <w:kern w:val="24"/>
                          <w:sz w:val="28"/>
                          <w:szCs w:val="36"/>
                        </w:rPr>
                        <w:t>CI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B050"/>
                          <w:kern w:val="24"/>
                          <w:sz w:val="28"/>
                          <w:szCs w:val="36"/>
                          <w:u w:val="single"/>
                        </w:rPr>
                        <w:t>D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/>
                          <w:kern w:val="24"/>
                          <w:sz w:val="28"/>
                          <w:szCs w:val="36"/>
                        </w:rPr>
                        <w:t>C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/>
                          <w:kern w:val="24"/>
                          <w:sz w:val="20"/>
                        </w:rPr>
                        <w:t>中工数科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sz w:val="24"/>
        </w:rPr>
        <w:t>会议纪要</w:t>
      </w:r>
    </w:p>
    <w:p w14:paraId="740CC5A1">
      <w:pPr>
        <w:jc w:val="center"/>
        <w:rPr>
          <w:b/>
          <w:sz w:val="22"/>
        </w:rPr>
      </w:pPr>
    </w:p>
    <w:p w14:paraId="2906B0A5">
      <w:pPr>
        <w:rPr>
          <w:rFonts w:hint="default" w:eastAsiaTheme="minorEastAsia"/>
          <w:b/>
          <w:sz w:val="22"/>
          <w:lang w:val="en-US" w:eastAsia="zh-CN"/>
        </w:rPr>
      </w:pPr>
      <w:r>
        <w:rPr>
          <w:rFonts w:hint="eastAsia"/>
          <w:sz w:val="22"/>
        </w:rPr>
        <w:t xml:space="preserve">主 </w:t>
      </w:r>
      <w:r>
        <w:rPr>
          <w:sz w:val="22"/>
        </w:rPr>
        <w:t xml:space="preserve">   </w:t>
      </w:r>
      <w:r>
        <w:rPr>
          <w:rFonts w:hint="eastAsia"/>
          <w:sz w:val="22"/>
        </w:rPr>
        <w:t>题：</w:t>
      </w:r>
      <w:r>
        <w:rPr>
          <w:rFonts w:hint="eastAsia"/>
          <w:b/>
          <w:sz w:val="22"/>
          <w:lang w:val="en-US" w:eastAsia="zh-CN"/>
        </w:rPr>
        <w:t>南方科技加热炉数字化项目需求沟通会议</w:t>
      </w:r>
    </w:p>
    <w:p w14:paraId="00B366DD">
      <w:pPr>
        <w:ind w:left="-2" w:leftChars="-1"/>
        <w:rPr>
          <w:sz w:val="22"/>
        </w:rPr>
      </w:pPr>
      <w:r>
        <w:rPr>
          <w:rFonts w:hint="eastAsia"/>
          <w:sz w:val="22"/>
        </w:rPr>
        <w:t xml:space="preserve">时 </w:t>
      </w:r>
      <w:r>
        <w:rPr>
          <w:sz w:val="22"/>
        </w:rPr>
        <w:t xml:space="preserve">   </w:t>
      </w:r>
      <w:r>
        <w:rPr>
          <w:rFonts w:hint="eastAsia"/>
          <w:sz w:val="22"/>
        </w:rPr>
        <w:t>间：</w:t>
      </w:r>
      <w:r>
        <w:t>1</w:t>
      </w:r>
      <w:r>
        <w:rPr>
          <w:rFonts w:hint="eastAsia"/>
          <w:lang w:val="en-US" w:eastAsia="zh-CN"/>
        </w:rPr>
        <w:t>3</w:t>
      </w:r>
      <w:r>
        <w:t>:</w:t>
      </w:r>
      <w:r>
        <w:rPr>
          <w:rFonts w:hint="eastAsia"/>
          <w:lang w:val="en-US" w:eastAsia="zh-CN"/>
        </w:rPr>
        <w:t>3</w:t>
      </w:r>
      <w:r>
        <w:t xml:space="preserve">0 – </w:t>
      </w:r>
      <w:r>
        <w:rPr>
          <w:rFonts w:hint="eastAsia"/>
        </w:rPr>
        <w:t>1</w:t>
      </w:r>
      <w:r>
        <w:t>5:00</w:t>
      </w:r>
      <w:r>
        <w:rPr>
          <w:rFonts w:hint="eastAsia"/>
        </w:rPr>
        <w:t xml:space="preserve">； </w:t>
      </w:r>
      <w:r>
        <w:t>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年</w:t>
      </w:r>
      <w:r>
        <w:t>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28</w:t>
      </w:r>
      <w:r>
        <w:rPr>
          <w:rFonts w:hint="eastAsia"/>
        </w:rPr>
        <w:t>日（星期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）</w:t>
      </w:r>
    </w:p>
    <w:p w14:paraId="76AAD4DB">
      <w:pPr>
        <w:ind w:left="-2" w:leftChars="-1"/>
        <w:rPr>
          <w:sz w:val="22"/>
        </w:rPr>
      </w:pPr>
      <w:r>
        <w:rPr>
          <w:rFonts w:hint="eastAsia"/>
          <w:sz w:val="22"/>
        </w:rPr>
        <w:t>参会人员：</w:t>
      </w:r>
      <w:r>
        <w:rPr>
          <w:rFonts w:hint="eastAsia"/>
          <w:sz w:val="22"/>
          <w:lang w:val="en-US" w:eastAsia="zh-CN"/>
        </w:rPr>
        <w:t>南方润滑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  <w:lang w:val="en-US" w:eastAsia="zh-CN"/>
        </w:rPr>
        <w:t>海峰总</w:t>
      </w:r>
      <w:r>
        <w:rPr>
          <w:rFonts w:hint="eastAsia"/>
          <w:sz w:val="22"/>
        </w:rPr>
        <w:t>，</w:t>
      </w:r>
      <w:r>
        <w:rPr>
          <w:rFonts w:hint="eastAsia"/>
          <w:sz w:val="22"/>
          <w:lang w:val="en-US" w:eastAsia="zh-CN"/>
        </w:rPr>
        <w:t>郁小伟</w:t>
      </w:r>
      <w:r>
        <w:rPr>
          <w:rFonts w:hint="eastAsia"/>
          <w:sz w:val="22"/>
        </w:rPr>
        <w:t>，</w:t>
      </w:r>
      <w:r>
        <w:rPr>
          <w:rFonts w:hint="eastAsia"/>
          <w:sz w:val="22"/>
          <w:lang w:val="en-US" w:eastAsia="zh-CN"/>
        </w:rPr>
        <w:t>潘杰</w:t>
      </w:r>
    </w:p>
    <w:p w14:paraId="6A9279C4">
      <w:pPr>
        <w:ind w:left="-2" w:leftChars="-1"/>
        <w:rPr>
          <w:rFonts w:hint="default" w:eastAsiaTheme="minorEastAsia"/>
          <w:sz w:val="22"/>
          <w:lang w:val="en-US" w:eastAsia="zh-CN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        </w:t>
      </w:r>
      <w:r>
        <w:rPr>
          <w:rFonts w:hint="eastAsia"/>
          <w:sz w:val="22"/>
        </w:rPr>
        <w:t>中工数字：</w:t>
      </w:r>
      <w:r>
        <w:rPr>
          <w:rFonts w:hint="eastAsia"/>
          <w:sz w:val="22"/>
          <w:lang w:val="en-US" w:eastAsia="zh-CN"/>
        </w:rPr>
        <w:t>霍总，王华阳，程振兴</w:t>
      </w:r>
    </w:p>
    <w:p w14:paraId="5F1E031C">
      <w:pPr>
        <w:ind w:left="-2" w:leftChars="-1"/>
        <w:rPr>
          <w:sz w:val="22"/>
        </w:rPr>
      </w:pPr>
      <w:r>
        <w:rPr>
          <w:rFonts w:hint="eastAsia"/>
          <w:sz w:val="22"/>
        </w:rPr>
        <w:t xml:space="preserve">地 </w:t>
      </w:r>
      <w:r>
        <w:rPr>
          <w:sz w:val="22"/>
        </w:rPr>
        <w:t xml:space="preserve">   </w:t>
      </w:r>
      <w:r>
        <w:rPr>
          <w:rFonts w:hint="eastAsia"/>
          <w:sz w:val="22"/>
        </w:rPr>
        <w:t>点：</w:t>
      </w:r>
      <w:r>
        <w:rPr>
          <w:rFonts w:hint="eastAsia"/>
        </w:rPr>
        <w:t>线上会议（腾讯会议）</w:t>
      </w:r>
    </w:p>
    <w:p w14:paraId="1D6A2BDB">
      <w:pPr>
        <w:ind w:left="-2" w:leftChars="-1"/>
        <w:rPr>
          <w:sz w:val="22"/>
        </w:rPr>
      </w:pPr>
      <w:r>
        <w:rPr>
          <w:rFonts w:hint="eastAsia"/>
          <w:sz w:val="22"/>
        </w:rPr>
        <w:t>主 持 人：</w:t>
      </w:r>
      <w:r>
        <w:rPr>
          <w:rFonts w:hint="eastAsia"/>
          <w:sz w:val="22"/>
          <w:lang w:val="en-US" w:eastAsia="zh-CN"/>
        </w:rPr>
        <w:t>郁小伟</w:t>
      </w:r>
    </w:p>
    <w:p w14:paraId="0D212C81">
      <w:pPr>
        <w:ind w:left="-2" w:leftChars="-1"/>
        <w:rPr>
          <w:sz w:val="22"/>
        </w:rPr>
      </w:pPr>
    </w:p>
    <w:p w14:paraId="4CB51054">
      <w:pPr>
        <w:pStyle w:val="9"/>
        <w:numPr>
          <w:ilvl w:val="0"/>
          <w:numId w:val="1"/>
        </w:numPr>
        <w:ind w:firstLineChars="0"/>
        <w:rPr>
          <w:b/>
          <w:sz w:val="22"/>
          <w:u w:val="single"/>
        </w:rPr>
      </w:pPr>
      <w:r>
        <w:rPr>
          <w:rFonts w:hint="eastAsia"/>
          <w:b/>
          <w:sz w:val="22"/>
          <w:u w:val="single"/>
        </w:rPr>
        <w:t>会议内容：</w:t>
      </w:r>
    </w:p>
    <w:p w14:paraId="59403A95">
      <w:pPr>
        <w:rPr>
          <w:b/>
          <w:sz w:val="22"/>
          <w:u w:val="single"/>
        </w:rPr>
      </w:pPr>
    </w:p>
    <w:tbl>
      <w:tblPr>
        <w:tblStyle w:val="5"/>
        <w:tblW w:w="9214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14"/>
      </w:tblGrid>
      <w:tr w14:paraId="788169BD">
        <w:trPr>
          <w:trHeight w:val="276" w:hRule="atLeast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145EB1">
            <w:pPr>
              <w:ind w:left="-2" w:leftChars="-1"/>
              <w:rPr>
                <w:rFonts w:hint="default" w:ascii="等线" w:hAnsi="等线" w:cs="宋体" w:eastAsiaTheme="minorEastAsia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/>
                <w:sz w:val="22"/>
              </w:rPr>
              <w:t>一、</w:t>
            </w:r>
            <w:r>
              <w:rPr>
                <w:rFonts w:hint="eastAsia"/>
                <w:b/>
                <w:sz w:val="22"/>
                <w:lang w:val="en-US" w:eastAsia="zh-CN"/>
              </w:rPr>
              <w:t>会议议程</w:t>
            </w:r>
          </w:p>
        </w:tc>
      </w:tr>
      <w:tr w14:paraId="5D12BE97">
        <w:trPr>
          <w:trHeight w:val="276" w:hRule="atLeast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2CAEA8">
            <w:pPr>
              <w:pStyle w:val="9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  <w:lang w:val="en-US" w:eastAsia="zh-CN"/>
              </w:rPr>
              <w:t>海峰总详细介绍了轧钢线加热炉目前业务情况以及现状痛点，提出对加热炉数字化项目的需求和功能期望；</w:t>
            </w:r>
          </w:p>
          <w:p w14:paraId="4B6ECF72">
            <w:pPr>
              <w:pStyle w:val="9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  <w:lang w:val="en-US" w:eastAsia="zh-CN"/>
              </w:rPr>
              <w:t>中工和南方科技双方就该数字化项目的功能、范围做了充分的探讨和沟通；</w:t>
            </w:r>
          </w:p>
          <w:p w14:paraId="1B02865E">
            <w:pPr>
              <w:pStyle w:val="9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  <w:lang w:val="en-US" w:eastAsia="zh-CN"/>
              </w:rPr>
              <w:t>形成下一步行动计划。</w:t>
            </w:r>
          </w:p>
          <w:p w14:paraId="3026D6F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8BF0BD7">
        <w:trPr>
          <w:trHeight w:val="276" w:hRule="atLeast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3E9D25">
            <w:pPr>
              <w:ind w:left="-2" w:leftChars="-1"/>
              <w:rPr>
                <w:rFonts w:hint="default" w:eastAsiaTheme="minorEastAsia"/>
                <w:b/>
                <w:sz w:val="22"/>
                <w:lang w:val="en-US" w:eastAsia="zh-CN"/>
              </w:rPr>
            </w:pPr>
            <w:r>
              <w:rPr>
                <w:rFonts w:hint="eastAsia"/>
                <w:b/>
                <w:sz w:val="22"/>
              </w:rPr>
              <w:t>二、会议</w:t>
            </w:r>
            <w:r>
              <w:rPr>
                <w:rFonts w:hint="eastAsia"/>
                <w:b/>
                <w:sz w:val="22"/>
                <w:lang w:val="en-US" w:eastAsia="zh-CN"/>
              </w:rPr>
              <w:t>内容详细记录</w:t>
            </w:r>
          </w:p>
          <w:p w14:paraId="33268B6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CCF9C13">
        <w:trPr>
          <w:trHeight w:val="276" w:hRule="atLeast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3CD84E">
            <w:pPr>
              <w:pStyle w:val="9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产品目标：</w:t>
            </w:r>
          </w:p>
          <w:p w14:paraId="0BF43849">
            <w:pPr>
              <w:pStyle w:val="9"/>
              <w:widowControl/>
              <w:numPr>
                <w:numId w:val="0"/>
              </w:numPr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旨在通过数字化手段解决当前数据获取滞后、准确性差的问题，打通连铸到轧钢的全流程数据，实现设备、能源、生产排程的智能化管理与优化。</w:t>
            </w:r>
          </w:p>
          <w:p w14:paraId="03FE3803">
            <w:pPr>
              <w:pStyle w:val="9"/>
              <w:widowControl/>
              <w:numPr>
                <w:numId w:val="0"/>
              </w:numPr>
              <w:ind w:leftChars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  <w:p w14:paraId="0665C3C9">
            <w:pPr>
              <w:pStyle w:val="9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产品内容详细总结：</w:t>
            </w:r>
          </w:p>
          <w:p w14:paraId="3AF907DA">
            <w:pPr>
              <w:pStyle w:val="9"/>
              <w:widowControl/>
              <w:numPr>
                <w:ilvl w:val="1"/>
                <w:numId w:val="3"/>
              </w:numPr>
              <w:ind w:left="840" w:leftChars="0" w:hanging="420" w:firstLineChars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现状痛点与数据基础</w:t>
            </w:r>
          </w:p>
          <w:p w14:paraId="7A39675A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数据获取痛点：目前依赖从业主方人工获取报表，存在时效性差、效率低、数据准确性不足的问题。</w:t>
            </w:r>
          </w:p>
          <w:p w14:paraId="6C3122C7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数据采集方案：平台需直接对接底层数据源，包括 PLC 数据及集控中心数据，以确保数据的实时性和准确性。</w:t>
            </w:r>
          </w:p>
          <w:p w14:paraId="5C09DE9D">
            <w:pPr>
              <w:pStyle w:val="9"/>
              <w:widowControl/>
              <w:numPr>
                <w:ilvl w:val="1"/>
                <w:numId w:val="3"/>
              </w:numPr>
              <w:ind w:left="840" w:leftChars="0" w:hanging="420" w:firstLineChars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生产物流与全流程跟踪</w:t>
            </w:r>
          </w:p>
          <w:p w14:paraId="17189AC9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上下游衔接（能源管家视角）：</w:t>
            </w:r>
          </w:p>
          <w:p w14:paraId="28EE3DA6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实现从连铸到轧钢的全程物流跟踪。</w:t>
            </w:r>
          </w:p>
          <w:p w14:paraId="0A40FD83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解决上下游生产不同步导致的“多对多”匹配难题。</w:t>
            </w:r>
          </w:p>
          <w:p w14:paraId="1164146D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重点实现批号跟踪，确保连铸坯与轧钢成品的流转信息精准匹配。</w:t>
            </w:r>
          </w:p>
          <w:p w14:paraId="684FBF6E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日常报表：系统需自动生成每座加热炉的每日生产情况报表。</w:t>
            </w:r>
          </w:p>
          <w:p w14:paraId="5D405D11">
            <w:pPr>
              <w:pStyle w:val="9"/>
              <w:widowControl/>
              <w:numPr>
                <w:ilvl w:val="1"/>
                <w:numId w:val="3"/>
              </w:numPr>
              <w:ind w:left="840" w:leftChars="0" w:hanging="420" w:firstLineChars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计划排程与工艺优化</w:t>
            </w:r>
          </w:p>
          <w:p w14:paraId="1F93F87B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智能排程：</w:t>
            </w:r>
          </w:p>
          <w:p w14:paraId="196AF87D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针对不同规格产品的切换，统计并分析消耗时间。</w:t>
            </w:r>
          </w:p>
          <w:p w14:paraId="7EE57106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通过优化排程，减少换辊时间，加强各工序间的衔接效率。</w:t>
            </w:r>
          </w:p>
          <w:p w14:paraId="52D60245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换料影响分析：监控并分析各种换料操作对加热炉整体运行的影响。</w:t>
            </w:r>
          </w:p>
          <w:p w14:paraId="22BA1B47">
            <w:pPr>
              <w:pStyle w:val="9"/>
              <w:widowControl/>
              <w:numPr>
                <w:ilvl w:val="1"/>
                <w:numId w:val="3"/>
              </w:numPr>
              <w:ind w:left="840" w:leftChars="0" w:hanging="420" w:firstLineChars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多维度分析与能效管理</w:t>
            </w:r>
          </w:p>
          <w:p w14:paraId="7A9194E7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多维分析指标：围绕产量、热炉温度、能耗指标等维度建立分析模型。</w:t>
            </w:r>
          </w:p>
          <w:p w14:paraId="7F9DCE41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能耗与效率：</w:t>
            </w:r>
          </w:p>
          <w:p w14:paraId="797FE8C1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以降低能耗为目标，结合排程优化（如减少空烧）。</w:t>
            </w:r>
          </w:p>
          <w:p w14:paraId="54739E4F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响应“双碳”政策，纳入碳排放相关管理。</w:t>
            </w:r>
          </w:p>
          <w:p w14:paraId="19C2BCC1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综合评估：从设备、性能、能源、产量、质量五个角度对加热炉进行全方位画像。</w:t>
            </w:r>
          </w:p>
          <w:p w14:paraId="3A7F5FEB">
            <w:pPr>
              <w:pStyle w:val="9"/>
              <w:widowControl/>
              <w:numPr>
                <w:ilvl w:val="1"/>
                <w:numId w:val="3"/>
              </w:numPr>
              <w:ind w:left="840" w:leftChars="0" w:hanging="420" w:firstLineChars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设备全生命周期管理（数字化运维）</w:t>
            </w:r>
          </w:p>
          <w:p w14:paraId="2E182C21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设备管理逻辑：将现场项目部的点巡检、PM（预防性维护）运维业务线上化，利用数字化手段管理设备。</w:t>
            </w:r>
          </w:p>
          <w:p w14:paraId="1143BA5B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状态监测：分析设备运行效率，监测设备性能是否出现衰减。</w:t>
            </w:r>
          </w:p>
          <w:p w14:paraId="0FFCF7C5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检修支持：</w:t>
            </w:r>
          </w:p>
          <w:p w14:paraId="13B04A08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提供检修范围界定及检修计划生成功能。</w:t>
            </w:r>
          </w:p>
          <w:p w14:paraId="09D70962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集成各类运维“小工具”以辅助日常工作。</w:t>
            </w:r>
          </w:p>
          <w:p w14:paraId="7182D2B7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提供专家在线功能，支持远程诊断与技术支持。</w:t>
            </w:r>
          </w:p>
          <w:p w14:paraId="344FC9CC">
            <w:pPr>
              <w:pStyle w:val="9"/>
              <w:widowControl/>
              <w:numPr>
                <w:ilvl w:val="1"/>
                <w:numId w:val="3"/>
              </w:numPr>
              <w:ind w:left="840" w:leftChars="0" w:hanging="420" w:firstLineChars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安全与智能化应用</w:t>
            </w:r>
          </w:p>
          <w:p w14:paraId="763D7AF0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视觉识别安全：利用视觉识别技术进行现场安全监控，提供实时提示和报警。</w:t>
            </w:r>
          </w:p>
          <w:p w14:paraId="3EA143C3">
            <w:pPr>
              <w:pStyle w:val="9"/>
              <w:widowControl/>
              <w:numPr>
                <w:ilvl w:val="0"/>
                <w:numId w:val="0"/>
              </w:numPr>
              <w:ind w:leftChars="3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工艺安全：确保加热与轧制过程符合工艺安全规范。</w:t>
            </w:r>
          </w:p>
          <w:p w14:paraId="6898F417">
            <w:pPr>
              <w:pStyle w:val="9"/>
              <w:widowControl/>
              <w:numPr>
                <w:numId w:val="0"/>
              </w:numPr>
              <w:ind w:leftChars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  <w:p w14:paraId="46881FBC">
            <w:pPr>
              <w:pStyle w:val="9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总结建议：</w:t>
            </w:r>
          </w:p>
          <w:p w14:paraId="6533B1EA">
            <w:pPr>
              <w:pStyle w:val="9"/>
              <w:widowControl/>
              <w:numPr>
                <w:ilvl w:val="0"/>
                <w:numId w:val="0"/>
              </w:numPr>
              <w:ind w:leftChars="100"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该平台不仅仅是一个数据展示系统，更是一个集生产协同（连铸-轧钢）、能效优化、设备全生命周期管理及安全防控于一体的综合管控平台。</w:t>
            </w:r>
          </w:p>
          <w:p w14:paraId="359AF5AC">
            <w:pPr>
              <w:pStyle w:val="9"/>
              <w:widowControl/>
              <w:numPr>
                <w:ilvl w:val="0"/>
                <w:numId w:val="0"/>
              </w:numPr>
              <w:ind w:leftChars="100"/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后续开发重点应放在打通底层PLC数据链路、构建复杂的物流匹配算法以及开发针对性的能耗与设备分析模型上。</w:t>
            </w:r>
            <w:bookmarkStart w:id="0" w:name="_GoBack"/>
            <w:bookmarkEnd w:id="0"/>
          </w:p>
          <w:p w14:paraId="18E02370">
            <w:pPr>
              <w:ind w:left="-2" w:leftChars="-1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  <w:p w14:paraId="77B27982">
            <w:pPr>
              <w:ind w:left="-2" w:leftChars="-1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  <w:p w14:paraId="04362900">
            <w:pPr>
              <w:ind w:left="-2" w:leftChars="-1"/>
              <w:rPr>
                <w:rFonts w:hint="default" w:ascii="等线" w:hAnsi="等线" w:cs="宋体" w:eastAsiaTheme="minorEastAsia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/>
                <w:sz w:val="22"/>
              </w:rPr>
              <w:t>三、</w:t>
            </w:r>
            <w:r>
              <w:rPr>
                <w:rFonts w:hint="eastAsia"/>
                <w:b/>
                <w:sz w:val="22"/>
                <w:lang w:val="en-US" w:eastAsia="zh-CN"/>
              </w:rPr>
              <w:t>会议决议</w:t>
            </w:r>
          </w:p>
        </w:tc>
      </w:tr>
      <w:tr w14:paraId="3B421393">
        <w:trPr>
          <w:trHeight w:val="276" w:hRule="atLeast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9E4175">
            <w:pPr>
              <w:pStyle w:val="9"/>
              <w:widowControl/>
              <w:numPr>
                <w:numId w:val="0"/>
              </w:numPr>
              <w:ind w:leftChars="0"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  <w:lang w:val="en-US" w:eastAsia="zh-CN"/>
              </w:rPr>
              <w:t>选择晋南钢铁的型4轧钢线进行现场调研，在充分摸清情况的基础上进行详细的方案设计和产品设计</w:t>
            </w:r>
          </w:p>
        </w:tc>
      </w:tr>
    </w:tbl>
    <w:p w14:paraId="443B9F6F">
      <w:pPr>
        <w:widowControl/>
        <w:jc w:val="left"/>
        <w:rPr>
          <w:rFonts w:ascii="等线" w:hAnsi="等线" w:eastAsia="等线" w:cs="宋体"/>
          <w:color w:val="000000"/>
          <w:kern w:val="0"/>
          <w:sz w:val="22"/>
          <w:szCs w:val="22"/>
        </w:rPr>
      </w:pPr>
    </w:p>
    <w:sectPr>
      <w:headerReference r:id="rId3" w:type="default"/>
      <w:footerReference r:id="rId4" w:type="default"/>
      <w:pgSz w:w="11900" w:h="16840"/>
      <w:pgMar w:top="1440" w:right="1312" w:bottom="1440" w:left="1374" w:header="851" w:footer="20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0000000000000"/>
    <w:charset w:val="86"/>
    <w:family w:val="swiss"/>
    <w:pitch w:val="default"/>
    <w:sig w:usb0="B00002F7" w:usb1="2BDFFC7A" w:usb2="04000016" w:usb3="00000000" w:csb0="60100105" w:csb1="D3D6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EDE47">
    <w:pPr>
      <w:pStyle w:val="2"/>
      <w:jc w:val="center"/>
      <w:rPr>
        <w:b/>
        <w:color w:val="4472C4" w:themeColor="accent1"/>
        <w:sz w:val="16"/>
        <w14:textFill>
          <w14:solidFill>
            <w14:schemeClr w14:val="accent1"/>
          </w14:solidFill>
        </w14:textFill>
      </w:rPr>
    </w:pPr>
    <w:r>
      <w:rPr>
        <w:b/>
        <w:color w:val="4472C4" w:themeColor="accent1"/>
        <w:sz w:val="16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b/>
        <w:color w:val="4472C4" w:themeColor="accent1"/>
        <w:sz w:val="16"/>
        <w14:textFill>
          <w14:solidFill>
            <w14:schemeClr w14:val="accent1"/>
          </w14:solidFill>
        </w14:textFill>
      </w:rPr>
      <w:fldChar w:fldCharType="begin"/>
    </w:r>
    <w:r>
      <w:rPr>
        <w:b/>
        <w:color w:val="4472C4" w:themeColor="accent1"/>
        <w:sz w:val="16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b/>
        <w:color w:val="4472C4" w:themeColor="accent1"/>
        <w:sz w:val="16"/>
        <w14:textFill>
          <w14:solidFill>
            <w14:schemeClr w14:val="accent1"/>
          </w14:solidFill>
        </w14:textFill>
      </w:rPr>
      <w:fldChar w:fldCharType="separate"/>
    </w:r>
    <w:r>
      <w:rPr>
        <w:b/>
        <w:color w:val="4472C4" w:themeColor="accent1"/>
        <w:sz w:val="16"/>
        <w:lang w:val="zh-CN"/>
        <w14:textFill>
          <w14:solidFill>
            <w14:schemeClr w14:val="accent1"/>
          </w14:solidFill>
        </w14:textFill>
      </w:rPr>
      <w:t>2</w:t>
    </w:r>
    <w:r>
      <w:rPr>
        <w:b/>
        <w:color w:val="4472C4" w:themeColor="accent1"/>
        <w:sz w:val="16"/>
        <w14:textFill>
          <w14:solidFill>
            <w14:schemeClr w14:val="accent1"/>
          </w14:solidFill>
        </w14:textFill>
      </w:rPr>
      <w:fldChar w:fldCharType="end"/>
    </w:r>
    <w:r>
      <w:rPr>
        <w:b/>
        <w:color w:val="4472C4" w:themeColor="accent1"/>
        <w:sz w:val="16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b/>
        <w:color w:val="4472C4" w:themeColor="accent1"/>
        <w:sz w:val="16"/>
        <w14:textFill>
          <w14:solidFill>
            <w14:schemeClr w14:val="accent1"/>
          </w14:solidFill>
        </w14:textFill>
      </w:rPr>
      <w:fldChar w:fldCharType="begin"/>
    </w:r>
    <w:r>
      <w:rPr>
        <w:b/>
        <w:color w:val="4472C4" w:themeColor="accent1"/>
        <w:sz w:val="16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b/>
        <w:color w:val="4472C4" w:themeColor="accent1"/>
        <w:sz w:val="16"/>
        <w14:textFill>
          <w14:solidFill>
            <w14:schemeClr w14:val="accent1"/>
          </w14:solidFill>
        </w14:textFill>
      </w:rPr>
      <w:fldChar w:fldCharType="separate"/>
    </w:r>
    <w:r>
      <w:rPr>
        <w:b/>
        <w:color w:val="4472C4" w:themeColor="accent1"/>
        <w:sz w:val="16"/>
        <w:lang w:val="zh-CN"/>
        <w14:textFill>
          <w14:solidFill>
            <w14:schemeClr w14:val="accent1"/>
          </w14:solidFill>
        </w14:textFill>
      </w:rPr>
      <w:t>2</w:t>
    </w:r>
    <w:r>
      <w:rPr>
        <w:b/>
        <w:color w:val="4472C4" w:themeColor="accent1"/>
        <w:sz w:val="16"/>
        <w14:textFill>
          <w14:solidFill>
            <w14:schemeClr w14:val="accent1"/>
          </w14:solidFill>
        </w14:textFill>
      </w:rPr>
      <w:fldChar w:fldCharType="end"/>
    </w:r>
  </w:p>
  <w:p w14:paraId="57C2235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9DE6D">
    <w:pPr>
      <w:pStyle w:val="3"/>
      <w:rPr>
        <w:b/>
      </w:rPr>
    </w:pPr>
    <w:r>
      <w:rPr>
        <w:rFonts w:hint="eastAsia"/>
        <w:b/>
      </w:rPr>
      <w:t>中工数字科技（苏州）有限公司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DD3ECC"/>
    <w:multiLevelType w:val="multilevel"/>
    <w:tmpl w:val="43DD3ECC"/>
    <w:lvl w:ilvl="0" w:tentative="0">
      <w:start w:val="1"/>
      <w:numFmt w:val="bullet"/>
      <w:lvlText w:val=""/>
      <w:lvlJc w:val="left"/>
      <w:pPr>
        <w:ind w:left="418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38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58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78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098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18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38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58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78" w:hanging="420"/>
      </w:pPr>
      <w:rPr>
        <w:rFonts w:hint="default" w:ascii="Wingdings" w:hAnsi="Wingdings"/>
      </w:rPr>
    </w:lvl>
  </w:abstractNum>
  <w:abstractNum w:abstractNumId="1">
    <w:nsid w:val="49620740"/>
    <w:multiLevelType w:val="multilevel"/>
    <w:tmpl w:val="49620740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23F2816"/>
    <w:multiLevelType w:val="multilevel"/>
    <w:tmpl w:val="723F2816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4C4"/>
    <w:rsid w:val="00016EF8"/>
    <w:rsid w:val="000230C7"/>
    <w:rsid w:val="00065F77"/>
    <w:rsid w:val="000D22EE"/>
    <w:rsid w:val="000D6DF4"/>
    <w:rsid w:val="00124C63"/>
    <w:rsid w:val="00130C5B"/>
    <w:rsid w:val="001578B2"/>
    <w:rsid w:val="001F7D19"/>
    <w:rsid w:val="00212039"/>
    <w:rsid w:val="002840AD"/>
    <w:rsid w:val="00293364"/>
    <w:rsid w:val="002B383A"/>
    <w:rsid w:val="003A099C"/>
    <w:rsid w:val="004F2577"/>
    <w:rsid w:val="00511086"/>
    <w:rsid w:val="00554880"/>
    <w:rsid w:val="005C1701"/>
    <w:rsid w:val="00621ED8"/>
    <w:rsid w:val="00625BA2"/>
    <w:rsid w:val="00645FAE"/>
    <w:rsid w:val="00712A85"/>
    <w:rsid w:val="007B5E32"/>
    <w:rsid w:val="007F07DC"/>
    <w:rsid w:val="007F5FE7"/>
    <w:rsid w:val="007F6213"/>
    <w:rsid w:val="008549D2"/>
    <w:rsid w:val="008745C0"/>
    <w:rsid w:val="008849A9"/>
    <w:rsid w:val="008B5399"/>
    <w:rsid w:val="0091189A"/>
    <w:rsid w:val="00933D7D"/>
    <w:rsid w:val="009513DD"/>
    <w:rsid w:val="0096102C"/>
    <w:rsid w:val="009F0E3D"/>
    <w:rsid w:val="00A45A64"/>
    <w:rsid w:val="00AD2571"/>
    <w:rsid w:val="00B069CD"/>
    <w:rsid w:val="00B156EE"/>
    <w:rsid w:val="00B33D93"/>
    <w:rsid w:val="00B42446"/>
    <w:rsid w:val="00BB27F5"/>
    <w:rsid w:val="00C06495"/>
    <w:rsid w:val="00C344C4"/>
    <w:rsid w:val="00C361A0"/>
    <w:rsid w:val="00C41743"/>
    <w:rsid w:val="00CA7410"/>
    <w:rsid w:val="00CB6319"/>
    <w:rsid w:val="00D869DE"/>
    <w:rsid w:val="00DA643E"/>
    <w:rsid w:val="00DC0336"/>
    <w:rsid w:val="00E13F86"/>
    <w:rsid w:val="00E57E4E"/>
    <w:rsid w:val="00E723A4"/>
    <w:rsid w:val="00E95A4B"/>
    <w:rsid w:val="00F1271C"/>
    <w:rsid w:val="00FB3395"/>
    <w:rsid w:val="00FB73C3"/>
    <w:rsid w:val="25BEDA69"/>
    <w:rsid w:val="2FF85A28"/>
    <w:rsid w:val="53FD6CBA"/>
    <w:rsid w:val="5DDF37C4"/>
    <w:rsid w:val="5F4EADC7"/>
    <w:rsid w:val="72EF7FE3"/>
    <w:rsid w:val="7BFFC177"/>
    <w:rsid w:val="7EBDA671"/>
    <w:rsid w:val="BF5CF8BA"/>
    <w:rsid w:val="EEAF4186"/>
    <w:rsid w:val="FDBA9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118</Words>
  <Characters>673</Characters>
  <Lines>5</Lines>
  <Paragraphs>1</Paragraphs>
  <TotalTime>10</TotalTime>
  <ScaleCrop>false</ScaleCrop>
  <LinksUpToDate>false</LinksUpToDate>
  <CharactersWithSpaces>790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2023-02-04T11:26:00Z</dcterms:created>
  <dc:creator>霞 付</dc:creator>
  <cp:lastModifiedBy>神马</cp:lastModifiedBy>
  <cp:lastPrinted>2023-01-12T10:21:00Z</cp:lastPrinted>
  <dcterms:modified xsi:type="dcterms:W3CDTF">2026-02-06T11:35:04Z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473EA5EF196484FC735D8569092B4F0D_42</vt:lpwstr>
  </property>
</Properties>
</file>