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8DEFD">
      <w:pPr>
        <w:pStyle w:val="2"/>
        <w:numPr>
          <w:ilvl w:val="0"/>
          <w:numId w:val="0"/>
        </w:numPr>
        <w:topLinePunct w:val="0"/>
        <w:ind w:leftChars="0"/>
        <w:jc w:val="center"/>
        <w:rPr>
          <w:rFonts w:hint="default" w:ascii="黑体" w:hAnsi="黑体" w:eastAsia="黑体" w:cs="黑体"/>
          <w:b w:val="0"/>
          <w:lang w:val="en-US" w:eastAsia="zh-CN"/>
        </w:rPr>
      </w:pPr>
      <w:r>
        <w:rPr>
          <w:rFonts w:hint="eastAsia" w:ascii="黑体" w:hAnsi="黑体" w:cs="黑体"/>
          <w:b w:val="0"/>
          <w:lang w:val="en-US" w:eastAsia="zh-CN"/>
        </w:rPr>
        <w:t>加热炉调度系统需求澄清</w:t>
      </w:r>
    </w:p>
    <w:p w14:paraId="535B50DD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调度系统总体边界与定位</w:t>
      </w:r>
    </w:p>
    <w:p w14:paraId="3285ECA3">
      <w:pPr>
        <w:pStyle w:val="11"/>
      </w:pPr>
      <w:r>
        <w:t xml:space="preserve">系统定位为连接“连铸”与“轧钢”的物流走向与热能缓冲调度枢纽。 </w:t>
      </w:r>
      <w:r>
        <w:rPr>
          <w:color w:val="E54C5E" w:themeColor="accent6"/>
          <w14:textFill>
            <w14:solidFill>
              <w14:schemeClr w14:val="accent6"/>
            </w14:solidFill>
          </w14:textFill>
        </w:rPr>
        <w:t>在放弃单根钢坯微观追踪的前提下</w:t>
      </w:r>
      <w:r>
        <w:t>，系统基于“同型号/规格钢坯批次”为最小管理颗粒度，拉通前序连铸供料、中间设备容量与后序轧制计划，输出跨工序的物流走向判别与加热炉的控温节奏指导。</w:t>
      </w:r>
    </w:p>
    <w:p w14:paraId="0931F95B">
      <w:pPr>
        <w:rPr>
          <w:rFonts w:hint="eastAsia"/>
        </w:rPr>
      </w:pPr>
    </w:p>
    <w:p w14:paraId="43B98B0F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核心要素与调度约束条件</w:t>
      </w:r>
    </w:p>
    <w:p w14:paraId="09EE72BF">
      <w:pPr>
        <w:pStyle w:val="11"/>
        <w:rPr>
          <w:rFonts w:hint="eastAsia"/>
        </w:rPr>
      </w:pPr>
      <w:r>
        <w:t>系统的算法推演严格遵循以下物理与业务约束：</w:t>
      </w:r>
    </w:p>
    <w:p w14:paraId="412392F0">
      <w:pPr>
        <w:pStyle w:val="11"/>
      </w:pPr>
      <w:r>
        <w:t>对象颗粒度： 按“同型号批次”进行属性定义与追踪。</w:t>
      </w:r>
    </w:p>
    <w:p w14:paraId="7C42D3FB">
      <w:pPr>
        <w:pStyle w:val="11"/>
      </w:pPr>
      <w:r>
        <w:t>产能平衡网络（木桶约束）： 连铸单/多流总产量 $V_{cast}$ ≤ 加热炉匹配产量 $V_{fur}$ ≤ 轧机消化量 $V_{roll}$。</w:t>
      </w:r>
    </w:p>
    <w:p w14:paraId="1F5DFE64">
      <w:pPr>
        <w:pStyle w:val="11"/>
      </w:pPr>
      <w:r>
        <w:t>缓冲空间约束： 当前保温坑在库量 + 预排入库量 ≤ 保温坑物理最大容量。</w:t>
      </w:r>
    </w:p>
    <w:p w14:paraId="3A86C47C">
      <w:pPr>
        <w:pStyle w:val="11"/>
      </w:pPr>
      <w:r>
        <w:t>工艺热工排程规则： 跨批次切换时，强制遵循“先排小截面规格，后排大截面规格”的平滑升温校验机制。</w:t>
      </w:r>
    </w:p>
    <w:p w14:paraId="67E518ED">
      <w:pPr>
        <w:pStyle w:val="11"/>
      </w:pPr>
      <w:r>
        <w:t>安环底线约束： 煤气管网发生欠压/瞬断时，安全规则优先级最高，阻断常规升温指令输出。</w:t>
      </w:r>
    </w:p>
    <w:p w14:paraId="52BA90C4">
      <w:pPr>
        <w:pStyle w:val="2"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核心调度场景与功能清单</w:t>
      </w:r>
    </w:p>
    <w:p w14:paraId="4F2E8AFD">
      <w:pPr>
        <w:pStyle w:val="11"/>
      </w:pPr>
      <w:r>
        <w:t>针对现场工况，功能分解为三大调度场景与一个统计分析引擎：</w:t>
      </w:r>
    </w:p>
    <w:p w14:paraId="0ECB3B42">
      <w:pPr>
        <w:rPr>
          <w:rFonts w:hint="eastAsia"/>
        </w:rPr>
      </w:pPr>
    </w:p>
    <w:p w14:paraId="1BC2B4A3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换辊、待料，加热炉短时间（几个小时）进入保温状态。</w:t>
      </w:r>
    </w:p>
    <w:p w14:paraId="3E825AC9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小于3小时停机（非计划性停机-轧机停机）</w:t>
      </w:r>
    </w:p>
    <w:p w14:paraId="13DA83CA"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大于等于3小时停机 （停产不停炉；停产且停炉）（计划性停机） 温度控制措施---烧火制度</w:t>
      </w:r>
    </w:p>
    <w:p w14:paraId="64350B6E"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正常生产</w:t>
      </w:r>
    </w:p>
    <w:p w14:paraId="40A79FA1">
      <w:pPr>
        <w:pStyle w:val="2"/>
      </w:pPr>
      <w:r>
        <w:t>场景 1：计划性停机前馈调度（如：应对未来3小时停产）</w:t>
      </w:r>
    </w:p>
    <w:p w14:paraId="1A06BAEE">
      <w:pPr>
        <w:pStyle w:val="11"/>
        <w:rPr>
          <w:rFonts w:hint="eastAsia"/>
        </w:rPr>
      </w:pPr>
      <w:r>
        <w:t>业务目的： 阻断下游停机引发的加热炉长时重载空烧，最大化利用保温坑暂存显热。</w:t>
      </w:r>
    </w:p>
    <w:p w14:paraId="366712C1">
      <w:pPr>
        <w:pStyle w:val="11"/>
      </w:pPr>
      <w:r>
        <w:t>【输入参数】</w:t>
      </w:r>
    </w:p>
    <w:p w14:paraId="4930169F">
      <w:pPr>
        <w:pStyle w:val="11"/>
      </w:pPr>
      <w:r>
        <w:t>未来3小时连铸/轧机停产计划起止时间。</w:t>
      </w:r>
    </w:p>
    <w:p w14:paraId="7CC820E8">
      <w:pPr>
        <w:pStyle w:val="11"/>
        <w:rPr>
          <w:highlight w:val="yellow"/>
        </w:rPr>
      </w:pPr>
      <w:r>
        <w:rPr>
          <w:highlight w:val="yellow"/>
        </w:rPr>
        <w:t>当前连铸各机流的实时小时产量。</w:t>
      </w:r>
    </w:p>
    <w:p w14:paraId="71AF9B1E">
      <w:pPr>
        <w:pStyle w:val="11"/>
      </w:pPr>
      <w:r>
        <w:t>保温坑实时剩余容量（库位可用率）。</w:t>
      </w:r>
    </w:p>
    <w:p w14:paraId="461FACE8">
      <w:pPr>
        <w:pStyle w:val="11"/>
      </w:pPr>
      <w:r>
        <w:t>当前在炉及沿线辊道在途的钢坯批次与重量。</w:t>
      </w:r>
    </w:p>
    <w:p w14:paraId="06BCDB4D">
      <w:pPr>
        <w:pStyle w:val="11"/>
      </w:pPr>
      <w:r>
        <w:t>【核心判定基准】</w:t>
      </w:r>
    </w:p>
    <w:p w14:paraId="35578B9A">
      <w:pPr>
        <w:pStyle w:val="11"/>
      </w:pPr>
      <w:r>
        <w:t>比对：停机前连铸的预计产出总量 vs 轧机的预计消化总量。溢出量是否超过保温坑剩余容量。</w:t>
      </w:r>
    </w:p>
    <w:p w14:paraId="3804C27D">
      <w:pPr>
        <w:pStyle w:val="3"/>
      </w:pPr>
      <w:r>
        <w:t>【输出动作与建议】</w:t>
      </w:r>
    </w:p>
    <w:p w14:paraId="3B5E8C39">
      <w:pPr>
        <w:pStyle w:val="11"/>
      </w:pPr>
      <w:r>
        <w:t>物流分流指令： 明确给出连铸即将切出的哪几批去辊道直入加热炉（满足复产首批需求），哪几批立即台车下线入坑蓄热。</w:t>
      </w:r>
    </w:p>
    <w:p w14:paraId="54B94417">
      <w:pPr>
        <w:pStyle w:val="11"/>
      </w:pPr>
      <w:r>
        <w:t>逆向压火时间节点： 结合经验降温曲线向主操倒推报警：“距停机还有 X 时 X 分，建议加热炉各段于 XX:XX 启动降温压火程序，平滑降至待温基线”。</w:t>
      </w:r>
    </w:p>
    <w:p w14:paraId="717796A8">
      <w:pPr>
        <w:pStyle w:val="11"/>
      </w:pPr>
    </w:p>
    <w:p w14:paraId="3E79384C">
      <w:pPr>
        <w:pStyle w:val="2"/>
      </w:pPr>
      <w:r>
        <w:t>场景 2：正常排程优化与产能匹配</w:t>
      </w:r>
    </w:p>
    <w:p w14:paraId="0EF8A378">
      <w:pPr>
        <w:pStyle w:val="11"/>
        <w:rPr>
          <w:rFonts w:hint="eastAsia"/>
        </w:rPr>
      </w:pPr>
      <w:r>
        <w:t>业务目的： 消除上下游的节拍错位，遵循截面物理属性，平抑炉况剧烈波动。</w:t>
      </w:r>
    </w:p>
    <w:p w14:paraId="56C77CBA">
      <w:pPr>
        <w:pStyle w:val="3"/>
      </w:pPr>
      <w:r>
        <w:t>【输入参数】</w:t>
      </w:r>
    </w:p>
    <w:p w14:paraId="5DA7F7C0">
      <w:pPr>
        <w:pStyle w:val="11"/>
        <w:rPr>
          <w:rFonts w:hint="eastAsia"/>
          <w:lang w:val="en-US" w:eastAsia="zh-CN"/>
        </w:rPr>
      </w:pPr>
      <w:r>
        <w:rPr>
          <w:highlight w:val="yellow"/>
        </w:rPr>
        <w:t>当班连铸生产计划与产出批次列表</w:t>
      </w:r>
      <w:r>
        <w:t>。</w:t>
      </w:r>
      <w:r>
        <w:rPr>
          <w:rFonts w:hint="eastAsia"/>
          <w:lang w:val="en-US" w:eastAsia="zh-CN"/>
        </w:rPr>
        <w:t>---机流实时产出的钢坯型号与吨数</w:t>
      </w:r>
    </w:p>
    <w:p w14:paraId="62FE46D7">
      <w:pPr>
        <w:pStyle w:val="11"/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MES系统的钢坯批号</w:t>
      </w:r>
    </w:p>
    <w:p w14:paraId="13590A28">
      <w:pPr>
        <w:pStyle w:val="11"/>
      </w:pPr>
      <w:r>
        <w:t>轧机当班需求计划。</w:t>
      </w:r>
    </w:p>
    <w:p w14:paraId="25AD6C40">
      <w:pPr>
        <w:pStyle w:val="11"/>
      </w:pPr>
      <w:r>
        <w:t>连铸单流时产、加热炉当前及额定时产。</w:t>
      </w:r>
    </w:p>
    <w:p w14:paraId="63376A9B">
      <w:pPr>
        <w:pStyle w:val="3"/>
      </w:pPr>
      <w:r>
        <w:t>【核心判定基准】</w:t>
      </w:r>
    </w:p>
    <w:p w14:paraId="77133736">
      <w:pPr>
        <w:pStyle w:val="11"/>
      </w:pPr>
      <w:r>
        <w:t>截面尺寸跳跃检查：从当前批次切换至下一批次，截面尺寸是否发生从大全跨度至小的情况。</w:t>
      </w:r>
    </w:p>
    <w:p w14:paraId="5B71C6B4">
      <w:pPr>
        <w:pStyle w:val="11"/>
      </w:pPr>
      <w:r>
        <w:t>时产差值监控：实时监测 $V_{cast}$ 与 $V_{fur}$ 的偏差。</w:t>
      </w:r>
    </w:p>
    <w:p w14:paraId="283F01BA">
      <w:pPr>
        <w:pStyle w:val="3"/>
      </w:pPr>
      <w:r>
        <w:t>【输出动作与建议】</w:t>
      </w:r>
    </w:p>
    <w:p w14:paraId="1A4E5AE7">
      <w:pPr>
        <w:pStyle w:val="11"/>
      </w:pPr>
      <w:r>
        <w:t>规格连贯性排程： 生成重排后的“先小截面、后大截面”的入炉建议序列，减少炉温设定的反复震荡。</w:t>
      </w:r>
    </w:p>
    <w:p w14:paraId="7B57C40A">
      <w:pPr>
        <w:pStyle w:val="11"/>
      </w:pPr>
      <w:r>
        <w:t>供需失衡预警指导： 当连铸时产持续溢出加热炉时产，提示调度微调连铸拉速，或提前规划多余批次入坑；反之指导轧机降速以防空轨待料。</w:t>
      </w:r>
    </w:p>
    <w:p w14:paraId="404CDC34">
      <w:pPr>
        <w:pStyle w:val="11"/>
      </w:pPr>
    </w:p>
    <w:p w14:paraId="468B9E63">
      <w:pPr>
        <w:pStyle w:val="2"/>
      </w:pPr>
      <w:r>
        <w:t>场景 3：能源/物料异常防御调度</w:t>
      </w:r>
    </w:p>
    <w:p w14:paraId="38EB432A">
      <w:pPr>
        <w:pStyle w:val="11"/>
        <w:rPr>
          <w:rFonts w:hint="eastAsia"/>
        </w:rPr>
      </w:pPr>
      <w:r>
        <w:t>业务目的： 应对管网欠压或铁水不足等突发恶劣工况，守住生产与设备底线。</w:t>
      </w:r>
    </w:p>
    <w:p w14:paraId="41531F71">
      <w:pPr>
        <w:pStyle w:val="3"/>
      </w:pPr>
      <w:r>
        <w:t>【输入参数】</w:t>
      </w:r>
    </w:p>
    <w:p w14:paraId="37FB5F3C">
      <w:pPr>
        <w:pStyle w:val="11"/>
      </w:pPr>
      <w:r>
        <w:t>全厂 EMS 下发的煤气管网压力/流量偏低阈值报警。</w:t>
      </w:r>
    </w:p>
    <w:p w14:paraId="7731F7EA">
      <w:pPr>
        <w:pStyle w:val="11"/>
      </w:pPr>
      <w:r>
        <w:t>MES 或前端系统下发的“铁水不足/断流”预警。</w:t>
      </w:r>
    </w:p>
    <w:p w14:paraId="69BE84BA">
      <w:pPr>
        <w:pStyle w:val="3"/>
      </w:pPr>
      <w:r>
        <w:t>【核心判定基准】</w:t>
      </w:r>
    </w:p>
    <w:p w14:paraId="4615EF64">
      <w:pPr>
        <w:pStyle w:val="11"/>
      </w:pPr>
      <w:r>
        <w:t>煤气保压底线或加热炉内剩料的排空时间测算。</w:t>
      </w:r>
    </w:p>
    <w:p w14:paraId="05904610">
      <w:pPr>
        <w:pStyle w:val="3"/>
      </w:pPr>
      <w:r>
        <w:t>【输出动作与建议】</w:t>
      </w:r>
    </w:p>
    <w:p w14:paraId="6BA838D6">
      <w:pPr>
        <w:pStyle w:val="11"/>
      </w:pPr>
      <w:r>
        <w:t>煤气欠压策略： 强制阻断升温动作，下发“全炉停止升温、维持底限待温开度”建议；同时截断来料直装物流，要求后端新增钢坯强制转入保温坑暂存防熄火。</w:t>
      </w:r>
    </w:p>
    <w:p w14:paraId="690B330D">
      <w:pPr>
        <w:pStyle w:val="11"/>
      </w:pPr>
      <w:r>
        <w:t>断料保温策略： 根据计算的剩料排空倒计时，联动建议轧机压减当前轧制节拍，并引导加热炉逐步减火进入保温待时模式。</w:t>
      </w:r>
    </w:p>
    <w:p w14:paraId="401ED7D3">
      <w:pPr>
        <w:pStyle w:val="2"/>
      </w:pPr>
    </w:p>
    <w:p w14:paraId="249C4351">
      <w:pPr>
        <w:pStyle w:val="2"/>
      </w:pPr>
      <w:r>
        <w:t>核心引擎：成品材型号单耗核算与趋势判定</w:t>
      </w:r>
    </w:p>
    <w:p w14:paraId="016FC03C">
      <w:pPr>
        <w:pStyle w:val="11"/>
        <w:rPr>
          <w:rFonts w:hint="eastAsia"/>
        </w:rPr>
      </w:pPr>
      <w:r>
        <w:t>业务目的： 基于批次流转时顺，精准分摊煤气账本，沉淀单型号产品的能效评价基线。</w:t>
      </w:r>
    </w:p>
    <w:p w14:paraId="2B96C54A">
      <w:pPr>
        <w:pStyle w:val="3"/>
      </w:pPr>
      <w:r>
        <w:t>【输入参数】</w:t>
      </w:r>
    </w:p>
    <w:p w14:paraId="1E7DA91C">
      <w:pPr>
        <w:pStyle w:val="11"/>
      </w:pPr>
      <w:r>
        <w:t>调度模型记录的“某型号（批次）的首/尾进出炉确切时间戳”。</w:t>
      </w:r>
    </w:p>
    <w:p w14:paraId="235777A2">
      <w:pPr>
        <w:pStyle w:val="11"/>
      </w:pPr>
      <w:r>
        <w:t>由 EMS 采集的该时间窗口内的绝对煤气消耗总量与热值数据。</w:t>
      </w:r>
    </w:p>
    <w:p w14:paraId="1016612D">
      <w:pPr>
        <w:pStyle w:val="11"/>
      </w:pPr>
      <w:r>
        <w:t>该批次对应的入炉总重量。</w:t>
      </w:r>
    </w:p>
    <w:p w14:paraId="55AEFCAA">
      <w:pPr>
        <w:pStyle w:val="3"/>
      </w:pPr>
      <w:r>
        <w:t>【核心计算逻辑】</w:t>
      </w:r>
    </w:p>
    <w:p w14:paraId="0348DE88">
      <w:pPr>
        <w:pStyle w:val="11"/>
      </w:pPr>
      <w:r>
        <w:t>时序对齐与切割：提取进出炉时间段，对瞬时煤气流量进行积分，得到单批次批耗。</w:t>
      </w:r>
    </w:p>
    <w:p w14:paraId="52B94F61">
      <w:pPr>
        <w:pStyle w:val="11"/>
      </w:pPr>
      <w:r>
        <w:t>核算折标准单耗：批次总耗气量 ÷ 批次总重量。</w:t>
      </w:r>
    </w:p>
    <w:p w14:paraId="2A922FC5">
      <w:pPr>
        <w:pStyle w:val="3"/>
      </w:pPr>
      <w:r>
        <w:t>【输出动作与呈现】</w:t>
      </w:r>
    </w:p>
    <w:p w14:paraId="1F9720D1">
      <w:pPr>
        <w:pStyle w:val="11"/>
      </w:pPr>
      <w:r>
        <w:t>定额阈值库： 生成不同型号成品在冷装、热装工况下的标准煤气单耗基线参考。</w:t>
      </w:r>
    </w:p>
    <w:p w14:paraId="662AF61C">
      <w:pPr>
        <w:pStyle w:val="11"/>
      </w:pPr>
      <w:r>
        <w:t>趋势对比与追溯： 横向展示同一型号的历史单耗散点图，系统自动标识偏离标准线过大的“高能耗批次”，支持操作与工艺人员对导致高耗（如异常待温或空燃比失调）进行事后复盘修正。</w:t>
      </w:r>
    </w:p>
    <w:p w14:paraId="7138114A">
      <w:pPr>
        <w:pStyle w:val="11"/>
      </w:pPr>
    </w:p>
    <w:p w14:paraId="36A8AB9A">
      <w:pPr>
        <w:pStyle w:val="11"/>
      </w:pPr>
    </w:p>
    <w:p w14:paraId="16189E98">
      <w:pPr>
        <w:pStyle w:val="11"/>
      </w:pPr>
    </w:p>
    <w:p w14:paraId="479D4EED">
      <w:pPr>
        <w:pStyle w:val="11"/>
        <w:rPr>
          <w:rFonts w:hint="eastAsia"/>
        </w:rPr>
      </w:pPr>
      <w:r>
        <w:rPr>
          <w:rFonts w:hint="eastAsia"/>
        </w:rPr>
        <w:t>3月13日，夜班</w:t>
      </w:r>
    </w:p>
    <w:p w14:paraId="6E7675B9">
      <w:pPr>
        <w:pStyle w:val="11"/>
        <w:rPr>
          <w:rFonts w:hint="eastAsia"/>
        </w:rPr>
      </w:pPr>
      <w:r>
        <w:rPr>
          <w:rFonts w:hint="eastAsia"/>
        </w:rPr>
        <w:t>生产情况：</w:t>
      </w:r>
    </w:p>
    <w:p w14:paraId="72DBCB39">
      <w:pPr>
        <w:pStyle w:val="11"/>
        <w:rPr>
          <w:rFonts w:hint="eastAsia"/>
        </w:rPr>
      </w:pPr>
      <w:r>
        <w:rPr>
          <w:rFonts w:hint="eastAsia"/>
        </w:rPr>
        <w:t>炼钢5号连铸生产:乙班生产总吨：4011吨， 钢种规格：Q235B*8*410*320</w:t>
      </w:r>
    </w:p>
    <w:p w14:paraId="092469D2">
      <w:pPr>
        <w:pStyle w:val="11"/>
        <w:rPr>
          <w:rFonts w:hint="eastAsia"/>
        </w:rPr>
      </w:pPr>
    </w:p>
    <w:p w14:paraId="5271D172">
      <w:pPr>
        <w:pStyle w:val="11"/>
        <w:rPr>
          <w:rFonts w:hint="eastAsia"/>
        </w:rPr>
      </w:pPr>
      <w:r>
        <w:rPr>
          <w:rFonts w:hint="eastAsia"/>
        </w:rPr>
        <w:t>Q355D*11.03*350*240</w:t>
      </w:r>
    </w:p>
    <w:p w14:paraId="5D2B7EA7">
      <w:pPr>
        <w:pStyle w:val="11"/>
        <w:rPr>
          <w:rFonts w:hint="eastAsia"/>
        </w:rPr>
      </w:pPr>
      <w:r>
        <w:rPr>
          <w:rFonts w:hint="eastAsia"/>
        </w:rPr>
        <w:t>10号坑共12支Ⅹ7.17＝86.04吨。</w:t>
      </w:r>
    </w:p>
    <w:p w14:paraId="03B20E4A">
      <w:pPr>
        <w:pStyle w:val="11"/>
        <w:rPr>
          <w:rFonts w:hint="eastAsia"/>
        </w:rPr>
      </w:pPr>
    </w:p>
    <w:p w14:paraId="0EE8920B">
      <w:pPr>
        <w:pStyle w:val="11"/>
        <w:rPr>
          <w:rFonts w:hint="eastAsia"/>
        </w:rPr>
      </w:pPr>
      <w:r>
        <w:rPr>
          <w:rFonts w:hint="eastAsia"/>
        </w:rPr>
        <w:t>Q355B*11.24*410*320，9号坑共14支x11.409=159.726吨，已出库。</w:t>
      </w:r>
    </w:p>
    <w:p w14:paraId="31494B30">
      <w:pPr>
        <w:pStyle w:val="11"/>
        <w:rPr>
          <w:rFonts w:hint="eastAsia"/>
        </w:rPr>
      </w:pPr>
    </w:p>
    <w:p w14:paraId="2535121B">
      <w:pPr>
        <w:pStyle w:val="11"/>
        <w:rPr>
          <w:rFonts w:hint="eastAsia"/>
        </w:rPr>
      </w:pPr>
      <w:r>
        <w:rPr>
          <w:rFonts w:hint="eastAsia"/>
        </w:rPr>
        <w:t>Q235B*8*410*320.，9号5号坑各14支，8号6号4号坑各12支，1号7号坑各7支，2号10支，共88支X8.085＝711.48吨，已入库。</w:t>
      </w:r>
    </w:p>
    <w:p w14:paraId="7B813E8C">
      <w:pPr>
        <w:pStyle w:val="11"/>
        <w:rPr>
          <w:rFonts w:hint="eastAsia"/>
        </w:rPr>
      </w:pPr>
    </w:p>
    <w:p w14:paraId="69E70BD5">
      <w:pPr>
        <w:pStyle w:val="11"/>
        <w:rPr>
          <w:rFonts w:hint="eastAsia"/>
        </w:rPr>
      </w:pPr>
      <w:r>
        <w:rPr>
          <w:rFonts w:hint="eastAsia"/>
        </w:rPr>
        <w:t>Q355BX11.375X240x240，3号坑共14支X5.062＝70.868吨，</w:t>
      </w:r>
    </w:p>
    <w:p w14:paraId="347C8FE6">
      <w:pPr>
        <w:pStyle w:val="11"/>
        <w:rPr>
          <w:rFonts w:hint="eastAsia"/>
        </w:rPr>
      </w:pPr>
    </w:p>
    <w:p w14:paraId="04BAD38A">
      <w:pPr>
        <w:pStyle w:val="11"/>
        <w:rPr>
          <w:rFonts w:hint="eastAsia"/>
        </w:rPr>
      </w:pPr>
      <w:r>
        <w:rPr>
          <w:rFonts w:hint="eastAsia"/>
        </w:rPr>
        <w:t>拉运情况：</w:t>
      </w:r>
    </w:p>
    <w:p w14:paraId="2A217576">
      <w:pPr>
        <w:pStyle w:val="11"/>
        <w:rPr>
          <w:rFonts w:hint="eastAsia"/>
        </w:rPr>
      </w:pPr>
      <w:r>
        <w:rPr>
          <w:rFonts w:hint="eastAsia"/>
        </w:rPr>
        <w:t>热送辊道热送:979吨；</w:t>
      </w:r>
    </w:p>
    <w:p w14:paraId="5D036A0C">
      <w:pPr>
        <w:pStyle w:val="11"/>
        <w:rPr>
          <w:rFonts w:hint="eastAsia"/>
        </w:rPr>
      </w:pPr>
      <w:r>
        <w:rPr>
          <w:rFonts w:hint="eastAsia"/>
        </w:rPr>
        <w:t>保温车从流道拉：1270吨，落地：1762吨，3辆车拉；</w:t>
      </w:r>
    </w:p>
    <w:p w14:paraId="22A02B14">
      <w:pPr>
        <w:pStyle w:val="11"/>
        <w:rPr>
          <w:rFonts w:hint="eastAsia"/>
        </w:rPr>
      </w:pPr>
      <w:r>
        <w:rPr>
          <w:rFonts w:hint="eastAsia"/>
        </w:rPr>
        <w:t>保温坑出入库情况：</w:t>
      </w:r>
    </w:p>
    <w:p w14:paraId="5716FCB4">
      <w:pPr>
        <w:pStyle w:val="11"/>
        <w:rPr>
          <w:rFonts w:hint="eastAsia"/>
        </w:rPr>
      </w:pPr>
      <w:r>
        <w:rPr>
          <w:rFonts w:hint="eastAsia"/>
        </w:rPr>
        <w:t>流道入坑：113.19吨，温度691.8℃，剩余库存重量:868.388吨。</w:t>
      </w:r>
    </w:p>
    <w:p w14:paraId="7A1DCD26">
      <w:pPr>
        <w:pStyle w:val="11"/>
        <w:rPr>
          <w:rFonts w:hint="eastAsia"/>
        </w:rPr>
      </w:pPr>
      <w:r>
        <w:rPr>
          <w:rFonts w:hint="eastAsia"/>
        </w:rPr>
        <w:t>出坑上保温车 ：159.726吨，温度：566.5℃，保温坑出坑到型四一个班：159.726吨；3辆车拉；</w:t>
      </w:r>
    </w:p>
    <w:p w14:paraId="2A84FE47">
      <w:pPr>
        <w:pStyle w:val="11"/>
        <w:rPr>
          <w:rFonts w:hint="eastAsia"/>
        </w:rPr>
      </w:pPr>
    </w:p>
    <w:p w14:paraId="04DE5BFE">
      <w:pPr>
        <w:pStyle w:val="11"/>
        <w:rPr>
          <w:rFonts w:hint="eastAsia"/>
        </w:rPr>
      </w:pPr>
      <w:r>
        <w:rPr>
          <w:rFonts w:hint="eastAsia"/>
        </w:rPr>
        <w:t>交接班情况</w:t>
      </w:r>
    </w:p>
    <w:p w14:paraId="348E7C6C">
      <w:pPr>
        <w:pStyle w:val="11"/>
        <w:rPr>
          <w:rFonts w:hint="eastAsia"/>
        </w:rPr>
      </w:pPr>
      <w:r>
        <w:rPr>
          <w:rFonts w:hint="eastAsia"/>
        </w:rPr>
        <w:t>两个遥控器已放好，对讲机已交接，测温仪已交接，设备卫生已打扫。</w:t>
      </w:r>
    </w:p>
    <w:p w14:paraId="38FFE0D2">
      <w:pPr>
        <w:pStyle w:val="11"/>
        <w:rPr>
          <w:rFonts w:hint="eastAsia"/>
        </w:rPr>
      </w:pPr>
    </w:p>
    <w:p w14:paraId="7D573A8E">
      <w:pPr>
        <w:pStyle w:val="11"/>
        <w:rPr>
          <w:rFonts w:hint="eastAsia"/>
        </w:rPr>
      </w:pPr>
    </w:p>
    <w:p w14:paraId="22B836AB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增加记录连铸生产报表</w:t>
      </w:r>
    </w:p>
    <w:p w14:paraId="4E2A41E0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几个流，流的时间段，走热送辊道吨数，</w:t>
      </w:r>
    </w:p>
    <w:p w14:paraId="02D02D12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基本上8个流，</w:t>
      </w:r>
    </w:p>
    <w:p w14:paraId="1E5EABC3">
      <w:pPr>
        <w:pStyle w:val="11"/>
        <w:rPr>
          <w:rFonts w:hint="eastAsia"/>
          <w:lang w:val="en-US" w:eastAsia="zh-CN"/>
        </w:rPr>
      </w:pPr>
    </w:p>
    <w:p w14:paraId="1A81EA82">
      <w:pPr>
        <w:pStyle w:val="11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总览字段：</w:t>
      </w:r>
    </w:p>
    <w:p w14:paraId="7AD4FD53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生产日期、班次、批号、钢种、生产时间、流数、拉速、每流小时产量 ；</w:t>
      </w:r>
    </w:p>
    <w:p w14:paraId="41141D9F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以下字段需要细化到钢种、批次、时间：</w:t>
      </w:r>
    </w:p>
    <w:p w14:paraId="4F86FC45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辊道热送重量、</w:t>
      </w:r>
    </w:p>
    <w:p w14:paraId="4674BCF8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从流车送重量、从流车送车次、</w:t>
      </w:r>
    </w:p>
    <w:p w14:paraId="76B3A51C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从坑车送重量、从坑车送车次、</w:t>
      </w:r>
    </w:p>
    <w:p w14:paraId="76150890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从流落地重量、落地装车重量、落地装车车次、</w:t>
      </w:r>
    </w:p>
    <w:p w14:paraId="17FE1DB4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入坑重量（走天车）、</w:t>
      </w:r>
    </w:p>
    <w:p w14:paraId="576C8E2E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上个班的保温坑库存情况（每个坑保存的情况）</w:t>
      </w:r>
    </w:p>
    <w:p w14:paraId="700D1347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交班时的保温坑库存情况 （每个坑保存的情况）</w:t>
      </w:r>
    </w:p>
    <w:bookmarkEnd w:id="0"/>
    <w:p w14:paraId="631EB727">
      <w:pPr>
        <w:pStyle w:val="11"/>
        <w:rPr>
          <w:rFonts w:hint="eastAsia"/>
          <w:lang w:val="en-US" w:eastAsia="zh-CN"/>
        </w:rPr>
      </w:pPr>
    </w:p>
    <w:p w14:paraId="3589688E">
      <w:pPr>
        <w:pStyle w:val="11"/>
        <w:rPr>
          <w:rFonts w:hint="default"/>
          <w:lang w:val="en-US" w:eastAsia="zh-CN"/>
        </w:rPr>
      </w:pPr>
    </w:p>
    <w:p w14:paraId="7AC5A2C3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轧钢的生产计划，轧钢给连铸提供需求，连铸再生产钢坯，打上钢坯号。</w:t>
      </w:r>
    </w:p>
    <w:p w14:paraId="43B0EB12">
      <w:pPr>
        <w:pStyle w:val="11"/>
        <w:rPr>
          <w:rFonts w:hint="default"/>
          <w:lang w:val="en-US" w:eastAsia="zh-CN"/>
        </w:rPr>
      </w:pPr>
    </w:p>
    <w:p w14:paraId="31DBECA5">
      <w:pPr>
        <w:pStyle w:val="11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手机直接可以填</w:t>
      </w:r>
    </w:p>
    <w:p w14:paraId="7C96236D">
      <w:pPr>
        <w:pStyle w:val="11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EEF986"/>
    <w:multiLevelType w:val="singleLevel"/>
    <w:tmpl w:val="FBEEF986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5A82A"/>
    <w:rsid w:val="5DFAFD53"/>
    <w:rsid w:val="7F95A82A"/>
    <w:rsid w:val="CFFF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173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2026-03-14T00:11:00Z</dcterms:created>
  <dc:creator>神马</dc:creator>
  <cp:lastModifiedBy>神马</cp:lastModifiedBy>
  <dcterms:modified xsi:type="dcterms:W3CDTF">2026-03-14T20:53:44Z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A3A60B52808ABC899FC6B369626165D1_41</vt:lpwstr>
  </property>
</Properties>
</file>