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bidi w:val="1"/>
      </w:pPr>
      <w:r>
        <w:rPr>
          <w:rFonts w:ascii="Noto Sans Arabic" w:hAnsi="Noto Sans Arabic" w:eastAsia="Noto Sans Arabic" w:cs="Noto Sans Arabic"/>
          <w:b/>
          <w:color w:val="0F6B78"/>
          <w:sz w:val="38"/>
        </w:rPr>
        <w:t>SLEEPEE</w:t>
      </w:r>
    </w:p>
    <w:p>
      <w:pPr>
        <w:jc w:val="center"/>
        <w:bidi w:val="1"/>
      </w:pPr>
      <w:r>
        <w:rPr>
          <w:rFonts w:ascii="Noto Sans Arabic" w:hAnsi="Noto Sans Arabic" w:eastAsia="Noto Sans Arabic" w:cs="Noto Sans Arabic"/>
          <w:b/>
          <w:color w:val="17365D"/>
          <w:sz w:val="46"/>
        </w:rPr>
        <w:t>تصميم الضمان وخدمة العملاء</w:t>
      </w:r>
    </w:p>
    <w:p>
      <w:pPr>
        <w:jc w:val="center"/>
        <w:bidi w:val="1"/>
      </w:pPr>
      <w:r>
        <w:rPr>
          <w:rFonts w:ascii="Noto Sans Arabic" w:hAnsi="Noto Sans Arabic" w:eastAsia="Noto Sans Arabic" w:cs="Noto Sans Arabic"/>
          <w:b/>
          <w:color w:val="666666"/>
          <w:sz w:val="22"/>
        </w:rPr>
        <w:t>Sleepee Manufacturing, Warranty &amp; Customer Service Platform</w:t>
      </w:r>
    </w:p>
    <w:p/>
    <w:tbl>
      <w:tblPr>
        <w:tblW w:type="auto" w:w="0"/>
        <w:jc w:val="center"/>
        <w:tblLayout w:type="fixed"/>
        <w:tblLook w:firstColumn="1" w:firstRow="1" w:lastColumn="0" w:lastRow="0" w:noHBand="0" w:noVBand="1" w:val="04A0"/>
      </w:tblPr>
      <w:tblGrid>
        <w:gridCol w:w="2232"/>
        <w:gridCol w:w="8064"/>
      </w:tblGrid>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معرّف الوثيقة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SLEEPEE-CS-001</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الإصدار</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v1.0</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الحالة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مسودة للمراجعة — غير معتمدة للتنفيذ</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المرجعية الحاكمة</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Sleepee_Single_Source_Of_Truth_v1.0</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تاريخ الإعداد</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10 أكتوبر 2026</w:t>
            </w:r>
          </w:p>
        </w:tc>
      </w:tr>
      <w:tr>
        <w:tc>
          <w:tcPr>
            <w:tcW w:type="dxa" w:w="2232"/>
            <w:shd w:fill="EAF2F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sz w:val="18"/>
              </w:rPr>
              <w:t>صلاحية التنفيذ</w:t>
            </w:r>
          </w:p>
        </w:tc>
        <w:tc>
          <w:tcPr>
            <w:tcW w:type="dxa" w:w="806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jc w:val="right"/>
              <w:bidi w:val="1"/>
            </w:pPr>
            <w:r>
              <w:rPr>
                <w:rFonts w:ascii="Noto Sans Arabic" w:hAnsi="Noto Sans Arabic" w:eastAsia="Noto Sans Arabic" w:cs="Noto Sans Arabic"/>
                <w:b w:val="0"/>
                <w:sz w:val="18"/>
              </w:rPr>
              <w:t>لا تمنح هذه المسودة موافقة على تعديل الكود أو GitHub أو Supabase.</w:t>
            </w:r>
          </w:p>
        </w:tc>
      </w:tr>
    </w:tbl>
    <w:p/>
    <w:p>
      <w:pPr>
        <w:spacing w:before="400"/>
        <w:jc w:val="center"/>
        <w:bidi w:val="1"/>
      </w:pPr>
      <w:r>
        <w:rPr>
          <w:rFonts w:ascii="Noto Sans Arabic" w:hAnsi="Noto Sans Arabic" w:eastAsia="Noto Sans Arabic" w:cs="Noto Sans Arabic"/>
          <w:b/>
          <w:color w:val="9C0006"/>
          <w:sz w:val="20"/>
        </w:rPr>
        <w:t>وثيقة تكميلية مستقلة — لا تستبدل المرجعية الأصلية ولا تعدّلها</w:t>
      </w:r>
    </w:p>
    <w:p>
      <w:r>
        <w:br w:type="page"/>
      </w:r>
    </w:p>
    <w:p>
      <w:pPr>
        <w:pStyle w:val="Heading1"/>
        <w:jc w:val="right"/>
        <w:bidi w:val="1"/>
      </w:pPr>
      <w:r>
        <w:rPr>
          <w:rFonts w:ascii="Noto Sans Arabic" w:hAnsi="Noto Sans Arabic" w:eastAsia="Noto Sans Arabic" w:cs="Noto Sans Arabic"/>
          <w:b/>
          <w:color w:val="17365D"/>
          <w:sz w:val="32"/>
        </w:rPr>
        <w:t>1. الهدف وحدود الوثيقة</w:t>
      </w:r>
    </w:p>
    <w:p>
      <w:pPr>
        <w:jc w:val="right"/>
        <w:bidi w:val="1"/>
      </w:pPr>
      <w:r>
        <w:rPr>
          <w:rFonts w:ascii="Noto Sans Arabic" w:hAnsi="Noto Sans Arabic" w:eastAsia="Noto Sans Arabic" w:cs="Noto Sans Arabic"/>
          <w:sz w:val="20"/>
        </w:rPr>
        <w:t>تحدد هذه الوثيقة تجربة موحدة للعميل والمنتج والضمان والخدمة والإصلاح والاستبدال والتعويض ونقل الملكية، مع حماية عقد Phase 09 وسلامة بيانات العميل. حالات الخدمة المقترحة الإضافية لا تعتمد تلقائيًا قبل موافقة المالك.</w:t>
      </w:r>
    </w:p>
    <w:tbl>
      <w:tblPr>
        <w:tblW w:type="auto" w:w="0"/>
        <w:tblLook w:firstColumn="1" w:firstRow="1" w:lastColumn="0" w:lastRow="0" w:noHBand="0" w:noVBand="1" w:val="04A0"/>
      </w:tblPr>
      <w:tblGrid>
        <w:gridCol w:w="10224"/>
      </w:tblGrid>
      <w:tr>
        <w:tc>
          <w:tcPr>
            <w:tcW w:type="dxa" w:w="10224"/>
            <w:shd w:fill="FCE4D6"/>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حدود مهمة — </w:t>
            </w:r>
            <w:r>
              <w:rPr>
                <w:rFonts w:ascii="Noto Sans Arabic" w:hAnsi="Noto Sans Arabic" w:eastAsia="Noto Sans Arabic" w:cs="Noto Sans Arabic"/>
                <w:sz w:val="19"/>
              </w:rPr>
              <w:t>هذه ليست موافقة على تعديل Phase 09 أو جداولها أو RPC/RLS. الحفاظ على عقد الضمان ولقطات التفعيل الثابتة أولوية غير قابلة للتجاوز دون موافقة منفصلة.</w:t>
            </w:r>
          </w:p>
        </w:tc>
      </w:tr>
    </w:tbl>
    <w:p/>
    <w:p>
      <w:pPr>
        <w:pStyle w:val="Heading1"/>
        <w:jc w:val="right"/>
        <w:bidi w:val="1"/>
      </w:pPr>
      <w:r>
        <w:rPr>
          <w:rFonts w:ascii="Noto Sans Arabic" w:hAnsi="Noto Sans Arabic" w:eastAsia="Noto Sans Arabic" w:cs="Noto Sans Arabic"/>
          <w:b/>
          <w:color w:val="17365D"/>
          <w:sz w:val="32"/>
        </w:rPr>
        <w:t>2. Workspace المستهدف</w:t>
      </w:r>
    </w:p>
    <w:p>
      <w:pPr>
        <w:jc w:val="right"/>
        <w:bidi w:val="1"/>
      </w:pPr>
      <w:r>
        <w:rPr>
          <w:rFonts w:ascii="Noto Sans Arabic" w:hAnsi="Noto Sans Arabic" w:eastAsia="Noto Sans Arabic" w:cs="Noto Sans Arabic"/>
          <w:sz w:val="20"/>
        </w:rPr>
        <w:t>تجربة المستخدم المستهدفة هي Customer Experience &amp; Warranty Center داخل مركز الضمان وخدمة العملاء، مع إبقاء المسؤوليات الداخلية مفصولة تقنيًا. من صفحة عميل/منتج يمكن الوصول إلى الرقم التسلسلي والضمان وحالات الخدمة والإصلاح والاستبدال والتعويض والمرفقات والملاحظات والخط الزمني والتدقيق وفق الصلاحيات.</w:t>
      </w:r>
    </w:p>
    <w:tbl>
      <w:tblPr>
        <w:tblW w:type="auto" w:w="0"/>
        <w:jc w:val="center"/>
        <w:tblLayout w:type="fixed"/>
        <w:tblLook w:firstColumn="1" w:firstRow="1" w:lastColumn="0" w:lastRow="0" w:noHBand="0" w:noVBand="1" w:val="04A0"/>
        <w:bidiVisual/>
      </w:tblPr>
      <w:tblGrid>
        <w:gridCol w:w="2160"/>
        <w:gridCol w:w="4608"/>
        <w:gridCol w:w="3456"/>
      </w:tblGrid>
      <w:tr>
        <w:trPr>
          <w:tblHeader w:val="true"/>
        </w:trPr>
        <w:tc>
          <w:tcPr>
            <w:tcW w:type="dxa" w:w="2160"/>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المساحة</w:t>
            </w:r>
          </w:p>
        </w:tc>
        <w:tc>
          <w:tcPr>
            <w:tcW w:type="dxa" w:w="4608"/>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المحتوى</w:t>
            </w:r>
          </w:p>
        </w:tc>
        <w:tc>
          <w:tcPr>
            <w:tcW w:type="dxa" w:w="3456"/>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ضابط</w:t>
            </w:r>
          </w:p>
        </w:tc>
      </w:tr>
      <w:tr>
        <w:tc>
          <w:tcPr>
            <w:tcW w:type="dxa" w:w="2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Customer 360</w:t>
            </w:r>
          </w:p>
        </w:tc>
        <w:tc>
          <w:tcPr>
            <w:tcW w:type="dxa" w:w="460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بيانات الاتصال والعنوان والعميل المرتبط بالمنتجات والفواتير/التحقق.</w:t>
            </w:r>
          </w:p>
        </w:tc>
        <w:tc>
          <w:tcPr>
            <w:tcW w:type="dxa" w:w="345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جمع الحد الأدنى اللازم وحماية البيانات.</w:t>
            </w:r>
          </w:p>
        </w:tc>
      </w:tr>
      <w:tr>
        <w:tc>
          <w:tcPr>
            <w:tcW w:type="dxa" w:w="216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Product / Serial</w:t>
            </w:r>
          </w:p>
        </w:tc>
        <w:tc>
          <w:tcPr>
            <w:tcW w:type="dxa" w:w="460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العلامة والموديل والمقاس والرقم المسلسل وسجل الإنتاج/الطباعة.</w:t>
            </w:r>
          </w:p>
        </w:tc>
        <w:tc>
          <w:tcPr>
            <w:tcW w:type="dxa" w:w="345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عرض ما يسمح به الدور؛ الرقم فريد عالميًا.</w:t>
            </w:r>
          </w:p>
        </w:tc>
      </w:tr>
      <w:tr>
        <w:tc>
          <w:tcPr>
            <w:tcW w:type="dxa" w:w="2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Warranty</w:t>
            </w:r>
          </w:p>
        </w:tc>
        <w:tc>
          <w:tcPr>
            <w:tcW w:type="dxa" w:w="460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مدة السياسة وتاريخ البدء والانتهاء وحالة التفعيل وبيانات الإثبات.</w:t>
            </w:r>
          </w:p>
        </w:tc>
        <w:tc>
          <w:tcPr>
            <w:tcW w:type="dxa" w:w="345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مدة وتاريخ الانتهاء الملتقطان عند التفعيل لا يتغيران لاحقًا.</w:t>
            </w:r>
          </w:p>
        </w:tc>
      </w:tr>
      <w:tr>
        <w:tc>
          <w:tcPr>
            <w:tcW w:type="dxa" w:w="216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Service Case</w:t>
            </w:r>
          </w:p>
        </w:tc>
        <w:tc>
          <w:tcPr>
            <w:tcW w:type="dxa" w:w="460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نوع الحالة، المسؤول، المراجعات والنتيجة والملاحظات والمرفقات والوقت.</w:t>
            </w:r>
          </w:p>
        </w:tc>
        <w:tc>
          <w:tcPr>
            <w:tcW w:type="dxa" w:w="345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دورة الحالات الأصلية لا تتغير دون amendment.</w:t>
            </w:r>
          </w:p>
        </w:tc>
      </w:tr>
      <w:tr>
        <w:tc>
          <w:tcPr>
            <w:tcW w:type="dxa" w:w="21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Replacement / Compensation</w:t>
            </w:r>
          </w:p>
        </w:tc>
        <w:tc>
          <w:tcPr>
            <w:tcW w:type="dxa" w:w="4608"/>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الطلب والقرار وربط المنتج القديم/الجديد وسبب القرار عند اعتماده.</w:t>
            </w:r>
          </w:p>
        </w:tc>
        <w:tc>
          <w:tcPr>
            <w:tcW w:type="dxa" w:w="3456"/>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لا تحويله إلى نظام محاسبي؛ لا سياسة قانونية مخترعة.</w:t>
            </w:r>
          </w:p>
        </w:tc>
      </w:tr>
      <w:tr>
        <w:tc>
          <w:tcPr>
            <w:tcW w:type="dxa" w:w="216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Timeline / Audit</w:t>
            </w:r>
          </w:p>
        </w:tc>
        <w:tc>
          <w:tcPr>
            <w:tcW w:type="dxa" w:w="4608"/>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أحداث العميل والمنتج والضمان والخدمة والاستبدال والتعديلات المصرح بها.</w:t>
            </w:r>
          </w:p>
        </w:tc>
        <w:tc>
          <w:tcPr>
            <w:tcW w:type="dxa" w:w="3456"/>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حفظ السجل وعدم الحذف الصامت.</w:t>
            </w:r>
          </w:p>
        </w:tc>
      </w:tr>
    </w:tbl>
    <w:p/>
    <w:p>
      <w:pPr>
        <w:pStyle w:val="Heading1"/>
        <w:jc w:val="right"/>
        <w:bidi w:val="1"/>
      </w:pPr>
      <w:r>
        <w:rPr>
          <w:rFonts w:ascii="Noto Sans Arabic" w:hAnsi="Noto Sans Arabic" w:eastAsia="Noto Sans Arabic" w:cs="Noto Sans Arabic"/>
          <w:b/>
          <w:color w:val="17365D"/>
          <w:sz w:val="32"/>
        </w:rPr>
        <w:t>3. سياسة الضمان الحالية والهرمية المستقبلية</w:t>
      </w:r>
    </w:p>
    <w:tbl>
      <w:tblPr>
        <w:tblW w:type="auto" w:w="0"/>
        <w:jc w:val="center"/>
        <w:tblLayout w:type="fixed"/>
        <w:tblLook w:firstColumn="1" w:firstRow="1" w:lastColumn="0" w:lastRow="0" w:noHBand="0" w:noVBand="1" w:val="04A0"/>
        <w:bidiVisual/>
      </w:tblPr>
      <w:tblGrid>
        <w:gridCol w:w="2304"/>
        <w:gridCol w:w="7920"/>
      </w:tblGrid>
      <w:tr>
        <w:trPr>
          <w:tblHeader w:val="true"/>
        </w:trPr>
        <w:tc>
          <w:tcPr>
            <w:tcW w:type="dxa" w:w="2304"/>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البند</w:t>
            </w:r>
          </w:p>
        </w:tc>
        <w:tc>
          <w:tcPr>
            <w:tcW w:type="dxa" w:w="7920"/>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القاعدة المسجلة</w:t>
            </w:r>
          </w:p>
        </w:tc>
      </w:tr>
      <w:tr>
        <w:tc>
          <w:tcPr>
            <w:tcW w:type="dxa" w:w="230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مدد اليوم</w:t>
            </w:r>
          </w:p>
        </w:tc>
        <w:tc>
          <w:tcPr>
            <w:tcW w:type="dxa" w:w="792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كل المراتب بجميع العلامات والموديلات: 10 سنوات؛ المخدات والخداديات ومراتب التطرية: سنتان.</w:t>
            </w:r>
          </w:p>
        </w:tc>
      </w:tr>
      <w:tr>
        <w:tc>
          <w:tcPr>
            <w:tcW w:type="dxa" w:w="230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الهرمية</w:t>
            </w:r>
          </w:p>
        </w:tc>
        <w:tc>
          <w:tcPr>
            <w:tcW w:type="dxa" w:w="792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Category Default → Brand Override → Model Override؛ أولوية السياسة الأكثر تخصيصًا للموديل.</w:t>
            </w:r>
          </w:p>
        </w:tc>
      </w:tr>
      <w:tr>
        <w:tc>
          <w:tcPr>
            <w:tcW w:type="dxa" w:w="230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المدى القابل للتهيئة</w:t>
            </w:r>
          </w:p>
        </w:tc>
        <w:tc>
          <w:tcPr>
            <w:tcW w:type="dxa" w:w="792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1–15 سنة وفق المرجعية الأصلية، عند وجود سياسة معتمدة.</w:t>
            </w:r>
          </w:p>
        </w:tc>
      </w:tr>
      <w:tr>
        <w:tc>
          <w:tcPr>
            <w:tcW w:type="dxa" w:w="230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أمثلة مستقبلية</w:t>
            </w:r>
          </w:p>
        </w:tc>
        <w:tc>
          <w:tcPr>
            <w:tcW w:type="dxa" w:w="792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أمثلة 5 أو 10 سنوات لبعض موديلات Sleepee/Emareties احتمالات مستقبلية وليست تغييرًا في السياسة الحالية.</w:t>
            </w:r>
          </w:p>
        </w:tc>
      </w:tr>
      <w:tr>
        <w:tc>
          <w:tcPr>
            <w:tcW w:type="dxa" w:w="230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بداية الضمان</w:t>
            </w:r>
          </w:p>
        </w:tc>
        <w:tc>
          <w:tcPr>
            <w:tcW w:type="dxa" w:w="792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تاريخ فاتورة المستهلك، وليس فاتورة الموزع أو النقل الداخلي.</w:t>
            </w:r>
          </w:p>
        </w:tc>
      </w:tr>
      <w:tr>
        <w:tc>
          <w:tcPr>
            <w:tcW w:type="dxa" w:w="230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تعدد المنتجات</w:t>
            </w:r>
          </w:p>
        </w:tc>
        <w:tc>
          <w:tcPr>
            <w:tcW w:type="dxa" w:w="792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يمكن أن ترتبط عدة أرقام تسلسلية بفاتورة واحدة.</w:t>
            </w:r>
          </w:p>
        </w:tc>
      </w:tr>
      <w:tr>
        <w:tc>
          <w:tcPr>
            <w:tcW w:type="dxa" w:w="230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فاتورة مفقودة</w:t>
            </w:r>
          </w:p>
        </w:tc>
        <w:tc>
          <w:tcPr>
            <w:tcW w:type="dxa" w:w="792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مراجعة خدمة العملاء/شهادة الضمان/المنتج والتحقق من الهاتف أو WhatsApp وموافقة يدوية حسب القواعد المعتمدة.</w:t>
            </w:r>
          </w:p>
        </w:tc>
      </w:tr>
    </w:tbl>
    <w:p/>
    <w:p>
      <w:pPr>
        <w:pStyle w:val="Heading1"/>
        <w:jc w:val="right"/>
        <w:bidi w:val="1"/>
      </w:pPr>
      <w:r>
        <w:rPr>
          <w:rFonts w:ascii="Noto Sans Arabic" w:hAnsi="Noto Sans Arabic" w:eastAsia="Noto Sans Arabic" w:cs="Noto Sans Arabic"/>
          <w:b/>
          <w:color w:val="17365D"/>
          <w:sz w:val="32"/>
        </w:rPr>
        <w:t>4. ضوابط Phase 09 التي يجب الحفاظ عليها</w:t>
      </w:r>
    </w:p>
    <w:p>
      <w:pPr>
        <w:pStyle w:val="ListBullet"/>
        <w:ind w:right="288" w:left="72"/>
        <w:jc w:val="right"/>
        <w:bidi w:val="1"/>
      </w:pPr>
      <w:r>
        <w:rPr>
          <w:rFonts w:ascii="Noto Sans Arabic" w:hAnsi="Noto Sans Arabic" w:eastAsia="Noto Sans Arabic" w:cs="Noto Sans Arabic"/>
          <w:sz w:val="19"/>
        </w:rPr>
        <w:t>تفعيل الضمان عبر Supabase RPC المعتمد وليس كتابة مباشرة من العميل على جدول warranty_activations.</w:t>
      </w:r>
    </w:p>
    <w:p>
      <w:pPr>
        <w:pStyle w:val="ListBullet"/>
        <w:ind w:right="288" w:left="72"/>
        <w:jc w:val="right"/>
        <w:bidi w:val="1"/>
      </w:pPr>
      <w:r>
        <w:rPr>
          <w:rFonts w:ascii="Noto Sans Arabic" w:hAnsi="Noto Sans Arabic" w:eastAsia="Noto Sans Arabic" w:cs="Noto Sans Arabic"/>
          <w:sz w:val="19"/>
        </w:rPr>
        <w:t>منع التفعيل المكرر والتحقق من حالة الرقم التسلسلي وشروط التفعيل.</w:t>
      </w:r>
    </w:p>
    <w:p>
      <w:pPr>
        <w:pStyle w:val="ListBullet"/>
        <w:ind w:right="288" w:left="72"/>
        <w:jc w:val="right"/>
        <w:bidi w:val="1"/>
      </w:pPr>
      <w:r>
        <w:rPr>
          <w:rFonts w:ascii="Noto Sans Arabic" w:hAnsi="Noto Sans Arabic" w:eastAsia="Noto Sans Arabic" w:cs="Noto Sans Arabic"/>
          <w:sz w:val="19"/>
        </w:rPr>
        <w:t>حفظ مدة الضمان وتاريخ الانتهاء كلقطة غير قابلة للتعديل عند التفعيل؛ تغيير السياسة لا يعيد كتابة التفعيلات السابقة.</w:t>
      </w:r>
    </w:p>
    <w:p>
      <w:pPr>
        <w:pStyle w:val="ListBullet"/>
        <w:ind w:right="288" w:left="72"/>
        <w:jc w:val="right"/>
        <w:bidi w:val="1"/>
      </w:pPr>
      <w:r>
        <w:rPr>
          <w:rFonts w:ascii="Noto Sans Arabic" w:hAnsi="Noto Sans Arabic" w:eastAsia="Noto Sans Arabic" w:cs="Noto Sans Arabic"/>
          <w:sz w:val="19"/>
        </w:rPr>
        <w:t>تسجيل أحداث التدقيق عبر العقد/الـRPC المعتمد، مع صلاحيات SELECT فقط للعميل على التفعيلات حيث ثبت ذلك في المرجعية الفنية.</w:t>
      </w:r>
    </w:p>
    <w:p>
      <w:pPr>
        <w:pStyle w:val="ListBullet"/>
        <w:ind w:right="288" w:left="72"/>
        <w:jc w:val="right"/>
        <w:bidi w:val="1"/>
      </w:pPr>
      <w:r>
        <w:rPr>
          <w:rFonts w:ascii="Noto Sans Arabic" w:hAnsi="Noto Sans Arabic" w:eastAsia="Noto Sans Arabic" w:cs="Noto Sans Arabic"/>
          <w:sz w:val="19"/>
        </w:rPr>
        <w:t>لا تُعلن حالة Phase 09 LIVE-VERIFIED جديدة ما لم تُنفذ اختبارات حيّة فعلية. المراجعة السابقة تسجل شهادة تاريخية ولا تعد إعادة تحقق.</w:t>
      </w:r>
    </w:p>
    <w:p>
      <w:pPr>
        <w:pStyle w:val="Heading1"/>
        <w:jc w:val="right"/>
        <w:bidi w:val="1"/>
      </w:pPr>
      <w:r>
        <w:rPr>
          <w:rFonts w:ascii="Noto Sans Arabic" w:hAnsi="Noto Sans Arabic" w:eastAsia="Noto Sans Arabic" w:cs="Noto Sans Arabic"/>
          <w:b/>
          <w:color w:val="17365D"/>
          <w:sz w:val="32"/>
        </w:rPr>
        <w:t>5. Service Case types وحالة الخدمة</w:t>
      </w:r>
    </w:p>
    <w:p>
      <w:pPr>
        <w:jc w:val="right"/>
        <w:bidi w:val="1"/>
      </w:pPr>
      <w:r>
        <w:rPr>
          <w:rFonts w:ascii="Noto Sans Arabic" w:hAnsi="Noto Sans Arabic" w:eastAsia="Noto Sans Arabic" w:cs="Noto Sans Arabic"/>
          <w:sz w:val="20"/>
        </w:rPr>
        <w:t>أنواع الحالات الأصلية: Inquiry، Complaint، Warranty، Maintenance، Replacement، Follow-Up، Other. سير الحالة المرجعي: Open → Assigned → In Progress → Resolved → Closed.</w:t>
      </w:r>
    </w:p>
    <w:tbl>
      <w:tblPr>
        <w:tblW w:type="auto" w:w="0"/>
        <w:tblLook w:firstColumn="1" w:firstRow="1" w:lastColumn="0" w:lastRow="0" w:noHBand="0" w:noVBand="1" w:val="04A0"/>
      </w:tblPr>
      <w:tblGrid>
        <w:gridCol w:w="10224"/>
      </w:tblGrid>
      <w:tr>
        <w:tc>
          <w:tcPr>
            <w:tcW w:type="dxa" w:w="10224"/>
            <w:shd w:fill="FCE4D6"/>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اقتراح مسترجع وغير معتمد — </w:t>
            </w:r>
            <w:r>
              <w:rPr>
                <w:rFonts w:ascii="Noto Sans Arabic" w:hAnsi="Noto Sans Arabic" w:eastAsia="Noto Sans Arabic" w:cs="Noto Sans Arabic"/>
                <w:sz w:val="19"/>
              </w:rPr>
              <w:t>ورد في النقاش مسار موسع: جديد → فرز أولي → تعيين مسؤول → مراجعة/فحص → قرار مطلوب → معتمد/مرفوض → إصلاح أو استبدال أو تعويض أو إرشاد → تم الحل → إغلاق. يجب مراجعة هذا المقترح واعتماد تحويلاته وصلاحياته قبل أي تغيير في enum أو قاعدة البيانات.</w:t>
            </w:r>
          </w:p>
        </w:tc>
      </w:tr>
    </w:tbl>
    <w:p/>
    <w:p>
      <w:pPr>
        <w:jc w:val="right"/>
        <w:bidi w:val="1"/>
      </w:pPr>
      <w:r>
        <w:rPr>
          <w:rFonts w:ascii="Noto Sans Arabic" w:hAnsi="Noto Sans Arabic" w:eastAsia="Noto Sans Arabic" w:cs="Noto Sans Arabic"/>
          <w:sz w:val="20"/>
        </w:rPr>
        <w:t>كل انتقال بعد اعتماده يحتاج إلى تاريخ ومنفذ وصلاحية مناسبة، وسبب/ملاحظة ومرفقات عند الحاجة، وأثر تدقيق. لا يُضاف فحص ميداني أو SLA أو قرار جديد كقاعدة ملزمة دون اعتماد.</w:t>
      </w:r>
    </w:p>
    <w:p>
      <w:pPr>
        <w:pStyle w:val="Heading1"/>
        <w:jc w:val="right"/>
        <w:bidi w:val="1"/>
      </w:pPr>
      <w:r>
        <w:rPr>
          <w:rFonts w:ascii="Noto Sans Arabic" w:hAnsi="Noto Sans Arabic" w:eastAsia="Noto Sans Arabic" w:cs="Noto Sans Arabic"/>
          <w:b/>
          <w:color w:val="17365D"/>
          <w:sz w:val="32"/>
        </w:rPr>
        <w:t>6. Replacement workflow</w:t>
      </w:r>
    </w:p>
    <w:tbl>
      <w:tblPr>
        <w:tblW w:type="auto" w:w="0"/>
        <w:jc w:val="center"/>
        <w:tblLayout w:type="fixed"/>
        <w:tblLook w:firstColumn="1" w:firstRow="1" w:lastColumn="0" w:lastRow="0" w:noHBand="0" w:noVBand="1" w:val="04A0"/>
        <w:bidiVisual/>
      </w:tblPr>
      <w:tblGrid>
        <w:gridCol w:w="2232"/>
        <w:gridCol w:w="7992"/>
      </w:tblGrid>
      <w:tr>
        <w:trPr>
          <w:tblHeader w:val="true"/>
        </w:trPr>
        <w:tc>
          <w:tcPr>
            <w:tcW w:type="dxa" w:w="223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المرحلة الأصلية</w:t>
            </w:r>
          </w:p>
        </w:tc>
        <w:tc>
          <w:tcPr>
            <w:tcW w:type="dxa" w:w="7992"/>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متطلب الحفاظ على التاريخ</w:t>
            </w:r>
          </w:p>
        </w:tc>
      </w:tr>
      <w:tr>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Requested</w:t>
            </w:r>
          </w:p>
        </w:tc>
        <w:tc>
          <w:tcPr>
            <w:tcW w:type="dxa" w:w="79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طلب استبدال مرتبط بالمنتج والرقم التسلسلي الأصلي والعميل وحالة الخدمة.</w:t>
            </w:r>
          </w:p>
        </w:tc>
      </w:tr>
      <w:tr>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Under Review</w:t>
            </w:r>
          </w:p>
        </w:tc>
        <w:tc>
          <w:tcPr>
            <w:tcW w:type="dxa" w:w="79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تسجيل المراجعة وأدلتها دون تغيير السجل الأصلي.</w:t>
            </w:r>
          </w:p>
        </w:tc>
      </w:tr>
      <w:tr>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Approved</w:t>
            </w:r>
          </w:p>
        </w:tc>
        <w:tc>
          <w:tcPr>
            <w:tcW w:type="dxa" w:w="79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الموافقة من الدور المصرح ووفق سياسة معتمدة.</w:t>
            </w:r>
          </w:p>
        </w:tc>
      </w:tr>
      <w:tr>
        <w:tc>
          <w:tcPr>
            <w:tcW w:type="dxa" w:w="223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Replacement Issued</w:t>
            </w:r>
          </w:p>
        </w:tc>
        <w:tc>
          <w:tcPr>
            <w:tcW w:type="dxa" w:w="7992"/>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إنشاء ارتباط واضح بين الرقم القديم والجديد؛ لا إعادة استخدام الرقم القديم.</w:t>
            </w:r>
          </w:p>
        </w:tc>
      </w:tr>
      <w:tr>
        <w:tc>
          <w:tcPr>
            <w:tcW w:type="dxa" w:w="223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Completed</w:t>
            </w:r>
          </w:p>
        </w:tc>
        <w:tc>
          <w:tcPr>
            <w:tcW w:type="dxa" w:w="7992"/>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إقفال الدورة مع حفظ سجل العميل والضمان والخدمة والاستبدال.</w:t>
            </w:r>
          </w:p>
        </w:tc>
      </w:tr>
    </w:tbl>
    <w:p/>
    <w:p>
      <w:pPr>
        <w:pStyle w:val="Heading1"/>
        <w:jc w:val="right"/>
        <w:bidi w:val="1"/>
      </w:pPr>
      <w:r>
        <w:rPr>
          <w:rFonts w:ascii="Noto Sans Arabic" w:hAnsi="Noto Sans Arabic" w:eastAsia="Noto Sans Arabic" w:cs="Noto Sans Arabic"/>
          <w:b/>
          <w:color w:val="17365D"/>
          <w:sz w:val="32"/>
        </w:rPr>
        <w:t>7. Compensation — حدود واضحة</w:t>
      </w:r>
    </w:p>
    <w:p>
      <w:pPr>
        <w:jc w:val="right"/>
        <w:bidi w:val="1"/>
      </w:pPr>
      <w:r>
        <w:rPr>
          <w:rFonts w:ascii="Noto Sans Arabic" w:hAnsi="Noto Sans Arabic" w:eastAsia="Noto Sans Arabic" w:cs="Noto Sans Arabic"/>
          <w:sz w:val="20"/>
        </w:rPr>
        <w:t>فكرة التعويض الواردة في النقاش هي وظيفة تشغيلية لطلب التعويض وتحديد نوعه وسببه والقرار والوصف/القيمة عند الحاجة، وربطه بحالة الخدمة أو الاستبدال مع سجل تدقيق. هذا لا ينشئ دفتر أستاذ أو قيودًا محاسبية أو حسابات أو نظام تكلفة.</w:t>
      </w:r>
    </w:p>
    <w:tbl>
      <w:tblPr>
        <w:tblW w:type="auto" w:w="0"/>
        <w:tblLook w:firstColumn="1" w:firstRow="1" w:lastColumn="0" w:lastRow="0" w:noHBand="0" w:noVBand="1" w:val="04A0"/>
      </w:tblPr>
      <w:tblGrid>
        <w:gridCol w:w="10224"/>
      </w:tblGrid>
      <w:tr>
        <w:tc>
          <w:tcPr>
            <w:tcW w:type="dxa" w:w="10224"/>
            <w:shd w:fill="F4CCCC"/>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بوابة قانونية — </w:t>
            </w:r>
            <w:r>
              <w:rPr>
                <w:rFonts w:ascii="Noto Sans Arabic" w:hAnsi="Noto Sans Arabic" w:eastAsia="Noto Sans Arabic" w:cs="Noto Sans Arabic"/>
                <w:sz w:val="19"/>
              </w:rPr>
              <w:t>سياسة التعويض/الاستبدال لكل علامة والمراجعة القانونية وفق قانون حماية المستهلك المصري لم تُحسم من الملفات الحالية. لا تُختلق مدة أو أثر قانوني أو صياغة تعهد للنشر.</w:t>
            </w:r>
          </w:p>
        </w:tc>
      </w:tr>
    </w:tbl>
    <w:p/>
    <w:p>
      <w:pPr>
        <w:pStyle w:val="Heading1"/>
        <w:jc w:val="right"/>
        <w:bidi w:val="1"/>
      </w:pPr>
      <w:r>
        <w:rPr>
          <w:rFonts w:ascii="Noto Sans Arabic" w:hAnsi="Noto Sans Arabic" w:eastAsia="Noto Sans Arabic" w:cs="Noto Sans Arabic"/>
          <w:b/>
          <w:color w:val="17365D"/>
          <w:sz w:val="32"/>
        </w:rPr>
        <w:t>8. نقل الملكية</w:t>
      </w:r>
    </w:p>
    <w:p>
      <w:pPr>
        <w:pStyle w:val="ListBullet"/>
        <w:ind w:right="288" w:left="72"/>
        <w:jc w:val="right"/>
        <w:bidi w:val="1"/>
      </w:pPr>
      <w:r>
        <w:rPr>
          <w:rFonts w:ascii="Noto Sans Arabic" w:hAnsi="Noto Sans Arabic" w:eastAsia="Noto Sans Arabic" w:cs="Noto Sans Arabic"/>
          <w:sz w:val="19"/>
        </w:rPr>
        <w:t>نقل الملكية حدث تتبع للمنتج نفسه؛ لا ينشئ رقمًا تسلسليًا جديدًا.</w:t>
      </w:r>
    </w:p>
    <w:p>
      <w:pPr>
        <w:pStyle w:val="ListBullet"/>
        <w:ind w:right="288" w:left="72"/>
        <w:jc w:val="right"/>
        <w:bidi w:val="1"/>
      </w:pPr>
      <w:r>
        <w:rPr>
          <w:rFonts w:ascii="Noto Sans Arabic" w:hAnsi="Noto Sans Arabic" w:eastAsia="Noto Sans Arabic" w:cs="Noto Sans Arabic"/>
          <w:sz w:val="19"/>
        </w:rPr>
        <w:t>طالما الضمان سارٍ، لا يغير النقل مدة الضمان أو تاريخ انتهائه أو حالته تلقائيًا.</w:t>
      </w:r>
    </w:p>
    <w:p>
      <w:pPr>
        <w:pStyle w:val="ListBullet"/>
        <w:ind w:right="288" w:left="72"/>
        <w:jc w:val="right"/>
        <w:bidi w:val="1"/>
      </w:pPr>
      <w:r>
        <w:rPr>
          <w:rFonts w:ascii="Noto Sans Arabic" w:hAnsi="Noto Sans Arabic" w:eastAsia="Noto Sans Arabic" w:cs="Noto Sans Arabic"/>
          <w:sz w:val="19"/>
        </w:rPr>
        <w:t>استبدال المنتج بمنتج آخر دورة منفصلة تربط الرقم القديم بالجديد وتحفظ التاريخ الكامل.</w:t>
      </w:r>
    </w:p>
    <w:p>
      <w:pPr>
        <w:pStyle w:val="ListBullet"/>
        <w:ind w:right="288" w:left="72"/>
        <w:jc w:val="right"/>
        <w:bidi w:val="1"/>
      </w:pPr>
      <w:r>
        <w:rPr>
          <w:rFonts w:ascii="Noto Sans Arabic" w:hAnsi="Noto Sans Arabic" w:eastAsia="Noto Sans Arabic" w:cs="Noto Sans Arabic"/>
          <w:sz w:val="19"/>
        </w:rPr>
        <w:t>لم يُحسم بعد هل Lost/Destroyed/Cancelled/Returned/Transferred حالات حالية أم أحداث تاريخية؛ لا تعديل للمخطط قبل اعتماد التفسير.</w:t>
      </w:r>
    </w:p>
    <w:p>
      <w:pPr>
        <w:pStyle w:val="Heading1"/>
        <w:jc w:val="right"/>
        <w:bidi w:val="1"/>
      </w:pPr>
      <w:r>
        <w:rPr>
          <w:rFonts w:ascii="Noto Sans Arabic" w:hAnsi="Noto Sans Arabic" w:eastAsia="Noto Sans Arabic" w:cs="Noto Sans Arabic"/>
          <w:b/>
          <w:color w:val="17365D"/>
          <w:sz w:val="32"/>
        </w:rPr>
        <w:t>9. Public Warranty Verification والخصوصية</w:t>
      </w:r>
    </w:p>
    <w:p>
      <w:pPr>
        <w:jc w:val="right"/>
        <w:bidi w:val="1"/>
      </w:pPr>
      <w:r>
        <w:rPr>
          <w:rFonts w:ascii="Noto Sans Arabic" w:hAnsi="Noto Sans Arabic" w:eastAsia="Noto Sans Arabic" w:cs="Noto Sans Arabic"/>
          <w:sz w:val="20"/>
        </w:rPr>
        <w:t>صفحة /verify عامة للقراءة فقط، وتقبل طرق البحث المصرح بها في المرجعية: Serial أو QR أو Barcode. يمكن دراسة مساعدة العميل أو بدء طلب خدمة بعد تحقق صحيح، لكن البحث العام لا يكشف اسم العميل أو هاتفه أو الرقم القومي أو الفاتورة أو المرفقات الخاصة.</w:t>
      </w:r>
    </w:p>
    <w:p>
      <w:pPr>
        <w:pStyle w:val="ListBullet"/>
        <w:ind w:right="288" w:left="72"/>
        <w:jc w:val="right"/>
        <w:bidi w:val="1"/>
      </w:pPr>
      <w:r>
        <w:rPr>
          <w:rFonts w:ascii="Noto Sans Arabic" w:hAnsi="Noto Sans Arabic" w:eastAsia="Noto Sans Arabic" w:cs="Noto Sans Arabic"/>
          <w:sz w:val="19"/>
        </w:rPr>
        <w:t>الحقول العامة تقتصر على بيانات المنتج والضمان الضرورية للتحقق.</w:t>
      </w:r>
    </w:p>
    <w:p>
      <w:pPr>
        <w:pStyle w:val="ListBullet"/>
        <w:ind w:right="288" w:left="72"/>
        <w:jc w:val="right"/>
        <w:bidi w:val="1"/>
      </w:pPr>
      <w:r>
        <w:rPr>
          <w:rFonts w:ascii="Noto Sans Arabic" w:hAnsi="Noto Sans Arabic" w:eastAsia="Noto Sans Arabic" w:cs="Noto Sans Arabic"/>
          <w:sz w:val="19"/>
        </w:rPr>
        <w:t>بحث الهاتف أو الفاتورة أو معلومات العميل ليس إذنًا بإظهار بيانات شخصية للعامة؛ يوضع داخل مساحة مصرح بها أو رحلة تحقق مقيدة إذا اعتمدت.</w:t>
      </w:r>
    </w:p>
    <w:p>
      <w:pPr>
        <w:pStyle w:val="ListBullet"/>
        <w:ind w:right="288" w:left="72"/>
        <w:jc w:val="right"/>
        <w:bidi w:val="1"/>
      </w:pPr>
      <w:r>
        <w:rPr>
          <w:rFonts w:ascii="Noto Sans Arabic" w:hAnsi="Noto Sans Arabic" w:eastAsia="Noto Sans Arabic" w:cs="Noto Sans Arabic"/>
          <w:sz w:val="19"/>
        </w:rPr>
        <w:t>رفع صور المنتج/الفاتورة، وطلب الشكوى أو الاستبدال عبر QR أفكار مسترجعة تحتاج تصميم مصادقة وصلاحيات وسياسة احتفاظ قبل التنفيذ.</w:t>
      </w:r>
    </w:p>
    <w:p>
      <w:pPr>
        <w:pStyle w:val="ListBullet"/>
        <w:ind w:right="288" w:left="72"/>
        <w:jc w:val="right"/>
        <w:bidi w:val="1"/>
      </w:pPr>
      <w:r>
        <w:rPr>
          <w:rFonts w:ascii="Noto Sans Arabic" w:hAnsi="Noto Sans Arabic" w:eastAsia="Noto Sans Arabic" w:cs="Noto Sans Arabic"/>
          <w:sz w:val="19"/>
        </w:rPr>
        <w:t>المرفقات عبر Supabase Storage بصلاحيات خاصة وروابط آمنة؛ لا روابط عامة غير مقصودة.</w:t>
      </w:r>
    </w:p>
    <w:p>
      <w:pPr>
        <w:pStyle w:val="Heading1"/>
        <w:jc w:val="right"/>
        <w:bidi w:val="1"/>
      </w:pPr>
      <w:r>
        <w:rPr>
          <w:rFonts w:ascii="Noto Sans Arabic" w:hAnsi="Noto Sans Arabic" w:eastAsia="Noto Sans Arabic" w:cs="Noto Sans Arabic"/>
          <w:b/>
          <w:color w:val="17365D"/>
          <w:sz w:val="32"/>
        </w:rPr>
        <w:t>10. الأدوار ومصفوفة الصلاحيات</w:t>
      </w:r>
    </w:p>
    <w:p>
      <w:pPr>
        <w:jc w:val="right"/>
        <w:bidi w:val="1"/>
      </w:pPr>
      <w:r>
        <w:rPr>
          <w:rFonts w:ascii="Noto Sans Arabic" w:hAnsi="Noto Sans Arabic" w:eastAsia="Noto Sans Arabic" w:cs="Noto Sans Arabic"/>
          <w:sz w:val="20"/>
        </w:rPr>
        <w:t>الأدوار الأصلية في SSoT هي Administrator وProduction Manager وProduction Operator وPrinting Operator وCustomer Service User وWarranty Manager وRead Only User. تظهر اختلافات أسماء في ZIP (Customer Service Agent وWarranty Officer وService Manager). يلزم اعتماد خريطة رسمية قبل تعديل Auth أو RLS. تفضيل المالك السماح بأكثر من دور للموظف الواحد يحتاج التحقق من تصميم قاعدة البيانات والسياسات.</w:t>
      </w:r>
    </w:p>
    <w:p>
      <w:pPr>
        <w:pStyle w:val="Heading1"/>
        <w:jc w:val="right"/>
        <w:bidi w:val="1"/>
      </w:pPr>
      <w:r>
        <w:rPr>
          <w:rFonts w:ascii="Noto Sans Arabic" w:hAnsi="Noto Sans Arabic" w:eastAsia="Noto Sans Arabic" w:cs="Noto Sans Arabic"/>
          <w:b/>
          <w:color w:val="17365D"/>
          <w:sz w:val="32"/>
        </w:rPr>
        <w:t>11. الإشعارات وقنوات الاتصال</w:t>
      </w:r>
    </w:p>
    <w:p>
      <w:pPr>
        <w:pStyle w:val="ListBullet"/>
        <w:ind w:right="288" w:left="72"/>
        <w:jc w:val="right"/>
        <w:bidi w:val="1"/>
      </w:pPr>
      <w:r>
        <w:rPr>
          <w:rFonts w:ascii="Noto Sans Arabic" w:hAnsi="Noto Sans Arabic" w:eastAsia="Noto Sans Arabic" w:cs="Noto Sans Arabic"/>
          <w:sz w:val="19"/>
        </w:rPr>
        <w:t>الإشعارات داخل التطبيق ضمن المتطلبات.</w:t>
      </w:r>
    </w:p>
    <w:p>
      <w:pPr>
        <w:pStyle w:val="ListBullet"/>
        <w:ind w:right="288" w:left="72"/>
        <w:jc w:val="right"/>
        <w:bidi w:val="1"/>
      </w:pPr>
      <w:r>
        <w:rPr>
          <w:rFonts w:ascii="Noto Sans Arabic" w:hAnsi="Noto Sans Arabic" w:eastAsia="Noto Sans Arabic" w:cs="Noto Sans Arabic"/>
          <w:sz w:val="19"/>
        </w:rPr>
        <w:t>WhatsApp والبريد مطلوبان من حيث الاتجاه، لكن المزود وبيانات الإعداد غير محددين؛ لا أسرار داخل المستودع.</w:t>
      </w:r>
    </w:p>
    <w:p>
      <w:pPr>
        <w:pStyle w:val="ListBullet"/>
        <w:ind w:right="288" w:left="72"/>
        <w:jc w:val="right"/>
        <w:bidi w:val="1"/>
      </w:pPr>
      <w:r>
        <w:rPr>
          <w:rFonts w:ascii="Noto Sans Arabic" w:hAnsi="Noto Sans Arabic" w:eastAsia="Noto Sans Arabic" w:cs="Noto Sans Arabic"/>
          <w:sz w:val="19"/>
        </w:rPr>
        <w:t>المعلومات المنشورة في Footer أو ملصق أو بوابة عامة لا تستخدم رقم WhatsApp أو نصًا قانونيًا إلا بعد التحقق والموافقة.</w:t>
      </w:r>
    </w:p>
    <w:p>
      <w:pPr>
        <w:pStyle w:val="Heading1"/>
        <w:jc w:val="right"/>
        <w:bidi w:val="1"/>
      </w:pPr>
      <w:r>
        <w:rPr>
          <w:rFonts w:ascii="Noto Sans Arabic" w:hAnsi="Noto Sans Arabic" w:eastAsia="Noto Sans Arabic" w:cs="Noto Sans Arabic"/>
          <w:b/>
          <w:color w:val="17365D"/>
          <w:sz w:val="32"/>
        </w:rPr>
        <w:t>12. اختبارات قبول خدمة العملاء والضمان</w:t>
      </w:r>
    </w:p>
    <w:p>
      <w:pPr>
        <w:pStyle w:val="ListNumber"/>
        <w:ind w:right="288"/>
        <w:jc w:val="right"/>
        <w:bidi w:val="1"/>
      </w:pPr>
      <w:r>
        <w:rPr>
          <w:rFonts w:ascii="Noto Sans Arabic" w:hAnsi="Noto Sans Arabic" w:eastAsia="Noto Sans Arabic" w:cs="Noto Sans Arabic"/>
          <w:sz w:val="19"/>
        </w:rPr>
        <w:t>اختبار تفعيل ضمان صحيح وتاريخ البداية من فاتورة المستهلك.</w:t>
      </w:r>
    </w:p>
    <w:p>
      <w:pPr>
        <w:pStyle w:val="ListNumber"/>
        <w:ind w:right="288"/>
        <w:jc w:val="right"/>
        <w:bidi w:val="1"/>
      </w:pPr>
      <w:r>
        <w:rPr>
          <w:rFonts w:ascii="Noto Sans Arabic" w:hAnsi="Noto Sans Arabic" w:eastAsia="Noto Sans Arabic" w:cs="Noto Sans Arabic"/>
          <w:sz w:val="19"/>
        </w:rPr>
        <w:t>اختبار منع التفعيل المكرر وعدم السماح بالكتابة المباشرة على warranty_activations.</w:t>
      </w:r>
    </w:p>
    <w:p>
      <w:pPr>
        <w:pStyle w:val="ListNumber"/>
        <w:ind w:right="288"/>
        <w:jc w:val="right"/>
        <w:bidi w:val="1"/>
      </w:pPr>
      <w:r>
        <w:rPr>
          <w:rFonts w:ascii="Noto Sans Arabic" w:hAnsi="Noto Sans Arabic" w:eastAsia="Noto Sans Arabic" w:cs="Noto Sans Arabic"/>
          <w:sz w:val="19"/>
        </w:rPr>
        <w:t>اختبار ثبات snapshot المدة/تاريخ الانتهاء بعد تغيير السياسة لموديل لاحق.</w:t>
      </w:r>
    </w:p>
    <w:p>
      <w:pPr>
        <w:pStyle w:val="ListNumber"/>
        <w:ind w:right="288"/>
        <w:jc w:val="right"/>
        <w:bidi w:val="1"/>
      </w:pPr>
      <w:r>
        <w:rPr>
          <w:rFonts w:ascii="Noto Sans Arabic" w:hAnsi="Noto Sans Arabic" w:eastAsia="Noto Sans Arabic" w:cs="Noto Sans Arabic"/>
          <w:sz w:val="19"/>
        </w:rPr>
        <w:t>اختبار صلاحيات القراءة والتعديل لكل دور مع حالات السماح والمنع.</w:t>
      </w:r>
    </w:p>
    <w:p>
      <w:pPr>
        <w:pStyle w:val="ListNumber"/>
        <w:ind w:right="288"/>
        <w:jc w:val="right"/>
        <w:bidi w:val="1"/>
      </w:pPr>
      <w:r>
        <w:rPr>
          <w:rFonts w:ascii="Noto Sans Arabic" w:hAnsi="Noto Sans Arabic" w:eastAsia="Noto Sans Arabic" w:cs="Noto Sans Arabic"/>
          <w:sz w:val="19"/>
        </w:rPr>
        <w:t>اختبار Service Case من Open إلى Closed مع سجل انتقالات كامل.</w:t>
      </w:r>
    </w:p>
    <w:p>
      <w:pPr>
        <w:pStyle w:val="ListNumber"/>
        <w:ind w:right="288"/>
        <w:jc w:val="right"/>
        <w:bidi w:val="1"/>
      </w:pPr>
      <w:r>
        <w:rPr>
          <w:rFonts w:ascii="Noto Sans Arabic" w:hAnsi="Noto Sans Arabic" w:eastAsia="Noto Sans Arabic" w:cs="Noto Sans Arabic"/>
          <w:sz w:val="19"/>
        </w:rPr>
        <w:t>اختبار Replacement يربط القديم بالجديد ويحافظ على السجلات القديمة.</w:t>
      </w:r>
    </w:p>
    <w:p>
      <w:pPr>
        <w:pStyle w:val="ListNumber"/>
        <w:ind w:right="288"/>
        <w:jc w:val="right"/>
        <w:bidi w:val="1"/>
      </w:pPr>
      <w:r>
        <w:rPr>
          <w:rFonts w:ascii="Noto Sans Arabic" w:hAnsi="Noto Sans Arabic" w:eastAsia="Noto Sans Arabic" w:cs="Noto Sans Arabic"/>
          <w:sz w:val="19"/>
        </w:rPr>
        <w:t>اختبار نقل الملكية دون إنشاء Serial جديد أو تغيير الضمان النشط.</w:t>
      </w:r>
    </w:p>
    <w:p>
      <w:pPr>
        <w:pStyle w:val="ListNumber"/>
        <w:ind w:right="288"/>
        <w:jc w:val="right"/>
        <w:bidi w:val="1"/>
      </w:pPr>
      <w:r>
        <w:rPr>
          <w:rFonts w:ascii="Noto Sans Arabic" w:hAnsi="Noto Sans Arabic" w:eastAsia="Noto Sans Arabic" w:cs="Noto Sans Arabic"/>
          <w:sz w:val="19"/>
        </w:rPr>
        <w:t>اختبار أن /verify لا يعرض PII أو فاتورة أو مرفقات خاصة.</w:t>
      </w:r>
    </w:p>
    <w:p>
      <w:pPr>
        <w:pStyle w:val="ListNumber"/>
        <w:ind w:right="288"/>
        <w:jc w:val="right"/>
        <w:bidi w:val="1"/>
      </w:pPr>
      <w:r>
        <w:rPr>
          <w:rFonts w:ascii="Noto Sans Arabic" w:hAnsi="Noto Sans Arabic" w:eastAsia="Noto Sans Arabic" w:cs="Noto Sans Arabic"/>
          <w:sz w:val="19"/>
        </w:rPr>
        <w:t>اختبار رفع/تحميل المرفقات وسياسات Storage الخاصة والعامة.</w:t>
      </w:r>
    </w:p>
    <w:p>
      <w:pPr>
        <w:pStyle w:val="ListNumber"/>
        <w:ind w:right="288"/>
        <w:jc w:val="right"/>
        <w:bidi w:val="1"/>
      </w:pPr>
      <w:r>
        <w:rPr>
          <w:rFonts w:ascii="Noto Sans Arabic" w:hAnsi="Noto Sans Arabic" w:eastAsia="Noto Sans Arabic" w:cs="Noto Sans Arabic"/>
          <w:sz w:val="19"/>
        </w:rPr>
        <w:t>اختبار التعويض كحالة تشغيلية فقط وعدم إنشاء وظائف محاسبة.</w:t>
      </w:r>
    </w:p>
    <w:p>
      <w:pPr>
        <w:pStyle w:val="Heading1"/>
        <w:jc w:val="right"/>
        <w:bidi w:val="1"/>
      </w:pPr>
      <w:r>
        <w:rPr>
          <w:rFonts w:ascii="Noto Sans Arabic" w:hAnsi="Noto Sans Arabic" w:eastAsia="Noto Sans Arabic" w:cs="Noto Sans Arabic"/>
          <w:b/>
          <w:color w:val="17365D"/>
          <w:sz w:val="32"/>
        </w:rPr>
        <w:t>13. قرارات معلقة</w:t>
      </w:r>
    </w:p>
    <w:tbl>
      <w:tblPr>
        <w:tblW w:type="auto" w:w="0"/>
        <w:jc w:val="center"/>
        <w:tblLayout w:type="fixed"/>
        <w:tblLook w:firstColumn="1" w:firstRow="1" w:lastColumn="0" w:lastRow="0" w:noHBand="0" w:noVBand="1" w:val="04A0"/>
        <w:bidiVisual/>
      </w:tblPr>
      <w:tblGrid>
        <w:gridCol w:w="1224"/>
        <w:gridCol w:w="3960"/>
        <w:gridCol w:w="5040"/>
      </w:tblGrid>
      <w:tr>
        <w:trPr>
          <w:tblHeader w:val="true"/>
        </w:trPr>
        <w:tc>
          <w:tcPr>
            <w:tcW w:type="dxa" w:w="1224"/>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المعرّف</w:t>
            </w:r>
          </w:p>
        </w:tc>
        <w:tc>
          <w:tcPr>
            <w:tcW w:type="dxa" w:w="3960"/>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البند</w:t>
            </w:r>
          </w:p>
        </w:tc>
        <w:tc>
          <w:tcPr>
            <w:tcW w:type="dxa" w:w="5040"/>
            <w:shd w:fill="17365D"/>
            <w:vAlign w:val="center"/>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Pr>
          <w:p>
            <w:pPr>
              <w:jc w:val="center"/>
              <w:bidi w:val="1"/>
            </w:pPr>
            <w:r>
              <w:rPr>
                <w:rFonts w:ascii="Noto Sans Arabic" w:hAnsi="Noto Sans Arabic" w:eastAsia="Noto Sans Arabic" w:cs="Noto Sans Arabic"/>
                <w:b/>
                <w:color w:val="FFFFFF"/>
                <w:sz w:val="16"/>
              </w:rPr>
              <w:t>الحالة/الإجراء</w:t>
            </w:r>
          </w:p>
        </w:tc>
      </w:tr>
      <w:tr>
        <w:tc>
          <w:tcPr>
            <w:tcW w:type="dxa" w:w="12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C-01</w:t>
            </w:r>
          </w:p>
        </w:tc>
        <w:tc>
          <w:tcPr>
            <w:tcW w:type="dxa" w:w="3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اعتماد Workflow خدمة العملاء الموسع</w:t>
            </w:r>
          </w:p>
        </w:tc>
        <w:tc>
          <w:tcPr>
            <w:tcW w:type="dxa" w:w="504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 مراجعة الحالات والانتقالات والصلاحيات.</w:t>
            </w:r>
          </w:p>
        </w:tc>
      </w:tr>
      <w:tr>
        <w:tc>
          <w:tcPr>
            <w:tcW w:type="dxa" w:w="12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C-02</w:t>
            </w:r>
          </w:p>
        </w:tc>
        <w:tc>
          <w:tcPr>
            <w:tcW w:type="dxa" w:w="396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سياسة الاستبدال والتعويض لكل علامة</w:t>
            </w:r>
          </w:p>
        </w:tc>
        <w:tc>
          <w:tcPr>
            <w:tcW w:type="dxa" w:w="504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 مستند معتمد/مراجعة قانونية مطلوبة.</w:t>
            </w:r>
          </w:p>
        </w:tc>
      </w:tr>
      <w:tr>
        <w:tc>
          <w:tcPr>
            <w:tcW w:type="dxa" w:w="12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C-03</w:t>
            </w:r>
          </w:p>
        </w:tc>
        <w:tc>
          <w:tcPr>
            <w:tcW w:type="dxa" w:w="3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حالات Serial الجديدة أم أحداث تاريخية</w:t>
            </w:r>
          </w:p>
        </w:tc>
        <w:tc>
          <w:tcPr>
            <w:tcW w:type="dxa" w:w="504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 لا تعديل مخطط قبل القرار.</w:t>
            </w:r>
          </w:p>
        </w:tc>
      </w:tr>
      <w:tr>
        <w:tc>
          <w:tcPr>
            <w:tcW w:type="dxa" w:w="12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C-04</w:t>
            </w:r>
          </w:p>
        </w:tc>
        <w:tc>
          <w:tcPr>
            <w:tcW w:type="dxa" w:w="396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Role Mapping والسماح بتعدد الأدوار</w:t>
            </w:r>
          </w:p>
        </w:tc>
        <w:tc>
          <w:tcPr>
            <w:tcW w:type="dxa" w:w="504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 قرار منفصل قبل Auth/RLS.</w:t>
            </w:r>
          </w:p>
        </w:tc>
      </w:tr>
      <w:tr>
        <w:tc>
          <w:tcPr>
            <w:tcW w:type="dxa" w:w="12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C-05</w:t>
            </w:r>
          </w:p>
        </w:tc>
        <w:tc>
          <w:tcPr>
            <w:tcW w:type="dxa" w:w="3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توحيد تعليمات تقليب SH (شهر/3 أشهر)</w:t>
            </w:r>
          </w:p>
        </w:tc>
        <w:tc>
          <w:tcPr>
            <w:tcW w:type="dxa" w:w="504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 اعتماد نص واحد قبل النشر.</w:t>
            </w:r>
          </w:p>
        </w:tc>
      </w:tr>
      <w:tr>
        <w:tc>
          <w:tcPr>
            <w:tcW w:type="dxa" w:w="12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C-06</w:t>
            </w:r>
          </w:p>
        </w:tc>
        <w:tc>
          <w:tcPr>
            <w:tcW w:type="dxa" w:w="396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رفع صور/بدء طلب خدمة من QR</w:t>
            </w:r>
          </w:p>
        </w:tc>
        <w:tc>
          <w:tcPr>
            <w:tcW w:type="dxa" w:w="504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 تحديد المصادقة والحقول العامة.</w:t>
            </w:r>
          </w:p>
        </w:tc>
      </w:tr>
      <w:tr>
        <w:tc>
          <w:tcPr>
            <w:tcW w:type="dxa" w:w="1224"/>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C-07</w:t>
            </w:r>
          </w:p>
        </w:tc>
        <w:tc>
          <w:tcPr>
            <w:tcW w:type="dxa" w:w="396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مزود WhatsApp والبريد</w:t>
            </w:r>
          </w:p>
        </w:tc>
        <w:tc>
          <w:tcPr>
            <w:tcW w:type="dxa" w:w="5040"/>
            <w:vAlign w:val="center"/>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 اختيار مزود وطريقة إعداد آمنة.</w:t>
            </w:r>
          </w:p>
        </w:tc>
      </w:tr>
      <w:tr>
        <w:tc>
          <w:tcPr>
            <w:tcW w:type="dxa" w:w="1224"/>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C-08</w:t>
            </w:r>
          </w:p>
        </w:tc>
        <w:tc>
          <w:tcPr>
            <w:tcW w:type="dxa" w:w="396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نصوص الضمان العامة لكل علامة</w:t>
            </w:r>
          </w:p>
        </w:tc>
        <w:tc>
          <w:tcPr>
            <w:tcW w:type="dxa" w:w="5040"/>
            <w:vAlign w:val="center"/>
            <w:shd w:fill="F3F6F9"/>
            <w:tcBorders>
              <w:top w:val="single" w:sz="4" w:space="0" w:color="D5DDE5"/>
              <w:left w:val="single" w:sz="4" w:space="0" w:color="D5DDE5"/>
              <w:bottom w:val="single" w:sz="4" w:space="0" w:color="D5DDE5"/>
              <w:right w:val="single" w:sz="4" w:space="0" w:color="D5DDE5"/>
              <w:insideH w:val="single" w:sz="4" w:space="0" w:color="D5DDE5"/>
              <w:insideV w:val="single" w:sz="4" w:space="0" w:color="D5DDE5"/>
            </w:tcBorders>
          </w:tcPr>
          <w:p>
            <w:pPr>
              <w:spacing w:after="20" w:before="20"/>
              <w:jc w:val="right"/>
              <w:bidi w:val="1"/>
            </w:pPr>
            <w:r>
              <w:rPr>
                <w:rFonts w:ascii="Noto Sans Arabic" w:hAnsi="Noto Sans Arabic" w:eastAsia="Noto Sans Arabic" w:cs="Noto Sans Arabic"/>
                <w:sz w:val="16"/>
              </w:rPr>
              <w:t>معلّق — لا تعميم نص SH على باقي العلامات.</w:t>
            </w:r>
          </w:p>
        </w:tc>
      </w:tr>
    </w:tbl>
    <w:p/>
    <w:p>
      <w:pPr>
        <w:pStyle w:val="Heading1"/>
        <w:jc w:val="right"/>
        <w:bidi w:val="1"/>
      </w:pPr>
      <w:r>
        <w:rPr>
          <w:rFonts w:ascii="Noto Sans Arabic" w:hAnsi="Noto Sans Arabic" w:eastAsia="Noto Sans Arabic" w:cs="Noto Sans Arabic"/>
          <w:b/>
          <w:color w:val="17365D"/>
          <w:sz w:val="32"/>
        </w:rPr>
        <w:t>14. حالة الوثيقة</w:t>
      </w:r>
    </w:p>
    <w:tbl>
      <w:tblPr>
        <w:tblW w:type="auto" w:w="0"/>
        <w:tblLook w:firstColumn="1" w:firstRow="1" w:lastColumn="0" w:lastRow="0" w:noHBand="0" w:noVBand="1" w:val="04A0"/>
      </w:tblPr>
      <w:tblGrid>
        <w:gridCol w:w="10224"/>
      </w:tblGrid>
      <w:tr>
        <w:tc>
          <w:tcPr>
            <w:tcW w:type="dxa" w:w="10224"/>
            <w:shd w:fill="F4CCCC"/>
            <w:tcBorders>
              <w:top w:val="single" w:sz="6" w:space="0" w:color="A6B8CC"/>
              <w:left w:val="single" w:sz="6" w:space="0" w:color="A6B8CC"/>
              <w:bottom w:val="single" w:sz="6" w:space="0" w:color="A6B8CC"/>
              <w:right w:val="single" w:sz="6" w:space="0" w:color="A6B8CC"/>
              <w:insideH w:val="single" w:sz="6" w:space="0" w:color="A6B8CC"/>
              <w:insideV w:val="single" w:sz="6" w:space="0" w:color="A6B8CC"/>
            </w:tcBorders>
          </w:tcPr>
          <w:p>
            <w:pPr>
              <w:jc w:val="right"/>
              <w:bidi w:val="1"/>
            </w:pPr>
            <w:r/>
            <w:r>
              <w:rPr>
                <w:rFonts w:ascii="Noto Sans Arabic" w:hAnsi="Noto Sans Arabic" w:eastAsia="Noto Sans Arabic" w:cs="Noto Sans Arabic"/>
                <w:b/>
                <w:color w:val="17365D"/>
                <w:sz w:val="19"/>
              </w:rPr>
              <w:t xml:space="preserve">الحالة — </w:t>
            </w:r>
            <w:r>
              <w:rPr>
                <w:rFonts w:ascii="Noto Sans Arabic" w:hAnsi="Noto Sans Arabic" w:eastAsia="Noto Sans Arabic" w:cs="Noto Sans Arabic"/>
                <w:sz w:val="19"/>
              </w:rPr>
              <w:t>DRAFT — لا تستبدل SSoT ولا تصرح بتغيير Phase 09 أو Auth/RLS أو تنفيذ migrations. جميع القرارات المعلقة يجب ربطها بسجل المتطلبات.</w:t>
            </w:r>
          </w:p>
        </w:tc>
      </w:tr>
    </w:tbl>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eastAsia="Noto Sans Arabic" w:cs="Noto Sans Arabic"/>
        <w:color w:val="666666"/>
        <w:sz w:val="16"/>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eastAsia="Noto Sans Arabic" w:cs="Noto Sans Arabic"/>
        <w:b/>
        <w:color w:val="0F6B78"/>
        <w:sz w:val="16"/>
      </w:rPr>
      <w:t>SLEEPEE  |  المرجع التنفيذي قيد المراجعة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Arabic" w:hAnsi="Noto Sans Arabic" w:cs="Noto Sans Arabi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Arabic" w:hAnsi="Noto Sans Arabic" w:cs="Noto Sans Arabic"/>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Arabic" w:hAnsi="Noto Sans Arabic" w:cs="Noto Sans Arabic"/>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Arabic" w:hAnsi="Noto Sans Arabic" w:cs="Noto Sans Arabic"/>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