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bidi w:val="1"/>
      </w:pPr>
      <w:r>
        <w:rPr>
          <w:rFonts w:ascii="Noto Sans Arabic" w:hAnsi="Noto Sans Arabic" w:eastAsia="Noto Sans Arabic" w:cs="Noto Sans Arabic"/>
          <w:b/>
          <w:color w:val="0F6B78"/>
          <w:sz w:val="38"/>
        </w:rPr>
        <w:t>SLEEPEE</w:t>
      </w:r>
    </w:p>
    <w:p>
      <w:pPr>
        <w:jc w:val="center"/>
        <w:bidi w:val="1"/>
      </w:pPr>
      <w:r>
        <w:rPr>
          <w:rFonts w:ascii="Noto Sans Arabic" w:hAnsi="Noto Sans Arabic" w:eastAsia="Noto Sans Arabic" w:cs="Noto Sans Arabic"/>
          <w:b/>
          <w:color w:val="17365D"/>
          <w:sz w:val="46"/>
        </w:rPr>
        <w:t>تصميم التصنيع وهندسة المنتج</w:t>
      </w:r>
    </w:p>
    <w:p>
      <w:pPr>
        <w:jc w:val="center"/>
        <w:bidi w:val="1"/>
      </w:pPr>
      <w:r>
        <w:rPr>
          <w:rFonts w:ascii="Noto Sans Arabic" w:hAnsi="Noto Sans Arabic" w:eastAsia="Noto Sans Arabic" w:cs="Noto Sans Arabic"/>
          <w:b/>
          <w:color w:val="666666"/>
          <w:sz w:val="22"/>
        </w:rPr>
        <w:t>Sleepee Manufacturing, Warranty &amp; Customer Service Platform</w:t>
      </w:r>
    </w:p>
    <w:p/>
    <w:tbl>
      <w:tblPr>
        <w:tblW w:type="auto" w:w="0"/>
        <w:jc w:val="center"/>
        <w:tblLayout w:type="fixed"/>
        <w:tblLook w:firstColumn="1" w:firstRow="1" w:lastColumn="0" w:lastRow="0" w:noHBand="0" w:noVBand="1" w:val="04A0"/>
      </w:tblPr>
      <w:tblGrid>
        <w:gridCol w:w="2232"/>
        <w:gridCol w:w="8064"/>
      </w:tblGrid>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معرّف الوثيقة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SLEEPEE-MFG-001</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الإصدار</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v1.0</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الحالة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مسودة للمراجعة — غير معتمدة للتنفيذ</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المرجعية الحاكمة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Sleepee_Single_Source_Of_Truth_v1.0</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تاريخ الإعداد</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10 أكتوبر 2026</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صلاحية التنفيذ</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لا تمنح هذه المسودة موافقة على تعديل الكود أو GitHub أو Supabase.</w:t>
            </w:r>
          </w:p>
        </w:tc>
      </w:tr>
    </w:tbl>
    <w:p/>
    <w:p>
      <w:pPr>
        <w:spacing w:before="400"/>
        <w:jc w:val="center"/>
        <w:bidi w:val="1"/>
      </w:pPr>
      <w:r>
        <w:rPr>
          <w:rFonts w:ascii="Noto Sans Arabic" w:hAnsi="Noto Sans Arabic" w:eastAsia="Noto Sans Arabic" w:cs="Noto Sans Arabic"/>
          <w:b/>
          <w:color w:val="9C0006"/>
          <w:sz w:val="20"/>
        </w:rPr>
        <w:t>وثيقة تكميلية مستقلة — لا تستبدل المرجعية الأصلية ولا تعدّلها</w:t>
      </w:r>
    </w:p>
    <w:p>
      <w:r>
        <w:br w:type="page"/>
      </w:r>
    </w:p>
    <w:p>
      <w:pPr>
        <w:pStyle w:val="Heading1"/>
        <w:jc w:val="right"/>
        <w:bidi w:val="1"/>
      </w:pPr>
      <w:r>
        <w:rPr>
          <w:rFonts w:ascii="Noto Sans Arabic" w:hAnsi="Noto Sans Arabic" w:eastAsia="Noto Sans Arabic" w:cs="Noto Sans Arabic"/>
          <w:b/>
          <w:color w:val="17365D"/>
          <w:sz w:val="32"/>
        </w:rPr>
        <w:t>1. الغرض وحدود التصميم</w:t>
      </w:r>
    </w:p>
    <w:p>
      <w:pPr>
        <w:jc w:val="right"/>
        <w:bidi w:val="1"/>
      </w:pPr>
      <w:r>
        <w:rPr>
          <w:rFonts w:ascii="Noto Sans Arabic" w:hAnsi="Noto Sans Arabic" w:eastAsia="Noto Sans Arabic" w:cs="Noto Sans Arabic"/>
          <w:sz w:val="20"/>
        </w:rPr>
        <w:t>تحدد هذه الوثيقة كيف يجب أن نمثل Product Tree وBOM وRouting وأزمنة التشغيل وأوامر الإنتاج والدفعات والأرقام التسلسلية والملصقات والطباعة. وهي لا تعني أن هذه النماذج موجودة أو مكتملة في الكود الحالي.</w:t>
      </w:r>
    </w:p>
    <w:tbl>
      <w:tblPr>
        <w:tblW w:type="auto" w:w="0"/>
        <w:tblLook w:firstColumn="1" w:firstRow="1" w:lastColumn="0" w:lastRow="0" w:noHBand="0" w:noVBand="1" w:val="04A0"/>
      </w:tblPr>
      <w:tblGrid>
        <w:gridCol w:w="10224"/>
      </w:tblGrid>
      <w:tr>
        <w:tc>
          <w:tcPr>
            <w:tcW w:type="dxa" w:w="10224"/>
            <w:shd w:fill="FCE4D6"/>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مصادر السلطة — </w:t>
            </w:r>
            <w:r>
              <w:rPr>
                <w:rFonts w:ascii="Noto Sans Arabic" w:hAnsi="Noto Sans Arabic" w:eastAsia="Noto Sans Arabic" w:cs="Noto Sans Arabic"/>
                <w:sz w:val="19"/>
              </w:rPr>
              <w:t>المرجعية الأصلية تحكم الأسماء والقواعد؛ ملحق المراجعة v1.2 يسجل توضيحات المالك اللاحقة؛ Excel مصدر بيانات للمكونات والأزمنة، لكنه لا يثبت وحده اعتماد كل قيمة أو نشرها في قاعدة البيانات.</w:t>
            </w:r>
          </w:p>
        </w:tc>
      </w:tr>
    </w:tbl>
    <w:p/>
    <w:p>
      <w:pPr>
        <w:pStyle w:val="Heading1"/>
        <w:jc w:val="right"/>
        <w:bidi w:val="1"/>
      </w:pPr>
      <w:r>
        <w:rPr>
          <w:rFonts w:ascii="Noto Sans Arabic" w:hAnsi="Noto Sans Arabic" w:eastAsia="Noto Sans Arabic" w:cs="Noto Sans Arabic"/>
          <w:b/>
          <w:color w:val="17365D"/>
          <w:sz w:val="32"/>
        </w:rPr>
        <w:t>2. مصادر التصنيع وبيان وظيفة كل ملف</w:t>
      </w:r>
    </w:p>
    <w:tbl>
      <w:tblPr>
        <w:tblW w:type="auto" w:w="0"/>
        <w:jc w:val="center"/>
        <w:tblLayout w:type="fixed"/>
        <w:tblLook w:firstColumn="1" w:firstRow="1" w:lastColumn="0" w:lastRow="0" w:noHBand="0" w:noVBand="1" w:val="04A0"/>
        <w:bidiVisual/>
      </w:tblPr>
      <w:tblGrid>
        <w:gridCol w:w="2736"/>
        <w:gridCol w:w="3816"/>
        <w:gridCol w:w="3672"/>
      </w:tblGrid>
      <w:tr>
        <w:trPr>
          <w:tblHeader w:val="true"/>
        </w:trPr>
        <w:tc>
          <w:tcPr>
            <w:tcW w:type="dxa" w:w="273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المصدر</w:t>
            </w:r>
          </w:p>
        </w:tc>
        <w:tc>
          <w:tcPr>
            <w:tcW w:type="dxa" w:w="381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وظيفته</w:t>
            </w:r>
          </w:p>
        </w:tc>
        <w:tc>
          <w:tcPr>
            <w:tcW w:type="dxa" w:w="367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قيود الاستخدام</w:t>
            </w:r>
          </w:p>
        </w:tc>
      </w:tr>
      <w:tr>
        <w:tc>
          <w:tcPr>
            <w:tcW w:type="dxa" w:w="273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Models BOM.xlsx</w:t>
            </w:r>
          </w:p>
        </w:tc>
        <w:tc>
          <w:tcPr>
            <w:tcW w:type="dxa" w:w="381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تركيبات الموديلات، المكونات والأكواد والكميات، ومصادر مرتبطة بوقت التشغيل.</w:t>
            </w:r>
          </w:p>
        </w:tc>
        <w:tc>
          <w:tcPr>
            <w:tcW w:type="dxa" w:w="367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لا تُستخدم ورقة السعر/التكلفة لإنشاء وحدة costing.</w:t>
            </w:r>
          </w:p>
        </w:tc>
      </w:tr>
      <w:tr>
        <w:tc>
          <w:tcPr>
            <w:tcW w:type="dxa" w:w="273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وقت التشغيل.xlsx</w:t>
            </w:r>
          </w:p>
        </w:tc>
        <w:tc>
          <w:tcPr>
            <w:tcW w:type="dxa" w:w="381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ورقة منفصلة بأزمنة التشغيل المسجلة والإنتاج الشهري وإجمالي الإنتاج.</w:t>
            </w:r>
          </w:p>
        </w:tc>
        <w:tc>
          <w:tcPr>
            <w:tcW w:type="dxa" w:w="367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يُحفظ الرقم كما هو؛ السطر الذي بلا اسم وصنفه 150 في Feb لا يربط بموديل بالتخمين.</w:t>
            </w:r>
          </w:p>
        </w:tc>
      </w:tr>
      <w:tr>
        <w:tc>
          <w:tcPr>
            <w:tcW w:type="dxa" w:w="273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توضيح الطبقات والحشو الداخلي.xlsx</w:t>
            </w:r>
          </w:p>
        </w:tc>
        <w:tc>
          <w:tcPr>
            <w:tcW w:type="dxa" w:w="381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تركيب الطبقات الهندسي والفروق بين الموديلات والوجوه والمواد.</w:t>
            </w:r>
          </w:p>
        </w:tc>
        <w:tc>
          <w:tcPr>
            <w:tcW w:type="dxa" w:w="367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لا تُخلط طبقات الحشو مع البلصات أو مع مراحل Routing.</w:t>
            </w:r>
          </w:p>
        </w:tc>
      </w:tr>
      <w:tr>
        <w:tc>
          <w:tcPr>
            <w:tcW w:type="dxa" w:w="273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كل المواد الخام مصنع السست.xlsx</w:t>
            </w:r>
          </w:p>
        </w:tc>
        <w:tc>
          <w:tcPr>
            <w:tcW w:type="dxa" w:w="381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كود الخام ووصفه ومعرفات قديمة ومجموعة ووحدة ومرجع للمادة.</w:t>
            </w:r>
          </w:p>
        </w:tc>
        <w:tc>
          <w:tcPr>
            <w:tcW w:type="dxa" w:w="367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السعر/التقييم ليس متطلب costing.</w:t>
            </w:r>
          </w:p>
        </w:tc>
      </w:tr>
      <w:tr>
        <w:tc>
          <w:tcPr>
            <w:tcW w:type="dxa" w:w="273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EGYP RM FOR EDRAKY 23 MARCH 2025.xlsx</w:t>
            </w:r>
          </w:p>
        </w:tc>
        <w:tc>
          <w:tcPr>
            <w:tcW w:type="dxa" w:w="381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خرائط SAP المرجعية في SAP KSA RM و6F01 FOR SAP و6F02 FOR SAP.</w:t>
            </w:r>
          </w:p>
        </w:tc>
        <w:tc>
          <w:tcPr>
            <w:tcW w:type="dxa" w:w="367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مرجع mapping وليس إذنًا لإعادة تسمية كود أصلي تلقائيًا.</w:t>
            </w:r>
          </w:p>
        </w:tc>
      </w:tr>
    </w:tbl>
    <w:p/>
    <w:p>
      <w:pPr>
        <w:pStyle w:val="Heading1"/>
        <w:jc w:val="right"/>
        <w:bidi w:val="1"/>
      </w:pPr>
      <w:r>
        <w:rPr>
          <w:rFonts w:ascii="Noto Sans Arabic" w:hAnsi="Noto Sans Arabic" w:eastAsia="Noto Sans Arabic" w:cs="Noto Sans Arabic"/>
          <w:b/>
          <w:color w:val="17365D"/>
          <w:sz w:val="32"/>
        </w:rPr>
        <w:t>3. Product Tree والبيانات الرئيسية</w:t>
      </w:r>
    </w:p>
    <w:p>
      <w:pPr>
        <w:jc w:val="right"/>
        <w:bidi w:val="1"/>
      </w:pPr>
      <w:r>
        <w:rPr>
          <w:rFonts w:ascii="Noto Sans Arabic" w:hAnsi="Noto Sans Arabic" w:eastAsia="Noto Sans Arabic" w:cs="Noto Sans Arabic"/>
          <w:sz w:val="20"/>
        </w:rPr>
        <w:t>التسلسل التصميمي المقترح: Category → Brand → Model → Size/Variant → Product Definition → BOM Version → Routing/Production Version. المنتج هو الموديل في المرجعية الأصلية، والموديل ينتمي إلى علامة واحدة. Emareties يستخدم موديلات Sleepee المرجعية ولا ينشئ كتالوجًا مكررًا.</w:t>
      </w:r>
    </w:p>
    <w:p>
      <w:pPr>
        <w:pStyle w:val="ListBullet"/>
        <w:ind w:right="288" w:left="72"/>
        <w:jc w:val="right"/>
        <w:bidi w:val="1"/>
      </w:pPr>
      <w:r>
        <w:rPr>
          <w:rFonts w:ascii="Noto Sans Arabic" w:hAnsi="Noto Sans Arabic" w:eastAsia="Noto Sans Arabic" w:cs="Noto Sans Arabic"/>
          <w:sz w:val="19"/>
        </w:rPr>
        <w:t>الفئات الأصلية: Mattresses, Pillows, Cushions, Protective Covers, Accessories, Beds.</w:t>
      </w:r>
    </w:p>
    <w:p>
      <w:pPr>
        <w:pStyle w:val="ListBullet"/>
        <w:ind w:right="288" w:left="72"/>
        <w:jc w:val="right"/>
        <w:bidi w:val="1"/>
      </w:pPr>
      <w:r>
        <w:rPr>
          <w:rFonts w:ascii="Noto Sans Arabic" w:hAnsi="Noto Sans Arabic" w:eastAsia="Noto Sans Arabic" w:cs="Noto Sans Arabic"/>
          <w:sz w:val="19"/>
        </w:rPr>
        <w:t>الحفاظ على أسماء العلامات والموديلات كما هي في المصدر، مع mapping منفصل للتباينات الإملائية أو الأكواد القديمة والجديدة.</w:t>
      </w:r>
    </w:p>
    <w:p>
      <w:pPr>
        <w:pStyle w:val="ListBullet"/>
        <w:ind w:right="288" w:left="72"/>
        <w:jc w:val="right"/>
        <w:bidi w:val="1"/>
      </w:pPr>
      <w:r>
        <w:rPr>
          <w:rFonts w:ascii="Noto Sans Arabic" w:hAnsi="Noto Sans Arabic" w:eastAsia="Noto Sans Arabic" w:cs="Noto Sans Arabic"/>
          <w:sz w:val="19"/>
        </w:rPr>
        <w:t>Construction Type وManufacturing System خصائص مرشحة للتصميم: لا تثبت قيم جديدة في production enums قبل مطابقة الكتالوج واعتماد القيم المطلوبة.</w:t>
      </w:r>
    </w:p>
    <w:p>
      <w:pPr>
        <w:pStyle w:val="ListBullet"/>
        <w:ind w:right="288" w:left="72"/>
        <w:jc w:val="right"/>
        <w:bidi w:val="1"/>
      </w:pPr>
      <w:r>
        <w:rPr>
          <w:rFonts w:ascii="Noto Sans Arabic" w:hAnsi="Noto Sans Arabic" w:eastAsia="Noto Sans Arabic" w:cs="Noto Sans Arabic"/>
          <w:sz w:val="19"/>
        </w:rPr>
        <w:t>التغييرات الهندسية تُدار بإصدارات وتاريخ سريان وموافقة؛ لا تعدل نسخة BOM/Routing المستخدمة في أمر إنتاج سابق.</w:t>
      </w:r>
    </w:p>
    <w:p>
      <w:pPr>
        <w:pStyle w:val="ListBullet"/>
        <w:ind w:right="288" w:left="72"/>
        <w:jc w:val="right"/>
        <w:bidi w:val="1"/>
      </w:pPr>
      <w:r>
        <w:rPr>
          <w:rFonts w:ascii="Noto Sans Arabic" w:hAnsi="Noto Sans Arabic" w:eastAsia="Noto Sans Arabic" w:cs="Noto Sans Arabic"/>
          <w:sz w:val="19"/>
        </w:rPr>
        <w:t>لا حذف فعلي لسجل له تاريخ معاملات؛ استخدم تعطيلًا أو soft-delete بما يتوافق مع المخطط القائم وبعد مراجعته.</w:t>
      </w:r>
    </w:p>
    <w:p>
      <w:pPr>
        <w:pStyle w:val="Heading1"/>
        <w:jc w:val="right"/>
        <w:bidi w:val="1"/>
      </w:pPr>
      <w:r>
        <w:rPr>
          <w:rFonts w:ascii="Noto Sans Arabic" w:hAnsi="Noto Sans Arabic" w:eastAsia="Noto Sans Arabic" w:cs="Noto Sans Arabic"/>
          <w:b/>
          <w:color w:val="17365D"/>
          <w:sz w:val="32"/>
        </w:rPr>
        <w:t>4. BOM وقواعد المكونات</w:t>
      </w:r>
    </w:p>
    <w:p>
      <w:pPr>
        <w:jc w:val="right"/>
        <w:bidi w:val="1"/>
      </w:pPr>
      <w:r>
        <w:rPr>
          <w:rFonts w:ascii="Noto Sans Arabic" w:hAnsi="Noto Sans Arabic" w:eastAsia="Noto Sans Arabic" w:cs="Noto Sans Arabic"/>
          <w:sz w:val="20"/>
        </w:rPr>
        <w:t>BOM لكل موديل/Variant يلتقط المكونات كما في المصدر: كود الخام، الوصف، الكمية، الوحدة، مجموعة المكوّن، الأبعاد عند وجودها، المصدر، والإصدار/السريان عند اعتماد ذلك في التصميم. لا تعني هذه القائمة أن كل حقل قابل للتعبئة آليًا من الملفات الحالية.</w:t>
      </w:r>
    </w:p>
    <w:tbl>
      <w:tblPr>
        <w:tblW w:type="auto" w:w="0"/>
        <w:jc w:val="center"/>
        <w:tblLayout w:type="fixed"/>
        <w:tblLook w:firstColumn="1" w:firstRow="1" w:lastColumn="0" w:lastRow="0" w:noHBand="0" w:noVBand="1" w:val="04A0"/>
        <w:bidiVisual/>
      </w:tblPr>
      <w:tblGrid>
        <w:gridCol w:w="2592"/>
        <w:gridCol w:w="7632"/>
      </w:tblGrid>
      <w:tr>
        <w:trPr>
          <w:tblHeader w:val="true"/>
        </w:trPr>
        <w:tc>
          <w:tcPr>
            <w:tcW w:type="dxa" w:w="259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قاعدة</w:t>
            </w:r>
          </w:p>
        </w:tc>
        <w:tc>
          <w:tcPr>
            <w:tcW w:type="dxa" w:w="763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التطبيق المطلوب</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BOM خاص بالموديل</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لا تعمم قاعدة طرح واحدة على كل الموديلات أو المواد.</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طبقات الوجهين</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يمكن أن يختلف الوجه العلوي عن السفلي؛ لا تفترض التماثل.</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Pillow Top / Wall</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تمثيل الجناح والحائط أو الوجه العلوي الخاص حسب المصدر، لا كمكونات عامة لكل موديل.</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بلصات الطول/العرض</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تظل نوعًا منفصلًا عن HR Foam وMemory Foam وبقية الحشو الداخلي.</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مواد وطرق تثبيت</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تمييز اللِّباد المثبت بدبل كليب/كليبسات عن المواد التي ترش بالغراء واللباد القطني/الناعم داخل الوجه حسب المصدر.</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Bonnell / Pocket / Foam / Rebond</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الحفاظ على نوع البناء وقطر السلك وكثافة وارتفاع الإسفنج ومكونات كل موديل كما وردت.</w:t>
            </w:r>
          </w:p>
        </w:tc>
      </w:tr>
      <w:tr>
        <w:tc>
          <w:tcPr>
            <w:tcW w:type="dxa" w:w="25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أكواد المواد</w:t>
            </w:r>
          </w:p>
        </w:tc>
        <w:tc>
          <w:tcPr>
            <w:tcW w:type="dxa" w:w="76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الكود الأصلي immutable من جهة العرض/التكويد؛ أي dictionary استنتاجي جزئي غير موثوق حتى يعتمد من قائمة رسمية.</w:t>
            </w:r>
          </w:p>
        </w:tc>
      </w:tr>
      <w:tr>
        <w:tc>
          <w:tcPr>
            <w:tcW w:type="dxa" w:w="25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بدائل الخامات</w:t>
            </w:r>
          </w:p>
        </w:tc>
        <w:tc>
          <w:tcPr>
            <w:tcW w:type="dxa" w:w="76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يمكن تصميم دعم بديل معتمد أو deviation مؤقت لأمر إنتاج بموافقة موثقة، لا تعديل BOM الأصلية بصمت.</w:t>
            </w:r>
          </w:p>
        </w:tc>
      </w:tr>
    </w:tbl>
    <w:p/>
    <w:p>
      <w:pPr>
        <w:pStyle w:val="Heading1"/>
        <w:jc w:val="right"/>
        <w:bidi w:val="1"/>
      </w:pPr>
      <w:r>
        <w:rPr>
          <w:rFonts w:ascii="Noto Sans Arabic" w:hAnsi="Noto Sans Arabic" w:eastAsia="Noto Sans Arabic" w:cs="Noto Sans Arabic"/>
          <w:b/>
          <w:color w:val="17365D"/>
          <w:sz w:val="32"/>
        </w:rPr>
        <w:t>5. أمثلة مصدرية تثبت اختلاف الموديلات</w:t>
      </w:r>
    </w:p>
    <w:tbl>
      <w:tblPr>
        <w:tblW w:type="auto" w:w="0"/>
        <w:jc w:val="center"/>
        <w:tblLayout w:type="fixed"/>
        <w:tblLook w:firstColumn="1" w:firstRow="1" w:lastColumn="0" w:lastRow="0" w:noHBand="0" w:noVBand="1" w:val="04A0"/>
        <w:bidiVisual/>
      </w:tblPr>
      <w:tblGrid>
        <w:gridCol w:w="2520"/>
        <w:gridCol w:w="4824"/>
        <w:gridCol w:w="2880"/>
      </w:tblGrid>
      <w:tr>
        <w:trPr>
          <w:tblHeader w:val="true"/>
        </w:trPr>
        <w:tc>
          <w:tcPr>
            <w:tcW w:type="dxa" w:w="252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5"/>
              </w:rPr>
              <w:t>الموديل/البراند</w:t>
            </w:r>
          </w:p>
        </w:tc>
        <w:tc>
          <w:tcPr>
            <w:tcW w:type="dxa" w:w="4824"/>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5"/>
              </w:rPr>
              <w:t>المعلومات المسترجعة من الملفات/النقاش</w:t>
            </w:r>
          </w:p>
        </w:tc>
        <w:tc>
          <w:tcPr>
            <w:tcW w:type="dxa" w:w="288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5"/>
              </w:rPr>
              <w:t>الحدود / التعارض</w:t>
            </w:r>
          </w:p>
        </w:tc>
      </w:tr>
      <w:tr>
        <w:tc>
          <w:tcPr>
            <w:tcW w:type="dxa" w:w="25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Comfort — Tranquility 30 German</w:t>
            </w:r>
          </w:p>
        </w:tc>
        <w:tc>
          <w:tcPr>
            <w:tcW w:type="dxa" w:w="48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مثال المقاس النهائي 100×200؛ بلصة طول 198×17×7 سم؛ بلصة عرض 86×17×7 سم.</w:t>
            </w:r>
          </w:p>
        </w:tc>
        <w:tc>
          <w:tcPr>
            <w:tcW w:type="dxa" w:w="28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القيم خاصة بهذا الموديل؛ لا تعمم على كل الألماني.</w:t>
            </w:r>
          </w:p>
        </w:tc>
      </w:tr>
      <w:tr>
        <w:tc>
          <w:tcPr>
            <w:tcW w:type="dxa" w:w="252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Sleepee — Romance 33 German Pocket</w:t>
            </w:r>
          </w:p>
        </w:tc>
        <w:tc>
          <w:tcPr>
            <w:tcW w:type="dxa" w:w="48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بلصة طول 198×17×10 سم؛ بلصة عرض 78×17×10 سم بحسب النقاش السابق.</w:t>
            </w:r>
          </w:p>
        </w:tc>
        <w:tc>
          <w:tcPr>
            <w:tcW w:type="dxa" w:w="288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يختلف عرض البلصة عن Tranquility؛ المصدر هو BOM الموديل.</w:t>
            </w:r>
          </w:p>
        </w:tc>
      </w:tr>
      <w:tr>
        <w:tc>
          <w:tcPr>
            <w:tcW w:type="dxa" w:w="25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Sleepee — Regesty 30 Pocket American Pillow Top</w:t>
            </w:r>
          </w:p>
        </w:tc>
        <w:tc>
          <w:tcPr>
            <w:tcW w:type="dxa" w:w="48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تظهر طبقات إسفنج 98×198 وبعض بنية جناح/حائط، مع اختلاف التركيب عن مرتبة متناظرة.</w:t>
            </w:r>
          </w:p>
        </w:tc>
        <w:tc>
          <w:tcPr>
            <w:tcW w:type="dxa" w:w="28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أبعاد طبقة الإسفنج لا تثبت وحدها أبعاد الشاسيه.</w:t>
            </w:r>
          </w:p>
        </w:tc>
      </w:tr>
      <w:tr>
        <w:tc>
          <w:tcPr>
            <w:tcW w:type="dxa" w:w="252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SH — Rrstcalm</w:t>
            </w:r>
          </w:p>
        </w:tc>
        <w:tc>
          <w:tcPr>
            <w:tcW w:type="dxa" w:w="48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الكود 228KN17X78X10 يدل على 78؛ الوصف والكمية يوحيان بقطعتين 80×17×10. HR وMemory Foam طبقات داخلية.</w:t>
            </w:r>
          </w:p>
        </w:tc>
        <w:tc>
          <w:tcPr>
            <w:tcW w:type="dxa" w:w="288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بلصة العرض 78/80 غير محسومة. لا تُستنتج منها قاعدة عامة للحشو.</w:t>
            </w:r>
          </w:p>
        </w:tc>
      </w:tr>
      <w:tr>
        <w:tc>
          <w:tcPr>
            <w:tcW w:type="dxa" w:w="25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American chassis example</w:t>
            </w:r>
          </w:p>
        </w:tc>
        <w:tc>
          <w:tcPr>
            <w:tcW w:type="dxa" w:w="48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للمقاس النهائي 100×200: الهدف المذكور 97×197؛ قد يخرج الفعلي 98×198 ضمن تفاوت التشكيل 2–3 سم.</w:t>
            </w:r>
          </w:p>
        </w:tc>
        <w:tc>
          <w:tcPr>
            <w:tcW w:type="dxa" w:w="28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حفظ target منفصلًا عن measured output/tolerance.</w:t>
            </w:r>
          </w:p>
        </w:tc>
      </w:tr>
      <w:tr>
        <w:tc>
          <w:tcPr>
            <w:tcW w:type="dxa" w:w="252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Frame thickness</w:t>
            </w:r>
          </w:p>
        </w:tc>
        <w:tc>
          <w:tcPr>
            <w:tcW w:type="dxa" w:w="48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التصحيح الأحدث: 5 مم صحيح؛ المثال التجاري يقارب 4.85 مم.</w:t>
            </w:r>
          </w:p>
        </w:tc>
        <w:tc>
          <w:tcPr>
            <w:tcW w:type="dxa" w:w="288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5"/>
              </w:rPr>
              <w:t>عبارة 5 سم سابقة اعتُبرت خطأً في ملحق المراجعة.</w:t>
            </w:r>
          </w:p>
        </w:tc>
      </w:tr>
    </w:tbl>
    <w:p/>
    <w:tbl>
      <w:tblPr>
        <w:tblW w:type="auto" w:w="0"/>
        <w:tblLook w:firstColumn="1" w:firstRow="1" w:lastColumn="0" w:lastRow="0" w:noHBand="0" w:noVBand="1" w:val="04A0"/>
      </w:tblPr>
      <w:tblGrid>
        <w:gridCol w:w="10224"/>
      </w:tblGrid>
      <w:tr>
        <w:tc>
          <w:tcPr>
            <w:tcW w:type="dxa" w:w="10224"/>
            <w:shd w:fill="F4CCCC"/>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قرار معلّق — </w:t>
            </w:r>
            <w:r>
              <w:rPr>
                <w:rFonts w:ascii="Noto Sans Arabic" w:hAnsi="Noto Sans Arabic" w:eastAsia="Noto Sans Arabic" w:cs="Noto Sans Arabic"/>
                <w:sz w:val="19"/>
              </w:rPr>
              <w:t>لا تعدّل وصف أو كود أو كمية Rrstcalm آليًا. يجب تأكيد البعد الصحيح قبل أي استيراد أو ترحيل.</w:t>
            </w:r>
          </w:p>
        </w:tc>
      </w:tr>
    </w:tbl>
    <w:p/>
    <w:p>
      <w:pPr>
        <w:pStyle w:val="Heading1"/>
        <w:jc w:val="right"/>
        <w:bidi w:val="1"/>
      </w:pPr>
      <w:r>
        <w:rPr>
          <w:rFonts w:ascii="Noto Sans Arabic" w:hAnsi="Noto Sans Arabic" w:eastAsia="Noto Sans Arabic" w:cs="Noto Sans Arabic"/>
          <w:b/>
          <w:color w:val="17365D"/>
          <w:sz w:val="32"/>
        </w:rPr>
        <w:t>6. Routing الفعلي بالمصنع</w:t>
      </w:r>
    </w:p>
    <w:p>
      <w:pPr>
        <w:jc w:val="right"/>
        <w:bidi w:val="1"/>
      </w:pPr>
      <w:r>
        <w:rPr>
          <w:rFonts w:ascii="Noto Sans Arabic" w:hAnsi="Noto Sans Arabic" w:eastAsia="Noto Sans Arabic" w:cs="Noto Sans Arabic"/>
          <w:sz w:val="20"/>
        </w:rPr>
        <w:t>الأقسام الفعلية الخمسة هي: السلك، التطريز والتفصيل، التنجيد والتجميع، التيب، التغليف. يدمج SAP الأقسام الثلاثة الأولى في عملية واحدة ثم التيب والتغليف؛ هذا تجميع في تمثيل SAP وليس مصدرًا بديلًا لأزمنة المصنع.</w:t>
      </w:r>
    </w:p>
    <w:tbl>
      <w:tblPr>
        <w:tblW w:type="auto" w:w="0"/>
        <w:jc w:val="center"/>
        <w:tblLayout w:type="fixed"/>
        <w:tblLook w:firstColumn="1" w:firstRow="1" w:lastColumn="0" w:lastRow="0" w:noHBand="0" w:noVBand="1" w:val="04A0"/>
        <w:bidiVisual/>
      </w:tblPr>
      <w:tblGrid>
        <w:gridCol w:w="2088"/>
        <w:gridCol w:w="4824"/>
        <w:gridCol w:w="3312"/>
      </w:tblGrid>
      <w:tr>
        <w:trPr>
          <w:tblHeader w:val="true"/>
        </w:trPr>
        <w:tc>
          <w:tcPr>
            <w:tcW w:type="dxa" w:w="208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القسم</w:t>
            </w:r>
          </w:p>
        </w:tc>
        <w:tc>
          <w:tcPr>
            <w:tcW w:type="dxa" w:w="4824"/>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ما نعرفه</w:t>
            </w:r>
          </w:p>
        </w:tc>
        <w:tc>
          <w:tcPr>
            <w:tcW w:type="dxa" w:w="331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ما لا يجوز افتراضه</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السلك</w:t>
            </w:r>
          </w:p>
        </w:tc>
        <w:tc>
          <w:tcPr>
            <w:tcW w:type="dxa" w:w="48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تشكيل السلك والشاسيه؛ ثلاث ماكينات Bonnell وماكينة Pocket للتشكيل/التجميع ضمن سياق الماكينات المعروف.</w:t>
            </w:r>
          </w:p>
        </w:tc>
        <w:tc>
          <w:tcPr>
            <w:tcW w:type="dxa" w:w="331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أن جميع الماكينات بدائل مكافئة أو أن لكل موديل مسارًا واحدًا.</w:t>
            </w:r>
          </w:p>
        </w:tc>
      </w:tr>
      <w:tr>
        <w:tc>
          <w:tcPr>
            <w:tcW w:type="dxa" w:w="208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التطريز والتفصيل</w:t>
            </w:r>
          </w:p>
        </w:tc>
        <w:tc>
          <w:tcPr>
            <w:tcW w:type="dxa" w:w="48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اختلاف الأوجه والأقمشة والقص والتطريز والبوردر بحسب الموديل.</w:t>
            </w:r>
          </w:p>
        </w:tc>
        <w:tc>
          <w:tcPr>
            <w:tcW w:type="dxa" w:w="331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تماثل الوجه العلوي والسفلي.</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التنجيد والتجميع</w:t>
            </w:r>
          </w:p>
        </w:tc>
        <w:tc>
          <w:tcPr>
            <w:tcW w:type="dxa" w:w="48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حشو وتجميع الشاسيه والأوجه والمواد؛ ذُكرت 9 طاولات في هذا القسم.</w:t>
            </w:r>
          </w:p>
        </w:tc>
        <w:tc>
          <w:tcPr>
            <w:tcW w:type="dxa" w:w="331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اعتبار الـ9 هي عدد طاولات المصنع كله؛ السجل يذكر 10 طاولات إجمالًا، وتوزيعها يحتاج توثيقًا.</w:t>
            </w:r>
          </w:p>
        </w:tc>
      </w:tr>
      <w:tr>
        <w:tc>
          <w:tcPr>
            <w:tcW w:type="dxa" w:w="208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التيب</w:t>
            </w:r>
          </w:p>
        </w:tc>
        <w:tc>
          <w:tcPr>
            <w:tcW w:type="dxa" w:w="48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تركيب شريط التيب والملحقات؛ بعض المسارات قد تعود إلى التجميع ثم تعود إلى التيب للتشطيب.</w:t>
            </w:r>
          </w:p>
        </w:tc>
        <w:tc>
          <w:tcPr>
            <w:tcW w:type="dxa" w:w="331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تسلسل خطي واحد لكل الموديلات.</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التغليف</w:t>
            </w:r>
          </w:p>
        </w:tc>
        <w:tc>
          <w:tcPr>
            <w:tcW w:type="dxa" w:w="48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تغليف المنتج النهائي، ثم نقطة تسليم إلى الطباعة/المخازن وفق العملية الحالية التي تحتاج توثيقًا تفصيليًا.</w:t>
            </w:r>
          </w:p>
        </w:tc>
        <w:tc>
          <w:tcPr>
            <w:tcW w:type="dxa" w:w="331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إضافة نظام مستودعات كامل؛ نقاط التسليم والتتبع فقط ضمن النطاق.</w:t>
            </w:r>
          </w:p>
        </w:tc>
      </w:tr>
    </w:tbl>
    <w:p/>
    <w:p>
      <w:pPr>
        <w:pStyle w:val="Heading1"/>
        <w:jc w:val="right"/>
        <w:bidi w:val="1"/>
      </w:pPr>
      <w:r>
        <w:rPr>
          <w:rFonts w:ascii="Noto Sans Arabic" w:hAnsi="Noto Sans Arabic" w:eastAsia="Noto Sans Arabic" w:cs="Noto Sans Arabic"/>
          <w:b/>
          <w:color w:val="17365D"/>
          <w:sz w:val="32"/>
        </w:rPr>
        <w:t>7. أزمنة التشغيل — تفسير البيانات وحدوده</w:t>
      </w:r>
    </w:p>
    <w:p>
      <w:pPr>
        <w:jc w:val="right"/>
        <w:bidi w:val="1"/>
      </w:pPr>
      <w:r>
        <w:rPr>
          <w:rFonts w:ascii="Noto Sans Arabic" w:hAnsi="Noto Sans Arabic" w:eastAsia="Noto Sans Arabic" w:cs="Noto Sans Arabic"/>
          <w:sz w:val="20"/>
        </w:rPr>
        <w:t>ورقة «وقت التشغيل» في الملف المنفصل وورقة الاسم نفسه المضمنة في Models BOM مصدران مرتبطان؛ ملحق المراجعة v1.2 يعامل الملف المنفصل باعتباره المرجع الحالي المستقل، والورقة المضمنة مرجعًا متقاطعًا. يجب المقارنة بين النسختين قبل أي import.</w:t>
      </w:r>
    </w:p>
    <w:p>
      <w:pPr>
        <w:pStyle w:val="ListBullet"/>
        <w:ind w:right="288" w:left="72"/>
        <w:jc w:val="right"/>
        <w:bidi w:val="1"/>
      </w:pPr>
      <w:r>
        <w:rPr>
          <w:rFonts w:ascii="Noto Sans Arabic" w:hAnsi="Noto Sans Arabic" w:eastAsia="Noto Sans Arabic" w:cs="Noto Sans Arabic"/>
          <w:sz w:val="19"/>
        </w:rPr>
        <w:t>الأزمنة الحالية تقديرية ويجب الحفاظ عليها كما وردت إلى أن تعتمد مراجعة ميدانية.</w:t>
      </w:r>
    </w:p>
    <w:p>
      <w:pPr>
        <w:pStyle w:val="ListBullet"/>
        <w:ind w:right="288" w:left="72"/>
        <w:jc w:val="right"/>
        <w:bidi w:val="1"/>
      </w:pPr>
      <w:r>
        <w:t>ورقة «وقت التشغيل» التي تمت معاينتها تعرض قيمة زمنية واحدة لكل صف منتج؛ لا توزع هذه القيمة إلى أزمنة للأقسام الخمسة أو إلى مراحل SAP بالتخمين. تُطابق أي تفاصيل تشغيل إضافية مباشرة مع المصدر قبل الاستيراد.</w:t>
      </w:r>
    </w:p>
    <w:p>
      <w:pPr>
        <w:pStyle w:val="ListBullet"/>
        <w:ind w:right="288" w:left="72"/>
        <w:jc w:val="right"/>
        <w:bidi w:val="1"/>
      </w:pPr>
      <w:r>
        <w:t>توضيح المالك المسترجع: مثال Infinity بزمن 57 دقيقة، مع 9 طاولات في قسم التنجيد والتجميع، يعني 9 مراتب في دورة المثال وليس مرتبة واحدة لكل 57 دقيقة. لا تُعمم كمية 9 على كل الموديلات؛ يُسجل زمن المصدر ومخرجات الدورة والمسار وخط التشكيل لكل موديل وفق المصدر/قرار المالك. راجع ملحق توضيحات المالك v1.0 داخل حزمة المرجعية.</w:t>
      </w:r>
    </w:p>
    <w:p>
      <w:pPr>
        <w:pStyle w:val="ListBullet"/>
        <w:ind w:right="288" w:left="72"/>
        <w:jc w:val="right"/>
        <w:bidi w:val="1"/>
      </w:pPr>
      <w:r>
        <w:rPr>
          <w:rFonts w:ascii="Noto Sans Arabic" w:hAnsi="Noto Sans Arabic" w:eastAsia="Noto Sans Arabic" w:cs="Noto Sans Arabic"/>
          <w:sz w:val="19"/>
        </w:rPr>
        <w:t>الصف الأخير في ملف وقت التشغيل المنفصل يحتوي 150 تحت Feb دون اسم منتج؛ يبقى غير منسوب إلى أي موديل.</w:t>
      </w:r>
    </w:p>
    <w:p>
      <w:pPr>
        <w:pStyle w:val="ListBullet"/>
        <w:ind w:right="288" w:left="72"/>
        <w:jc w:val="right"/>
        <w:bidi w:val="1"/>
      </w:pPr>
      <w:r>
        <w:rPr>
          <w:rFonts w:ascii="Noto Sans Arabic" w:hAnsi="Noto Sans Arabic" w:eastAsia="Noto Sans Arabic" w:cs="Noto Sans Arabic"/>
          <w:sz w:val="19"/>
        </w:rPr>
        <w:t>أي تعديل مستقبل يجب أن يسجل القيمة السابقة والجديدة والتاريخ والمستخدم والسبب، ويحفظ القيمة/الإصدار المطبق في أمر إنتاج تاريخي.</w:t>
      </w:r>
    </w:p>
    <w:p>
      <w:pPr>
        <w:pStyle w:val="Heading1"/>
        <w:jc w:val="right"/>
        <w:bidi w:val="1"/>
      </w:pPr>
      <w:r>
        <w:rPr>
          <w:rFonts w:ascii="Noto Sans Arabic" w:hAnsi="Noto Sans Arabic" w:eastAsia="Noto Sans Arabic" w:cs="Noto Sans Arabic"/>
          <w:b/>
          <w:color w:val="17365D"/>
          <w:sz w:val="32"/>
        </w:rPr>
        <w:t>8. دورة الإنتاج وإصداراته</w:t>
      </w:r>
    </w:p>
    <w:tbl>
      <w:tblPr>
        <w:tblW w:type="auto" w:w="0"/>
        <w:jc w:val="center"/>
        <w:tblLayout w:type="fixed"/>
        <w:tblLook w:firstColumn="1" w:firstRow="1" w:lastColumn="0" w:lastRow="0" w:noHBand="0" w:noVBand="1" w:val="04A0"/>
        <w:bidiVisual/>
      </w:tblPr>
      <w:tblGrid>
        <w:gridCol w:w="2088"/>
        <w:gridCol w:w="4608"/>
        <w:gridCol w:w="3528"/>
      </w:tblGrid>
      <w:tr>
        <w:trPr>
          <w:tblHeader w:val="true"/>
        </w:trPr>
        <w:tc>
          <w:tcPr>
            <w:tcW w:type="dxa" w:w="208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العنصر</w:t>
            </w:r>
          </w:p>
        </w:tc>
        <w:tc>
          <w:tcPr>
            <w:tcW w:type="dxa" w:w="460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التدفق/القواعد الأصلية</w:t>
            </w:r>
          </w:p>
        </w:tc>
        <w:tc>
          <w:tcPr>
            <w:tcW w:type="dxa" w:w="352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متطلبات التصميم</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Production Order</w:t>
            </w:r>
          </w:p>
        </w:tc>
        <w:tc>
          <w:tcPr>
            <w:tcW w:type="dxa" w:w="460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Draft → Planned → Approved → In Production → Partially Completed → Completed → Cancelled.</w:t>
            </w:r>
          </w:p>
        </w:tc>
        <w:tc>
          <w:tcPr>
            <w:tcW w:type="dxa" w:w="352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احترام الحالات المعتمدة؛ تحديد صلاحية الانتقال وأثره قبل الكود.</w:t>
            </w:r>
          </w:p>
        </w:tc>
      </w:tr>
      <w:tr>
        <w:tc>
          <w:tcPr>
            <w:tcW w:type="dxa" w:w="208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Batch</w:t>
            </w:r>
          </w:p>
        </w:tc>
        <w:tc>
          <w:tcPr>
            <w:tcW w:type="dxa" w:w="460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Created → Serialized → Printed → Completed.</w:t>
            </w:r>
          </w:p>
        </w:tc>
        <w:tc>
          <w:tcPr>
            <w:tcW w:type="dxa" w:w="352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ربط الدفعة بأمر الإنتاج وحفظ التاريخ.</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Serial</w:t>
            </w:r>
          </w:p>
        </w:tc>
        <w:tc>
          <w:tcPr>
            <w:tcW w:type="dxa" w:w="460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Generated → Printed → Sold → Activated → Service → Replacement → Closed.</w:t>
            </w:r>
          </w:p>
        </w:tc>
        <w:tc>
          <w:tcPr>
            <w:tcW w:type="dxa" w:w="352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فريد عالميًا وغير قابل لإعادة الاستخدام/التصفير؛ حفظ تاريخ كامل.</w:t>
            </w:r>
          </w:p>
        </w:tc>
      </w:tr>
      <w:tr>
        <w:tc>
          <w:tcPr>
            <w:tcW w:type="dxa" w:w="208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Number formats</w:t>
            </w:r>
          </w:p>
        </w:tc>
        <w:tc>
          <w:tcPr>
            <w:tcW w:type="dxa" w:w="460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ORD-YYYY-XXXXXX؛ BAT-YYYY-XXXXXX؛ SLP-YYYY-XXXXXXXX.</w:t>
            </w:r>
          </w:p>
        </w:tc>
        <w:tc>
          <w:tcPr>
            <w:tcW w:type="dxa" w:w="352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لا تغيير للتنسيق أو إعادة استخدام الرقم.</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BOM/Routing/Production Version</w:t>
            </w:r>
          </w:p>
        </w:tc>
        <w:tc>
          <w:tcPr>
            <w:tcW w:type="dxa" w:w="460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نسخة معتمدة وفعالة عند إنشاء الأمر مع حفظ أثرها التاريخي.</w:t>
            </w:r>
          </w:p>
        </w:tc>
        <w:tc>
          <w:tcPr>
            <w:tcW w:type="dxa" w:w="352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دورة مراجعة/اعتماد/سريان تفصيلية تحتاج اعتمادًا قبل التنفيذ.</w:t>
            </w:r>
          </w:p>
        </w:tc>
      </w:tr>
    </w:tbl>
    <w:p/>
    <w:p>
      <w:pPr>
        <w:pStyle w:val="Heading1"/>
        <w:jc w:val="right"/>
        <w:bidi w:val="1"/>
      </w:pPr>
      <w:r>
        <w:rPr>
          <w:rFonts w:ascii="Noto Sans Arabic" w:hAnsi="Noto Sans Arabic" w:eastAsia="Noto Sans Arabic" w:cs="Noto Sans Arabic"/>
          <w:b/>
          <w:color w:val="17365D"/>
          <w:sz w:val="32"/>
        </w:rPr>
        <w:t>9. Wizard الإنتاج</w:t>
      </w:r>
    </w:p>
    <w:tbl>
      <w:tblPr>
        <w:tblW w:type="auto" w:w="0"/>
        <w:jc w:val="center"/>
        <w:tblLayout w:type="fixed"/>
        <w:tblLook w:firstColumn="1" w:firstRow="1" w:lastColumn="0" w:lastRow="0" w:noHBand="0" w:noVBand="1" w:val="04A0"/>
        <w:bidiVisual/>
      </w:tblPr>
      <w:tblGrid>
        <w:gridCol w:w="2088"/>
        <w:gridCol w:w="4896"/>
        <w:gridCol w:w="3240"/>
      </w:tblGrid>
      <w:tr>
        <w:trPr>
          <w:tblHeader w:val="true"/>
        </w:trPr>
        <w:tc>
          <w:tcPr>
            <w:tcW w:type="dxa" w:w="208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المسار</w:t>
            </w:r>
          </w:p>
        </w:tc>
        <w:tc>
          <w:tcPr>
            <w:tcW w:type="dxa" w:w="489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الخطوات المستهدفة</w:t>
            </w:r>
          </w:p>
        </w:tc>
        <w:tc>
          <w:tcPr>
            <w:tcW w:type="dxa" w:w="324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ضوابط لازمة</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Quick Production</w:t>
            </w:r>
          </w:p>
        </w:tc>
        <w:tc>
          <w:tcPr>
            <w:tcW w:type="dxa" w:w="489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اختيار المنتج/المقاس/الكمية → أمر الإنتاج → Batch → Serial generation → Print Jobs → Print Center.</w:t>
            </w:r>
          </w:p>
        </w:tc>
        <w:tc>
          <w:tcPr>
            <w:tcW w:type="dxa" w:w="324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كل خطوة تستدعي المنطق الفعلي المعتمد؛ لا توليد قبل صلاحية الأمر.</w:t>
            </w:r>
          </w:p>
        </w:tc>
      </w:tr>
      <w:tr>
        <w:tc>
          <w:tcPr>
            <w:tcW w:type="dxa" w:w="208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Manual/Advanced</w:t>
            </w:r>
          </w:p>
        </w:tc>
        <w:tc>
          <w:tcPr>
            <w:tcW w:type="dxa" w:w="489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أمر إنتاج → BOM/نسخة منتج → Routing/Production Version → Batch → Serial → Label Template → Printing → Complete.</w:t>
            </w:r>
          </w:p>
        </w:tc>
        <w:tc>
          <w:tcPr>
            <w:tcW w:type="dxa" w:w="324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إظهار نسخة BOM/Routing المستخدمة، والسماح بالمراجعة والعودة دون محو سجل سابق.</w:t>
            </w:r>
          </w:p>
        </w:tc>
      </w:tr>
      <w:tr>
        <w:tc>
          <w:tcPr>
            <w:tcW w:type="dxa" w:w="208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Auto Progression</w:t>
            </w:r>
          </w:p>
        </w:tc>
        <w:tc>
          <w:tcPr>
            <w:tcW w:type="dxa" w:w="489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فتح الخطوة التالية عند نجاح قواعد التحقق الحالية.</w:t>
            </w:r>
          </w:p>
        </w:tc>
        <w:tc>
          <w:tcPr>
            <w:tcW w:type="dxa" w:w="324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عدم تجاوز موافقات الإنتاج أو تسجيل طباعة كنجاح بلا تأكيد فعلي.</w:t>
            </w:r>
          </w:p>
        </w:tc>
      </w:tr>
      <w:tr>
        <w:tc>
          <w:tcPr>
            <w:tcW w:type="dxa" w:w="208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Label step</w:t>
            </w:r>
          </w:p>
        </w:tc>
        <w:tc>
          <w:tcPr>
            <w:tcW w:type="dxa" w:w="489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اختيار قالب معتمد حسب الفئة/الحجم/المحتوى.</w:t>
            </w:r>
          </w:p>
        </w:tc>
        <w:tc>
          <w:tcPr>
            <w:tcW w:type="dxa" w:w="324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التصميم المقترح ليس معتمدًا حتى موافقة المالك واختبار القياس والطابعة.</w:t>
            </w:r>
          </w:p>
        </w:tc>
      </w:tr>
    </w:tbl>
    <w:p/>
    <w:p>
      <w:pPr>
        <w:pStyle w:val="Heading1"/>
        <w:jc w:val="right"/>
        <w:bidi w:val="1"/>
      </w:pPr>
      <w:r>
        <w:rPr>
          <w:rFonts w:ascii="Noto Sans Arabic" w:hAnsi="Noto Sans Arabic" w:eastAsia="Noto Sans Arabic" w:cs="Noto Sans Arabic"/>
          <w:b/>
          <w:color w:val="17365D"/>
          <w:sz w:val="32"/>
        </w:rPr>
        <w:t>10. تصميم الملصق والطباعة</w:t>
      </w:r>
    </w:p>
    <w:p>
      <w:pPr>
        <w:pStyle w:val="ListBullet"/>
        <w:ind w:right="288" w:left="72"/>
        <w:jc w:val="right"/>
        <w:bidi w:val="1"/>
      </w:pPr>
      <w:r>
        <w:rPr>
          <w:rFonts w:ascii="Noto Sans Arabic" w:hAnsi="Noto Sans Arabic" w:eastAsia="Noto Sans Arabic" w:cs="Noto Sans Arabic"/>
          <w:sz w:val="19"/>
        </w:rPr>
        <w:t>ملصق التغليف السابق ليس معتمدًا؛ المطلوب عرض تصميمات جديدة للمالك قبل اعتماد أي قالب.</w:t>
      </w:r>
    </w:p>
    <w:p>
      <w:pPr>
        <w:pStyle w:val="ListBullet"/>
        <w:ind w:right="288" w:left="72"/>
        <w:jc w:val="right"/>
        <w:bidi w:val="1"/>
      </w:pPr>
      <w:r>
        <w:rPr>
          <w:rFonts w:ascii="Noto Sans Arabic" w:hAnsi="Noto Sans Arabic" w:eastAsia="Noto Sans Arabic" w:cs="Noto Sans Arabic"/>
          <w:sz w:val="19"/>
        </w:rPr>
        <w:t>المقاسات في المرجعية الأصلية: 100×50 و100×100 مم؛ ملحق المراجعة يطلب كذلك 100×80 مم ومقاسات قابلة للضبط كامتداد يحتاج تثبيتًا في amendment عند اعتماده.</w:t>
      </w:r>
    </w:p>
    <w:p>
      <w:pPr>
        <w:pStyle w:val="ListBullet"/>
        <w:ind w:right="288" w:left="72"/>
        <w:jc w:val="right"/>
        <w:bidi w:val="1"/>
      </w:pPr>
      <w:r>
        <w:rPr>
          <w:rFonts w:ascii="Noto Sans Arabic" w:hAnsi="Noto Sans Arabic" w:eastAsia="Noto Sans Arabic" w:cs="Noto Sans Arabic"/>
          <w:sz w:val="19"/>
        </w:rPr>
        <w:t>الحقول المرشحة: الشعار الرسمي، البراند، الموديل، المقاس، serial، Code128، QR، مدة الضمان الفعلية حسب سياسة المنتج، نص/تواصل معتمد.</w:t>
      </w:r>
    </w:p>
    <w:p>
      <w:pPr>
        <w:pStyle w:val="ListBullet"/>
        <w:ind w:right="288" w:left="72"/>
        <w:jc w:val="right"/>
        <w:bidi w:val="1"/>
      </w:pPr>
      <w:r>
        <w:rPr>
          <w:rFonts w:ascii="Noto Sans Arabic" w:hAnsi="Noto Sans Arabic" w:eastAsia="Noto Sans Arabic" w:cs="Noto Sans Arabic"/>
          <w:sz w:val="19"/>
        </w:rPr>
        <w:t>Label Designer المراد: Canvas، Grid/Snap، Safe area، Actual-size preview، ربط حقول حقيقي من البيانات، أبعاد/دوران/خط ومحاذاة وحدود وظهور، قوالب وإصدارات وموافقة وتحذير تجاوز الحدود.</w:t>
      </w:r>
    </w:p>
    <w:p>
      <w:pPr>
        <w:pStyle w:val="ListBullet"/>
        <w:ind w:right="288" w:left="72"/>
        <w:jc w:val="right"/>
        <w:bidi w:val="1"/>
      </w:pPr>
      <w:r>
        <w:rPr>
          <w:rFonts w:ascii="Noto Sans Arabic" w:hAnsi="Noto Sans Arabic" w:eastAsia="Noto Sans Arabic" w:cs="Noto Sans Arabic"/>
          <w:sz w:val="19"/>
        </w:rPr>
        <w:t>الصور والأصول تخزن في Supabase Storage وتُستخدم عبر مسارات وصلاحيات حقيقية.</w:t>
      </w:r>
    </w:p>
    <w:p>
      <w:pPr>
        <w:pStyle w:val="ListBullet"/>
        <w:ind w:right="288" w:left="72"/>
        <w:jc w:val="right"/>
        <w:bidi w:val="1"/>
      </w:pPr>
      <w:r>
        <w:rPr>
          <w:rFonts w:ascii="Noto Sans Arabic" w:hAnsi="Noto Sans Arabic" w:eastAsia="Noto Sans Arabic" w:cs="Noto Sans Arabic"/>
          <w:sz w:val="19"/>
        </w:rPr>
        <w:t>الطابعة المعرفة: Zebra ZD220 عبر USB باستخدام Zebra Browser Print. لا توجد أدلة على اختبار طباعة مادي ناجح ولا دليل على طابعات أخرى أو اتصالات أخرى.</w:t>
      </w:r>
    </w:p>
    <w:p>
      <w:pPr>
        <w:pStyle w:val="ListBullet"/>
        <w:ind w:right="288" w:left="72"/>
        <w:jc w:val="right"/>
        <w:bidi w:val="1"/>
      </w:pPr>
      <w:r>
        <w:rPr>
          <w:rFonts w:ascii="Noto Sans Arabic" w:hAnsi="Noto Sans Arabic" w:eastAsia="Noto Sans Arabic" w:cs="Noto Sans Arabic"/>
          <w:sz w:val="19"/>
        </w:rPr>
        <w:t>لا status=printed إلا بعد إقرار حقيقي من مسار Browser Print/الطابعة؛ reprint لا يمحو التاريخ السابق.</w:t>
      </w:r>
    </w:p>
    <w:p>
      <w:pPr>
        <w:pStyle w:val="Heading1"/>
        <w:jc w:val="right"/>
        <w:bidi w:val="1"/>
      </w:pPr>
      <w:r>
        <w:rPr>
          <w:rFonts w:ascii="Noto Sans Arabic" w:hAnsi="Noto Sans Arabic" w:eastAsia="Noto Sans Arabic" w:cs="Noto Sans Arabic"/>
          <w:b/>
          <w:color w:val="17365D"/>
          <w:sz w:val="32"/>
        </w:rPr>
        <w:t>11. اختبارات قبول تصميم التصنيع</w:t>
      </w:r>
    </w:p>
    <w:p>
      <w:pPr>
        <w:pStyle w:val="ListNumber"/>
        <w:ind w:right="288"/>
        <w:jc w:val="right"/>
        <w:bidi w:val="1"/>
      </w:pPr>
      <w:r>
        <w:rPr>
          <w:rFonts w:ascii="Noto Sans Arabic" w:hAnsi="Noto Sans Arabic" w:eastAsia="Noto Sans Arabic" w:cs="Noto Sans Arabic"/>
          <w:sz w:val="19"/>
        </w:rPr>
        <w:t>مطابقة عدد الموديلات والأسماء والمقاسات مع المصادر الأصلية دون إعادة تسمية تلقائية.</w:t>
      </w:r>
    </w:p>
    <w:p>
      <w:pPr>
        <w:pStyle w:val="ListNumber"/>
        <w:ind w:right="288"/>
        <w:jc w:val="right"/>
        <w:bidi w:val="1"/>
      </w:pPr>
      <w:r>
        <w:rPr>
          <w:rFonts w:ascii="Noto Sans Arabic" w:hAnsi="Noto Sans Arabic" w:eastAsia="Noto Sans Arabic" w:cs="Noto Sans Arabic"/>
          <w:sz w:val="19"/>
        </w:rPr>
        <w:t>مقارنة نسخة وقت التشغيل المنفصلة والمضمنة وإظهار الفروق، وحفظ السطر المجهول 150 بلا ربط تلقائي.</w:t>
      </w:r>
    </w:p>
    <w:p>
      <w:pPr>
        <w:pStyle w:val="ListNumber"/>
        <w:ind w:right="288"/>
        <w:jc w:val="right"/>
        <w:bidi w:val="1"/>
      </w:pPr>
      <w:r>
        <w:rPr>
          <w:rFonts w:ascii="Noto Sans Arabic" w:hAnsi="Noto Sans Arabic" w:eastAsia="Noto Sans Arabic" w:cs="Noto Sans Arabic"/>
          <w:sz w:val="19"/>
        </w:rPr>
        <w:t>اختبار أن كل BOM يحافظ على اختلافات الطبقات والوجهين والـPillow Top والشاسيه والبلصات والحشو الداخلي.</w:t>
      </w:r>
    </w:p>
    <w:p>
      <w:pPr>
        <w:pStyle w:val="ListNumber"/>
        <w:ind w:right="288"/>
        <w:jc w:val="right"/>
        <w:bidi w:val="1"/>
      </w:pPr>
      <w:r>
        <w:rPr>
          <w:rFonts w:ascii="Noto Sans Arabic" w:hAnsi="Noto Sans Arabic" w:eastAsia="Noto Sans Arabic" w:cs="Noto Sans Arabic"/>
          <w:sz w:val="19"/>
        </w:rPr>
        <w:t>اختبار مسارات بديلة وعودة من التيب إلى التجميع ثم التيب مرة أخرى حيث يقررها مصدر الموديل.</w:t>
      </w:r>
    </w:p>
    <w:p>
      <w:pPr>
        <w:pStyle w:val="ListNumber"/>
        <w:ind w:right="288"/>
        <w:jc w:val="right"/>
        <w:bidi w:val="1"/>
      </w:pPr>
      <w:r>
        <w:rPr>
          <w:rFonts w:ascii="Noto Sans Arabic" w:hAnsi="Noto Sans Arabic" w:eastAsia="Noto Sans Arabic" w:cs="Noto Sans Arabic"/>
          <w:sz w:val="19"/>
        </w:rPr>
        <w:t>اختبار أن تعديل BOM/Routing لا يغير أمر إنتاج قديمًا أو تسلسلًا سابقًا.</w:t>
      </w:r>
    </w:p>
    <w:p>
      <w:pPr>
        <w:pStyle w:val="ListNumber"/>
        <w:ind w:right="288"/>
        <w:jc w:val="right"/>
        <w:bidi w:val="1"/>
      </w:pPr>
      <w:r>
        <w:rPr>
          <w:rFonts w:ascii="Noto Sans Arabic" w:hAnsi="Noto Sans Arabic" w:eastAsia="Noto Sans Arabic" w:cs="Noto Sans Arabic"/>
          <w:sz w:val="19"/>
        </w:rPr>
        <w:t>اختبار صيغ ORD/BAT/SLP وعدم التكرار أو إعادة الاستخدام.</w:t>
      </w:r>
    </w:p>
    <w:p>
      <w:pPr>
        <w:pStyle w:val="ListNumber"/>
        <w:ind w:right="288"/>
        <w:jc w:val="right"/>
        <w:bidi w:val="1"/>
      </w:pPr>
      <w:r>
        <w:rPr>
          <w:rFonts w:ascii="Noto Sans Arabic" w:hAnsi="Noto Sans Arabic" w:eastAsia="Noto Sans Arabic" w:cs="Noto Sans Arabic"/>
          <w:sz w:val="19"/>
        </w:rPr>
        <w:t>اختبار أن الطباعة الفاشلة لا تغير حالة serial/batch إلى printed/completed.</w:t>
      </w:r>
    </w:p>
    <w:p>
      <w:pPr>
        <w:pStyle w:val="ListNumber"/>
        <w:ind w:right="288"/>
        <w:jc w:val="right"/>
        <w:bidi w:val="1"/>
      </w:pPr>
      <w:r>
        <w:rPr>
          <w:rFonts w:ascii="Noto Sans Arabic" w:hAnsi="Noto Sans Arabic" w:eastAsia="Noto Sans Arabic" w:cs="Noto Sans Arabic"/>
          <w:sz w:val="19"/>
        </w:rPr>
        <w:t>اختبار طباعة فعلي على Zebra بعد اعتماد التصميم، ثم قراءة Code128 وQR.</w:t>
      </w:r>
    </w:p>
    <w:p>
      <w:pPr>
        <w:pStyle w:val="Heading1"/>
        <w:jc w:val="right"/>
        <w:bidi w:val="1"/>
      </w:pPr>
      <w:r>
        <w:rPr>
          <w:rFonts w:ascii="Noto Sans Arabic" w:hAnsi="Noto Sans Arabic" w:eastAsia="Noto Sans Arabic" w:cs="Noto Sans Arabic"/>
          <w:b/>
          <w:color w:val="17365D"/>
          <w:sz w:val="32"/>
        </w:rPr>
        <w:t>12. قرارات معلقة قبل التنفيذ</w:t>
      </w:r>
    </w:p>
    <w:tbl>
      <w:tblPr>
        <w:tblW w:type="auto" w:w="0"/>
        <w:jc w:val="center"/>
        <w:tblLayout w:type="fixed"/>
        <w:tblLook w:firstColumn="1" w:firstRow="1" w:lastColumn="0" w:lastRow="0" w:noHBand="0" w:noVBand="1" w:val="04A0"/>
        <w:bidiVisual/>
      </w:tblPr>
      <w:tblGrid>
        <w:gridCol w:w="1224"/>
        <w:gridCol w:w="6768"/>
        <w:gridCol w:w="2232"/>
      </w:tblGrid>
      <w:tr>
        <w:trPr>
          <w:tblHeader w:val="true"/>
        </w:trPr>
        <w:tc>
          <w:tcPr>
            <w:tcW w:type="dxa" w:w="1224"/>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المعرّف</w:t>
            </w:r>
          </w:p>
        </w:tc>
        <w:tc>
          <w:tcPr>
            <w:tcW w:type="dxa" w:w="676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القرار المطلوب</w:t>
            </w:r>
          </w:p>
        </w:tc>
        <w:tc>
          <w:tcPr>
            <w:tcW w:type="dxa" w:w="223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الحالة</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M-01</w:t>
            </w:r>
          </w:p>
        </w:tc>
        <w:tc>
          <w:tcPr>
            <w:tcW w:type="dxa" w:w="676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تحديد علاقة طاولات القسم التسع بالعدد الإجمالي 10 طاولات، وتوثيق الماكينات/الخطوط المتاحة لكل موديل.</w:t>
            </w:r>
          </w:p>
        </w:tc>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r>
              <w:t>M-02</w:t>
            </w:r>
          </w:p>
        </w:tc>
        <w:tc>
          <w:tcPr>
            <w:tcW w:type="dxa" w:w="676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r>
              <w:t>توثيق مخرجات دورة التشغيل لكل موديل/خط مع زمن المصدر؛ مثال Infinity = 57 دقيقة لـ9 مراتب في دورة المثال، ولا يعمم على بقية الموديلات.</w:t>
            </w:r>
          </w:p>
        </w:tc>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r>
              <w:t>تم توضيح المثال؛ جدول كل موديل/خط مطلوب</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M-03</w:t>
            </w:r>
          </w:p>
        </w:tc>
        <w:tc>
          <w:tcPr>
            <w:tcW w:type="dxa" w:w="676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قياس/توثيق زمن كل قسم أو ماكينة إن كان مطلوبًا، دون تقسيم الإجمالي بالتخمين.</w:t>
            </w:r>
          </w:p>
        </w:tc>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ميدانيًا</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M-04</w:t>
            </w:r>
          </w:p>
        </w:tc>
        <w:tc>
          <w:tcPr>
            <w:tcW w:type="dxa" w:w="676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حسم بلصة العرض لـRrstcalm: 78 أم 80 سم.</w:t>
            </w:r>
          </w:p>
        </w:tc>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M-05</w:t>
            </w:r>
          </w:p>
        </w:tc>
        <w:tc>
          <w:tcPr>
            <w:tcW w:type="dxa" w:w="676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تأكيد قاموس تكويد المواد ومطابقة الأكواد القديمة والجديدة.</w:t>
            </w:r>
          </w:p>
        </w:tc>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M-06</w:t>
            </w:r>
          </w:p>
        </w:tc>
        <w:tc>
          <w:tcPr>
            <w:tcW w:type="dxa" w:w="676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اعتماد Lifecycle لـBOM/Routing/Production Version: draft/review/approved/effective/retired والتواريخ.</w:t>
            </w:r>
          </w:p>
        </w:tc>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M-07</w:t>
            </w:r>
          </w:p>
        </w:tc>
        <w:tc>
          <w:tcPr>
            <w:tcW w:type="dxa" w:w="676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اعتماد مقاسات الملصق الإضافية والتصميم والنصوص النهائية.</w:t>
            </w:r>
          </w:p>
        </w:tc>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M-08</w:t>
            </w:r>
          </w:p>
        </w:tc>
        <w:tc>
          <w:tcPr>
            <w:tcW w:type="dxa" w:w="676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اختبار Zebra Browser Print ماديًا وتوثيق نتيجة فعلية.</w:t>
            </w:r>
          </w:p>
        </w:tc>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w:t>
            </w:r>
          </w:p>
        </w:tc>
      </w:tr>
    </w:tbl>
    <w:p/>
    <w:tbl>
      <w:tblPr>
        <w:tblW w:type="auto" w:w="0"/>
        <w:tblLook w:firstColumn="1" w:firstRow="1" w:lastColumn="0" w:lastRow="0" w:noHBand="0" w:noVBand="1" w:val="04A0"/>
      </w:tblPr>
      <w:tblGrid>
        <w:gridCol w:w="10224"/>
      </w:tblGrid>
      <w:tr>
        <w:tc>
          <w:tcPr>
            <w:tcW w:type="dxa" w:w="10224"/>
            <w:shd w:fill="F4CCCC"/>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حالة الوثيقة — </w:t>
            </w:r>
            <w:r>
              <w:rPr>
                <w:rFonts w:ascii="Noto Sans Arabic" w:hAnsi="Noto Sans Arabic" w:eastAsia="Noto Sans Arabic" w:cs="Noto Sans Arabic"/>
                <w:sz w:val="19"/>
              </w:rPr>
              <w:t>DRAFT — لا تُعتبر موافقة على schema أو migration أو التنفيذ. لا تغيير في ملفات BOM المصدرية أو قاعدة البيانات بموجب هذه الوثيقة.</w:t>
            </w:r>
          </w:p>
        </w:tc>
      </w:tr>
    </w:tbl>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color w:val="666666"/>
        <w:sz w:val="16"/>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b/>
        <w:color w:val="0F6B78"/>
        <w:sz w:val="16"/>
      </w:rPr>
      <w:t>SLEEPEE  |  المرجع التنفيذي قيد المراجعة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Arabic" w:hAnsi="Noto Sans Arabic" w:cs="Noto Sans Arab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Arabic" w:hAnsi="Noto Sans Arabic" w:cs="Noto Sans Arabic"/>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Arabic" w:hAnsi="Noto Sans Arabic" w:cs="Noto Sans Arabic"/>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Arabic" w:hAnsi="Noto Sans Arabic" w:cs="Noto Sans Arabic"/>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