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180" w:line="240" w:lineRule="auto"/>
        <w:jc w:val="center"/>
        <w:widowControl/>
        <w:bidi w:val="1"/>
      </w:pPr>
      <w:r>
        <w:rPr>
          <w:rFonts w:ascii="Noto Sans Arabic" w:hAnsi="Noto Sans Arabic" w:cs="Noto Sans Arabic" w:eastAsia="Noto Sans Arabic"/>
          <w:b/>
          <w:color w:val="2A7F83"/>
          <w:sz w:val="32"/>
        </w:rPr>
        <w:t>SLEEPEE</w:t>
      </w:r>
    </w:p>
    <w:p>
      <w:pPr>
        <w:spacing w:before="160" w:after="220" w:line="278" w:lineRule="auto"/>
        <w:jc w:val="center"/>
        <w:widowControl/>
        <w:bidi w:val="1"/>
      </w:pPr>
      <w:r>
        <w:rPr>
          <w:rFonts w:ascii="Noto Sans Arabic" w:hAnsi="Noto Sans Arabic" w:cs="Noto Sans Arabic" w:eastAsia="Noto Sans Arabic"/>
          <w:b/>
          <w:color w:val="16324F"/>
          <w:sz w:val="56"/>
        </w:rPr>
        <w:t>المخطط المعماري</w:t>
        <w:br/>
        <w:t>وخطة البناء الموحدة</w:t>
      </w:r>
    </w:p>
    <w:p>
      <w:pPr>
        <w:spacing w:before="0" w:after="460" w:line="259" w:lineRule="auto"/>
        <w:jc w:val="center"/>
        <w:widowControl/>
        <w:bidi w:val="1"/>
      </w:pPr>
      <w:r>
        <w:rPr>
          <w:rFonts w:ascii="Noto Sans Arabic" w:hAnsi="Noto Sans Arabic" w:cs="Noto Sans Arabic" w:eastAsia="Noto Sans Arabic"/>
          <w:b/>
          <w:color w:val="1F5673"/>
          <w:sz w:val="24"/>
        </w:rPr>
        <w:t>Sleepee Manufacturing, Warranty &amp; Customer Service Platform</w:t>
      </w:r>
    </w:p>
    <w:tbl>
      <w:tblPr>
        <w:tblW w:type="auto" w:w="0"/>
        <w:jc w:val="center"/>
        <w:tblLayout w:type="autofit"/>
        <w:tblLook w:firstColumn="1" w:firstRow="1" w:lastColumn="0" w:lastRow="0" w:noHBand="0" w:noVBand="1" w:val="04A0"/>
        <w:bidiVisual w:val="1"/>
        <w:tblBorders>
          <w:top w:val="single" w:sz="4" w:space="0" w:color="D4DEE4"/>
          <w:left w:val="single" w:sz="4" w:space="0" w:color="D4DEE4"/>
          <w:bottom w:val="single" w:sz="4" w:space="0" w:color="D4DEE4"/>
          <w:right w:val="single" w:sz="4" w:space="0" w:color="D4DEE4"/>
          <w:insideH w:val="single" w:sz="4" w:space="0" w:color="D4DEE4"/>
          <w:insideV w:val="single" w:sz="4" w:space="0" w:color="D4DEE4"/>
        </w:tblBorders>
      </w:tblPr>
      <w:tblGrid>
        <w:gridCol w:w="5083"/>
        <w:gridCol w:w="5083"/>
      </w:tblGrid>
      <w:tr>
        <w:trPr>
          <w:cantSplit/>
        </w:trPr>
        <w:tc>
          <w:tcPr>
            <w:tcW w:type="dxa" w:w="2304"/>
            <w:vAlign w:val="center"/>
            <w:tcMar>
              <w:top w:w="75" w:type="dxa"/>
              <w:start w:w="95" w:type="dxa"/>
              <w:bottom w:w="75" w:type="dxa"/>
              <w:end w:w="95" w:type="dxa"/>
            </w:tcMar>
            <w:shd w:fill="EAF1F5"/>
          </w:tcPr>
          <w:p>
            <w:pPr>
              <w:spacing w:before="0" w:after="0" w:line="240" w:lineRule="auto"/>
              <w:jc w:val="right"/>
              <w:widowControl/>
              <w:bidi w:val="1"/>
            </w:pPr>
            <w:r>
              <w:rPr>
                <w:rFonts w:ascii="Noto Sans Arabic" w:hAnsi="Noto Sans Arabic" w:cs="Noto Sans Arabic" w:eastAsia="Noto Sans Arabic"/>
                <w:b/>
                <w:color w:val="16324F"/>
                <w:sz w:val="18"/>
              </w:rPr>
              <w:t>معرّف الوثيقة</w:t>
            </w:r>
          </w:p>
        </w:tc>
        <w:tc>
          <w:tcPr>
            <w:tcW w:type="dxa" w:w="7848"/>
            <w:vAlign w:val="center"/>
            <w:tcMar>
              <w:top w:w="75" w:type="dxa"/>
              <w:start w:w="95" w:type="dxa"/>
              <w:bottom w:w="75" w:type="dxa"/>
              <w:end w:w="95" w:type="dxa"/>
            </w:tcMar>
          </w:tcPr>
          <w:p>
            <w:pPr>
              <w:spacing w:before="0" w:after="0" w:line="240" w:lineRule="auto"/>
              <w:jc w:val="right"/>
              <w:widowControl/>
              <w:bidi w:val="1"/>
            </w:pPr>
            <w:r>
              <w:rPr>
                <w:rFonts w:ascii="Noto Sans Arabic" w:hAnsi="Noto Sans Arabic" w:cs="Noto Sans Arabic" w:eastAsia="Noto Sans Arabic"/>
                <w:color w:val="263238"/>
                <w:sz w:val="18"/>
              </w:rPr>
              <w:t>SLEEPEE-ADB-001</w:t>
            </w:r>
          </w:p>
        </w:tc>
      </w:tr>
      <w:tr>
        <w:trPr>
          <w:cantSplit/>
        </w:trPr>
        <w:tc>
          <w:tcPr>
            <w:tcW w:type="dxa" w:w="2304"/>
            <w:vAlign w:val="center"/>
            <w:tcMar>
              <w:top w:w="75" w:type="dxa"/>
              <w:start w:w="95" w:type="dxa"/>
              <w:bottom w:w="75" w:type="dxa"/>
              <w:end w:w="95" w:type="dxa"/>
            </w:tcMar>
            <w:shd w:fill="EAF1F5"/>
          </w:tcPr>
          <w:p>
            <w:pPr>
              <w:spacing w:before="0" w:after="0" w:line="240" w:lineRule="auto"/>
              <w:jc w:val="right"/>
              <w:widowControl/>
              <w:bidi w:val="1"/>
            </w:pPr>
            <w:r>
              <w:rPr>
                <w:rFonts w:ascii="Noto Sans Arabic" w:hAnsi="Noto Sans Arabic" w:cs="Noto Sans Arabic" w:eastAsia="Noto Sans Arabic"/>
                <w:b/>
                <w:color w:val="16324F"/>
                <w:sz w:val="18"/>
              </w:rPr>
              <w:t>الإصدار</w:t>
            </w:r>
          </w:p>
        </w:tc>
        <w:tc>
          <w:tcPr>
            <w:tcW w:type="dxa" w:w="7848"/>
            <w:vAlign w:val="center"/>
            <w:tcMar>
              <w:top w:w="75" w:type="dxa"/>
              <w:start w:w="95" w:type="dxa"/>
              <w:bottom w:w="75" w:type="dxa"/>
              <w:end w:w="95" w:type="dxa"/>
            </w:tcMar>
          </w:tcPr>
          <w:p>
            <w:pPr>
              <w:spacing w:before="0" w:after="0" w:line="240" w:lineRule="auto"/>
              <w:jc w:val="right"/>
              <w:widowControl/>
              <w:bidi w:val="1"/>
            </w:pPr>
            <w:r>
              <w:rPr>
                <w:rFonts w:ascii="Noto Sans Arabic" w:hAnsi="Noto Sans Arabic" w:cs="Noto Sans Arabic" w:eastAsia="Noto Sans Arabic"/>
                <w:color w:val="263238"/>
                <w:sz w:val="18"/>
              </w:rPr>
              <w:t>v1.0</w:t>
            </w:r>
          </w:p>
        </w:tc>
      </w:tr>
      <w:tr>
        <w:trPr>
          <w:cantSplit/>
        </w:trPr>
        <w:tc>
          <w:tcPr>
            <w:tcW w:type="dxa" w:w="2304"/>
            <w:vAlign w:val="center"/>
            <w:tcMar>
              <w:top w:w="75" w:type="dxa"/>
              <w:start w:w="95" w:type="dxa"/>
              <w:bottom w:w="75" w:type="dxa"/>
              <w:end w:w="95" w:type="dxa"/>
            </w:tcMar>
            <w:shd w:fill="EAF1F5"/>
          </w:tcPr>
          <w:p>
            <w:pPr>
              <w:spacing w:before="0" w:after="0" w:line="240" w:lineRule="auto"/>
              <w:jc w:val="right"/>
              <w:widowControl/>
              <w:bidi w:val="1"/>
            </w:pPr>
            <w:r>
              <w:rPr>
                <w:rFonts w:ascii="Noto Sans Arabic" w:hAnsi="Noto Sans Arabic" w:cs="Noto Sans Arabic" w:eastAsia="Noto Sans Arabic"/>
                <w:b/>
                <w:color w:val="16324F"/>
                <w:sz w:val="18"/>
              </w:rPr>
              <w:t>الحالة</w:t>
            </w:r>
          </w:p>
        </w:tc>
        <w:tc>
          <w:tcPr>
            <w:tcW w:type="dxa" w:w="7848"/>
            <w:vAlign w:val="center"/>
            <w:tcMar>
              <w:top w:w="75" w:type="dxa"/>
              <w:start w:w="95" w:type="dxa"/>
              <w:bottom w:w="75" w:type="dxa"/>
              <w:end w:w="95" w:type="dxa"/>
            </w:tcMar>
          </w:tcPr>
          <w:p>
            <w:pPr>
              <w:spacing w:before="0" w:after="0" w:line="240" w:lineRule="auto"/>
              <w:jc w:val="right"/>
              <w:widowControl/>
              <w:bidi w:val="1"/>
            </w:pPr>
            <w:r>
              <w:rPr>
                <w:rFonts w:ascii="Noto Sans Arabic" w:hAnsi="Noto Sans Arabic" w:cs="Noto Sans Arabic" w:eastAsia="Noto Sans Arabic"/>
                <w:color w:val="263238"/>
                <w:sz w:val="18"/>
              </w:rPr>
              <w:t>مسودة للمراجعة والاعتماد — ليست تصريحًا للنشر أو لتغيير قاعدة البيانات</w:t>
            </w:r>
          </w:p>
        </w:tc>
      </w:tr>
      <w:tr>
        <w:trPr>
          <w:cantSplit/>
        </w:trPr>
        <w:tc>
          <w:tcPr>
            <w:tcW w:type="dxa" w:w="2304"/>
            <w:vAlign w:val="center"/>
            <w:tcMar>
              <w:top w:w="75" w:type="dxa"/>
              <w:start w:w="95" w:type="dxa"/>
              <w:bottom w:w="75" w:type="dxa"/>
              <w:end w:w="95" w:type="dxa"/>
            </w:tcMar>
            <w:shd w:fill="EAF1F5"/>
          </w:tcPr>
          <w:p>
            <w:pPr>
              <w:spacing w:before="0" w:after="0" w:line="240" w:lineRule="auto"/>
              <w:jc w:val="right"/>
              <w:widowControl/>
              <w:bidi w:val="1"/>
            </w:pPr>
            <w:r>
              <w:rPr>
                <w:rFonts w:ascii="Noto Sans Arabic" w:hAnsi="Noto Sans Arabic" w:cs="Noto Sans Arabic" w:eastAsia="Noto Sans Arabic"/>
                <w:b/>
                <w:color w:val="16324F"/>
                <w:sz w:val="18"/>
              </w:rPr>
              <w:t>تاريخ الإعداد</w:t>
            </w:r>
          </w:p>
        </w:tc>
        <w:tc>
          <w:tcPr>
            <w:tcW w:type="dxa" w:w="7848"/>
            <w:vAlign w:val="center"/>
            <w:tcMar>
              <w:top w:w="75" w:type="dxa"/>
              <w:start w:w="95" w:type="dxa"/>
              <w:bottom w:w="75" w:type="dxa"/>
              <w:end w:w="95" w:type="dxa"/>
            </w:tcMar>
          </w:tcPr>
          <w:p>
            <w:pPr>
              <w:spacing w:before="0" w:after="0" w:line="240" w:lineRule="auto"/>
              <w:jc w:val="right"/>
              <w:widowControl/>
              <w:bidi w:val="1"/>
            </w:pPr>
            <w:r>
              <w:rPr>
                <w:rFonts w:ascii="Noto Sans Arabic" w:hAnsi="Noto Sans Arabic" w:cs="Noto Sans Arabic" w:eastAsia="Noto Sans Arabic"/>
                <w:color w:val="263238"/>
                <w:sz w:val="18"/>
              </w:rPr>
              <w:t>10 أكتوبر 2026</w:t>
            </w:r>
          </w:p>
        </w:tc>
      </w:tr>
      <w:tr>
        <w:trPr>
          <w:cantSplit/>
        </w:trPr>
        <w:tc>
          <w:tcPr>
            <w:tcW w:type="dxa" w:w="2304"/>
            <w:vAlign w:val="center"/>
            <w:tcMar>
              <w:top w:w="75" w:type="dxa"/>
              <w:start w:w="95" w:type="dxa"/>
              <w:bottom w:w="75" w:type="dxa"/>
              <w:end w:w="95" w:type="dxa"/>
            </w:tcMar>
            <w:shd w:fill="EAF1F5"/>
          </w:tcPr>
          <w:p>
            <w:pPr>
              <w:spacing w:before="0" w:after="0" w:line="240" w:lineRule="auto"/>
              <w:jc w:val="right"/>
              <w:widowControl/>
              <w:bidi w:val="1"/>
            </w:pPr>
            <w:r>
              <w:rPr>
                <w:rFonts w:ascii="Noto Sans Arabic" w:hAnsi="Noto Sans Arabic" w:cs="Noto Sans Arabic" w:eastAsia="Noto Sans Arabic"/>
                <w:b/>
                <w:color w:val="16324F"/>
                <w:sz w:val="18"/>
              </w:rPr>
              <w:t>خط أساس الكود</w:t>
            </w:r>
          </w:p>
        </w:tc>
        <w:tc>
          <w:tcPr>
            <w:tcW w:type="dxa" w:w="7848"/>
            <w:vAlign w:val="center"/>
            <w:tcMar>
              <w:top w:w="75" w:type="dxa"/>
              <w:start w:w="95" w:type="dxa"/>
              <w:bottom w:w="75" w:type="dxa"/>
              <w:end w:w="95" w:type="dxa"/>
            </w:tcMar>
          </w:tcPr>
          <w:p>
            <w:pPr>
              <w:spacing w:before="0" w:after="0" w:line="240" w:lineRule="auto"/>
              <w:jc w:val="right"/>
              <w:widowControl/>
              <w:bidi w:val="1"/>
            </w:pPr>
            <w:r>
              <w:rPr>
                <w:rFonts w:ascii="Noto Sans Arabic" w:hAnsi="Noto Sans Arabic" w:cs="Noto Sans Arabic" w:eastAsia="Noto Sans Arabic"/>
                <w:color w:val="263238"/>
                <w:sz w:val="18"/>
              </w:rPr>
              <w:t>Phase 10–18 Unified v1.0(4).zip</w:t>
            </w:r>
          </w:p>
        </w:tc>
      </w:tr>
      <w:tr>
        <w:trPr>
          <w:cantSplit/>
        </w:trPr>
        <w:tc>
          <w:tcPr>
            <w:tcW w:type="dxa" w:w="2304"/>
            <w:vAlign w:val="center"/>
            <w:tcMar>
              <w:top w:w="75" w:type="dxa"/>
              <w:start w:w="95" w:type="dxa"/>
              <w:bottom w:w="75" w:type="dxa"/>
              <w:end w:w="95" w:type="dxa"/>
            </w:tcMar>
            <w:shd w:fill="EAF1F5"/>
          </w:tcPr>
          <w:p>
            <w:pPr>
              <w:spacing w:before="0" w:after="0" w:line="240" w:lineRule="auto"/>
              <w:jc w:val="right"/>
              <w:widowControl/>
              <w:bidi w:val="1"/>
            </w:pPr>
            <w:r>
              <w:rPr>
                <w:rFonts w:ascii="Noto Sans Arabic" w:hAnsi="Noto Sans Arabic" w:cs="Noto Sans Arabic" w:eastAsia="Noto Sans Arabic"/>
                <w:b/>
                <w:color w:val="16324F"/>
                <w:sz w:val="18"/>
              </w:rPr>
              <w:t>طبقة التحسينات</w:t>
            </w:r>
          </w:p>
        </w:tc>
        <w:tc>
          <w:tcPr>
            <w:tcW w:type="dxa" w:w="7848"/>
            <w:vAlign w:val="center"/>
            <w:tcMar>
              <w:top w:w="75" w:type="dxa"/>
              <w:start w:w="95" w:type="dxa"/>
              <w:bottom w:w="75" w:type="dxa"/>
              <w:end w:w="95" w:type="dxa"/>
            </w:tcMar>
          </w:tcPr>
          <w:p>
            <w:pPr>
              <w:spacing w:before="0" w:after="0" w:line="240" w:lineRule="auto"/>
              <w:jc w:val="right"/>
              <w:widowControl/>
              <w:bidi w:val="1"/>
            </w:pPr>
            <w:r>
              <w:rPr>
                <w:rFonts w:ascii="Noto Sans Arabic" w:hAnsi="Noto Sans Arabic" w:cs="Noto Sans Arabic" w:eastAsia="Noto Sans Arabic"/>
                <w:color w:val="263238"/>
                <w:sz w:val="18"/>
              </w:rPr>
              <w:t>Integration Candidate v1.0.zip</w:t>
            </w:r>
          </w:p>
        </w:tc>
      </w:tr>
      <w:tr>
        <w:trPr>
          <w:cantSplit/>
        </w:trPr>
        <w:tc>
          <w:tcPr>
            <w:tcW w:type="dxa" w:w="2304"/>
            <w:vAlign w:val="center"/>
            <w:tcMar>
              <w:top w:w="75" w:type="dxa"/>
              <w:start w:w="95" w:type="dxa"/>
              <w:bottom w:w="75" w:type="dxa"/>
              <w:end w:w="95" w:type="dxa"/>
            </w:tcMar>
            <w:shd w:fill="EAF1F5"/>
          </w:tcPr>
          <w:p>
            <w:pPr>
              <w:spacing w:before="0" w:after="0" w:line="240" w:lineRule="auto"/>
              <w:jc w:val="right"/>
              <w:widowControl/>
              <w:bidi w:val="1"/>
            </w:pPr>
            <w:r>
              <w:rPr>
                <w:rFonts w:ascii="Noto Sans Arabic" w:hAnsi="Noto Sans Arabic" w:cs="Noto Sans Arabic" w:eastAsia="Noto Sans Arabic"/>
                <w:b/>
                <w:color w:val="16324F"/>
                <w:sz w:val="18"/>
              </w:rPr>
              <w:t>المرجعية الحاكمة</w:t>
            </w:r>
          </w:p>
        </w:tc>
        <w:tc>
          <w:tcPr>
            <w:tcW w:type="dxa" w:w="7848"/>
            <w:vAlign w:val="center"/>
            <w:tcMar>
              <w:top w:w="75" w:type="dxa"/>
              <w:start w:w="95" w:type="dxa"/>
              <w:bottom w:w="75" w:type="dxa"/>
              <w:end w:w="95" w:type="dxa"/>
            </w:tcMar>
          </w:tcPr>
          <w:p>
            <w:pPr>
              <w:spacing w:before="0" w:after="0" w:line="240" w:lineRule="auto"/>
              <w:jc w:val="right"/>
              <w:widowControl/>
              <w:bidi w:val="1"/>
            </w:pPr>
            <w:r>
              <w:rPr>
                <w:rFonts w:ascii="Noto Sans Arabic" w:hAnsi="Noto Sans Arabic" w:cs="Noto Sans Arabic" w:eastAsia="Noto Sans Arabic"/>
                <w:color w:val="263238"/>
                <w:sz w:val="18"/>
              </w:rPr>
              <w:t>Sleepee_Single_Source_Of_Truth_v1.0</w:t>
            </w:r>
          </w:p>
        </w:tc>
      </w:tr>
    </w:tbl>
    <w:p>
      <w:pPr>
        <w:spacing w:before="400" w:after="140" w:line="288" w:lineRule="auto"/>
        <w:jc w:val="center"/>
        <w:widowControl/>
        <w:bidi w:val="1"/>
      </w:pPr>
      <w:r>
        <w:rPr>
          <w:rFonts w:ascii="Noto Sans Arabic" w:hAnsi="Noto Sans Arabic" w:cs="Noto Sans Arabic" w:eastAsia="Noto Sans Arabic"/>
          <w:b/>
          <w:color w:val="B7791F"/>
          <w:sz w:val="22"/>
        </w:rPr>
        <w:t>وثيقة مكملة — المرجعية الأصلية تبقى دون تعديل</w:t>
      </w:r>
    </w:p>
    <w:p>
      <w:pPr>
        <w:spacing w:before="0" w:after="0" w:line="283" w:lineRule="auto"/>
        <w:jc w:val="center"/>
        <w:widowControl/>
        <w:bidi w:val="1"/>
      </w:pPr>
      <w:r>
        <w:rPr>
          <w:rFonts w:ascii="Noto Sans Arabic" w:hAnsi="Noto Sans Arabic" w:cs="Noto Sans Arabic" w:eastAsia="Noto Sans Arabic"/>
          <w:color w:val="52636D"/>
          <w:sz w:val="20"/>
        </w:rPr>
        <w:t>تُستخدم لقراءة المشروع ومراجعة معماريته وتوجيه البناء خطوة بخطوة في Google AI Studio. لا تثبت وحدها نجاح البناء أو نشر Supabase أو اعتماد الطباعة.</w:t>
      </w:r>
    </w:p>
    <w:p>
      <w:r>
        <w:br w:type="page"/>
      </w:r>
    </w:p>
    <w:p>
      <w:pPr>
        <w:pStyle w:val="Heading1"/>
        <w:spacing w:before="220" w:after="100" w:line="240" w:lineRule="auto"/>
        <w:jc w:val="right"/>
        <w:widowControl/>
        <w:bidi w:val="1"/>
      </w:pPr>
      <w:r>
        <w:rPr>
          <w:rFonts w:ascii="Noto Sans Arabic" w:hAnsi="Noto Sans Arabic" w:cs="Noto Sans Arabic" w:eastAsia="Noto Sans Arabic"/>
          <w:color w:val="263238"/>
          <w:sz w:val="30"/>
        </w:rPr>
        <w:t>1. الغرض وحدود الاستخدام</w:t>
      </w:r>
    </w:p>
    <w:p>
      <w:pPr>
        <w:spacing w:before="0" w:after="80" w:line="254" w:lineRule="auto"/>
        <w:jc w:val="right"/>
        <w:widowControl/>
        <w:bidi w:val="1"/>
      </w:pPr>
      <w:r>
        <w:rPr>
          <w:rFonts w:ascii="Noto Sans Arabic" w:hAnsi="Noto Sans Arabic" w:cs="Noto Sans Arabic" w:eastAsia="Noto Sans Arabic"/>
          <w:color w:val="263238"/>
          <w:sz w:val="19"/>
        </w:rPr>
        <w:t>تضع هذه الوثيقة ترتيبًا واحدًا لبناء النسخة التالية انطلاقًا من خط أساس المراحل 10–18، مع الاستفادة من تحسينات الواجهة والتكامل والوثائق التي جُمعت في حزمة التكامل. الهدف هو منع إعادة البناء من الصفر، ومنع ضياع أعمال سابقة، ومنع اعتبار ملفات SQL أو تقارير قديمة دليلًا على أن البيئة الحية متوافقة.</w:t>
      </w:r>
    </w:p>
    <w:p>
      <w:pPr>
        <w:spacing w:before="0" w:after="80" w:line="254" w:lineRule="auto"/>
        <w:jc w:val="right"/>
        <w:widowControl/>
        <w:bidi w:val="1"/>
      </w:pPr>
      <w:r>
        <w:rPr>
          <w:rFonts w:ascii="Noto Sans Arabic" w:hAnsi="Noto Sans Arabic" w:cs="Noto Sans Arabic" w:eastAsia="Noto Sans Arabic"/>
          <w:color w:val="263238"/>
          <w:sz w:val="19"/>
        </w:rPr>
        <w:t>هذه الوثيقة تخدم أربعة أغراض:</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1. </w:t>
      </w:r>
      <w:r>
        <w:rPr>
          <w:rFonts w:ascii="Noto Sans Arabic" w:hAnsi="Noto Sans Arabic" w:cs="Noto Sans Arabic" w:eastAsia="Noto Sans Arabic"/>
          <w:color w:val="263238"/>
          <w:sz w:val="19"/>
        </w:rPr>
        <w:t>توجيه فحص البنية والكود قبل التنفيذ في Google AI Studio.</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2. </w:t>
      </w:r>
      <w:r>
        <w:rPr>
          <w:rFonts w:ascii="Noto Sans Arabic" w:hAnsi="Noto Sans Arabic" w:cs="Noto Sans Arabic" w:eastAsia="Noto Sans Arabic"/>
          <w:color w:val="263238"/>
          <w:sz w:val="19"/>
        </w:rPr>
        <w:t>تعريف تجربة المستخدم المستهدفة وطبقات التطبيق ومسؤولية كل طبقة.</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3. </w:t>
      </w:r>
      <w:r>
        <w:rPr>
          <w:rFonts w:ascii="Noto Sans Arabic" w:hAnsi="Noto Sans Arabic" w:cs="Noto Sans Arabic" w:eastAsia="Noto Sans Arabic"/>
          <w:color w:val="263238"/>
          <w:sz w:val="19"/>
        </w:rPr>
        <w:t>ترتيب التنفيذ والتحقق والقبول على مراحل صغيرة قابلة للمراجعة.</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4. </w:t>
      </w:r>
      <w:r>
        <w:rPr>
          <w:rFonts w:ascii="Noto Sans Arabic" w:hAnsi="Noto Sans Arabic" w:cs="Noto Sans Arabic" w:eastAsia="Noto Sans Arabic"/>
          <w:color w:val="263238"/>
          <w:sz w:val="19"/>
        </w:rPr>
        <w:t>تسجيل التعارضات التي تمنع قرارًا آمنًا، دون اختراع معلومات لحلها.</w:t>
      </w:r>
    </w:p>
    <w:p>
      <w:pPr>
        <w:spacing w:before="0" w:after="80" w:line="254" w:lineRule="auto"/>
        <w:jc w:val="right"/>
        <w:widowControl/>
        <w:bidi w:val="1"/>
      </w:pPr>
      <w:r>
        <w:rPr>
          <w:rFonts w:ascii="Noto Sans Arabic" w:hAnsi="Noto Sans Arabic" w:cs="Noto Sans Arabic" w:eastAsia="Noto Sans Arabic"/>
          <w:b/>
          <w:color w:val="16324F"/>
          <w:sz w:val="19"/>
        </w:rPr>
        <w:t>الحالة الحالية:</w:t>
      </w:r>
      <w:r>
        <w:rPr>
          <w:rFonts w:ascii="Noto Sans Arabic" w:hAnsi="Noto Sans Arabic" w:cs="Noto Sans Arabic" w:eastAsia="Noto Sans Arabic"/>
          <w:color w:val="263238"/>
          <w:sz w:val="19"/>
        </w:rPr>
        <w:t xml:space="preserve"> مخطط معماري مقترح للمراجعة. لا يُعتبر موافقة على ترحيل قاعدة البيانات أو إطلاق التطبيق للإنتاج. يجب أن يعتمد المالك هذه الوثيقة وأي تعديل تجاري/تشغيلي قبل أن تصبح مرجعًا تنفيذيًا ملزمًا.</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2. ترتيب المرجعيات والسلطة</w:t>
      </w:r>
    </w:p>
    <w:p>
      <w:pPr>
        <w:spacing w:before="0" w:after="80" w:line="254" w:lineRule="auto"/>
        <w:jc w:val="right"/>
        <w:widowControl/>
        <w:bidi w:val="1"/>
      </w:pPr>
      <w:r>
        <w:rPr>
          <w:rFonts w:ascii="Noto Sans Arabic" w:hAnsi="Noto Sans Arabic" w:cs="Noto Sans Arabic" w:eastAsia="Noto Sans Arabic"/>
          <w:color w:val="263238"/>
          <w:sz w:val="19"/>
        </w:rPr>
        <w:t>عند التعارض، اتبع الترتيب التالي ولا تحل التعارض بالحدس:</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1. </w:t>
      </w:r>
      <w:r>
        <w:rPr>
          <w:rFonts w:ascii="Noto Sans Arabic" w:hAnsi="Noto Sans Arabic" w:cs="Noto Sans Arabic" w:eastAsia="Noto Sans Arabic"/>
          <w:b/>
          <w:color w:val="16324F"/>
          <w:sz w:val="19"/>
        </w:rPr>
        <w:t>المرجعية التجارية الأصلية:</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7"/>
        </w:rPr>
        <w:t>Sleepee_Single_Source_Of_Truth_v1.0</w:t>
      </w:r>
      <w:r>
        <w:rPr>
          <w:rFonts w:ascii="Noto Sans Arabic" w:hAnsi="Noto Sans Arabic" w:cs="Noto Sans Arabic" w:eastAsia="Noto Sans Arabic"/>
          <w:color w:val="263238"/>
          <w:sz w:val="19"/>
        </w:rPr>
        <w:t>، وبالأخص MASTER REFERENCE SPECIFICATION VERSION 1.0. يجب أن تبقى دون تعديل.</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2. </w:t>
      </w:r>
      <w:r>
        <w:rPr>
          <w:rFonts w:ascii="Noto Sans Arabic" w:hAnsi="Noto Sans Arabic" w:cs="Noto Sans Arabic" w:eastAsia="Noto Sans Arabic"/>
          <w:b/>
          <w:color w:val="16324F"/>
          <w:sz w:val="19"/>
        </w:rPr>
        <w:t>التكنولوجيا والنطاق المجمّدان:</w:t>
      </w:r>
      <w:r>
        <w:rPr>
          <w:rFonts w:ascii="Noto Sans Arabic" w:hAnsi="Noto Sans Arabic" w:cs="Noto Sans Arabic" w:eastAsia="Noto Sans Arabic"/>
          <w:color w:val="263238"/>
          <w:sz w:val="19"/>
        </w:rPr>
        <w:t xml:space="preserve"> React + TypeScript + Vite، وSupabase فقط للخدمات الخلفية وقاعدة البيانات والمصادقة والسياسات والتخزين وRPC وRealtime.</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3. </w:t>
      </w:r>
      <w:r>
        <w:rPr>
          <w:rFonts w:ascii="Noto Sans Arabic" w:hAnsi="Noto Sans Arabic" w:cs="Noto Sans Arabic" w:eastAsia="Noto Sans Arabic"/>
          <w:b/>
          <w:color w:val="16324F"/>
          <w:sz w:val="19"/>
        </w:rPr>
        <w:t>توضيحات المالك الموثقة:</w:t>
      </w:r>
      <w:r>
        <w:rPr>
          <w:rFonts w:ascii="Noto Sans Arabic" w:hAnsi="Noto Sans Arabic" w:cs="Noto Sans Arabic" w:eastAsia="Noto Sans Arabic"/>
          <w:color w:val="263238"/>
          <w:sz w:val="19"/>
        </w:rPr>
        <w:t xml:space="preserve"> ملحق توضيحات المالك ومراجعة المتطلبات v1.2. تُسجل أي إضافة/تغيير كملحق مستقل بإصدار واضح، ولا تعدّل النص الأصلي بصمت.</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4. </w:t>
      </w:r>
      <w:r>
        <w:rPr>
          <w:rFonts w:ascii="Noto Sans Arabic" w:hAnsi="Noto Sans Arabic" w:cs="Noto Sans Arabic" w:eastAsia="Noto Sans Arabic"/>
          <w:b/>
          <w:color w:val="16324F"/>
          <w:sz w:val="19"/>
        </w:rPr>
        <w:t>هذه الوثيقة:</w:t>
      </w:r>
      <w:r>
        <w:rPr>
          <w:rFonts w:ascii="Noto Sans Arabic" w:hAnsi="Noto Sans Arabic" w:cs="Noto Sans Arabic" w:eastAsia="Noto Sans Arabic"/>
          <w:color w:val="263238"/>
          <w:sz w:val="19"/>
        </w:rPr>
        <w:t xml:space="preserve"> مخطط للبناء والترتيب الفني؛ لا تملك سلطة لتغيير قواعد العمل الأصلية.</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5. </w:t>
      </w:r>
      <w:r>
        <w:rPr>
          <w:rFonts w:ascii="Noto Sans Arabic" w:hAnsi="Noto Sans Arabic" w:cs="Noto Sans Arabic" w:eastAsia="Noto Sans Arabic"/>
          <w:b/>
          <w:color w:val="16324F"/>
          <w:sz w:val="19"/>
        </w:rPr>
        <w:t>الكود وملفات SQL والتقارير:</w:t>
      </w:r>
      <w:r>
        <w:rPr>
          <w:rFonts w:ascii="Noto Sans Arabic" w:hAnsi="Noto Sans Arabic" w:cs="Noto Sans Arabic" w:eastAsia="Noto Sans Arabic"/>
          <w:color w:val="263238"/>
          <w:sz w:val="19"/>
        </w:rPr>
        <w:t xml:space="preserve"> أدلة على ما يوجد في الملفات فقط، وليست دليلًا على نشره في قاعدة Supabase الحية أو نجاحه.</w:t>
      </w:r>
    </w:p>
    <w:p>
      <w:pPr>
        <w:spacing w:before="0" w:after="80" w:line="254" w:lineRule="auto"/>
        <w:jc w:val="right"/>
        <w:widowControl/>
        <w:bidi w:val="1"/>
      </w:pPr>
      <w:r>
        <w:rPr>
          <w:rFonts w:ascii="Noto Sans Arabic" w:hAnsi="Noto Sans Arabic" w:cs="Noto Sans Arabic" w:eastAsia="Noto Sans Arabic"/>
          <w:color w:val="263238"/>
          <w:sz w:val="19"/>
        </w:rPr>
        <w:t xml:space="preserve">إذا لم تؤكد الملفات قاعدة أو قيمة أو حالة، سجّلها </w:t>
      </w:r>
      <w:r>
        <w:rPr>
          <w:rFonts w:ascii="DejaVu Sans Mono" w:hAnsi="DejaVu Sans Mono" w:cs="DejaVu Sans Mono" w:eastAsia="DejaVu Sans Mono"/>
          <w:color w:val="1F5673"/>
          <w:sz w:val="18"/>
        </w:rPr>
        <w:t>BLOCKED / SPECIFICATION GAP</w:t>
      </w:r>
      <w:r>
        <w:rPr>
          <w:rFonts w:ascii="Noto Sans Arabic" w:hAnsi="Noto Sans Arabic" w:cs="Noto Sans Arabic" w:eastAsia="Noto Sans Arabic"/>
          <w:color w:val="263238"/>
          <w:sz w:val="19"/>
        </w:rPr>
        <w:t>. لا تُكمل اعتمادًا على تخمين أو بيانات افتراضية.</w:t>
      </w:r>
    </w:p>
    <w:p>
      <w:pPr>
        <w:pStyle w:val="Heading2"/>
        <w:spacing w:before="140" w:after="80" w:line="240" w:lineRule="auto"/>
        <w:jc w:val="right"/>
        <w:widowControl/>
        <w:bidi w:val="1"/>
      </w:pPr>
      <w:r>
        <w:rPr>
          <w:rFonts w:ascii="Noto Sans Arabic" w:hAnsi="Noto Sans Arabic" w:cs="Noto Sans Arabic" w:eastAsia="Noto Sans Arabic"/>
          <w:color w:val="263238"/>
          <w:sz w:val="24"/>
        </w:rPr>
        <w:t>2.1 بيئة إعادة البناء الجديدة — توجيه مالك مستقل</w:t>
      </w:r>
    </w:p>
    <w:p>
      <w:pPr>
        <w:spacing w:before="0" w:after="80" w:line="254" w:lineRule="auto"/>
        <w:jc w:val="right"/>
        <w:widowControl/>
        <w:bidi w:val="1"/>
      </w:pPr>
      <w:r>
        <w:rPr>
          <w:rFonts w:ascii="Noto Sans Arabic" w:hAnsi="Noto Sans Arabic" w:cs="Noto Sans Arabic" w:eastAsia="Noto Sans Arabic"/>
          <w:color w:val="263238"/>
          <w:sz w:val="19"/>
        </w:rPr>
        <w:t>اتجاه العمل الحالي هو إنشاء بيئة تطوير جديدة ومعزولة لهذه النسخة: مستودع GitHub خاص جديد، ومشروع Supabase جديد، ومساحة عمل Google AI Studio جديدة. هذا توجيه خاص ببيئة النسخة المرشحة ولا يغيّر المرجعية الأصلية أو قواعد العمل، ولا يعني حذف أو إعادة ضبط أو تعديل البيئة السابقة.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تظل النسخة القديمة وبياناتها خارج نطاق التعديل، وتستخدم كمرجع تاريخي عند الحاجة فقط.</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يجب ألا تُنسخ بيانات عملاء/فواتير/ضمان حقيقية أو أسرار من البيئة القديمة إلى بيئة التطوير الجديدة دون قرار منفصل وآمن.</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إنشاء مشروع Supabase جديد لا يبرر تشغيل ملفات SQL التاريخية. يجب بناء خطة schema/migrations قابلة للمراجعة ومطابقة للمرجعية، مع فصل تأسيس قاعدة فارغة عن ترحيلات التحديث.</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لا يُعتبر المشروع الجديد جاهزًا بمجرد إنشائه؛ يلزم إثبات الهوية، وضبط Auth/RLS/Storage/RPC/Realtime، وتثبيت التبعيات، وإكمال اختبارات القبول.</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3. القواعد غير القابلة للتجاوز</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عدم حذف أي متطلب أو إعادة تسمية العلامات أو الموديلات أو الفئات أو قواعد الضمان أو تنسيقات الأرقام أو حالات العمل دون موافقة صريحة.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عدم بدء مشروع بديل من الصفر؛ حافظ على كود وخبرات المراحل الموجودة، وقم بتعديلات صغيرة قابلة للمقارنة.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لا Firebase ولا Firestore ولا MongoDB ولا MySQL ولا SQLite ولا Airtable ولا backend بديل.</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لا </w:t>
      </w:r>
      <w:r>
        <w:rPr>
          <w:rFonts w:ascii="DejaVu Sans Mono" w:hAnsi="DejaVu Sans Mono" w:cs="DejaVu Sans Mono" w:eastAsia="DejaVu Sans Mono"/>
          <w:color w:val="1F5673"/>
          <w:sz w:val="17"/>
        </w:rPr>
        <w:t>localStorage</w:t>
      </w:r>
      <w:r>
        <w:rPr>
          <w:rFonts w:ascii="Noto Sans Arabic" w:hAnsi="Noto Sans Arabic" w:cs="Noto Sans Arabic" w:eastAsia="Noto Sans Arabic"/>
          <w:color w:val="263238"/>
          <w:sz w:val="19"/>
        </w:rPr>
        <w:t xml:space="preserve"> أو </w:t>
      </w:r>
      <w:r>
        <w:rPr>
          <w:rFonts w:ascii="DejaVu Sans Mono" w:hAnsi="DejaVu Sans Mono" w:cs="DejaVu Sans Mono" w:eastAsia="DejaVu Sans Mono"/>
          <w:color w:val="1F5673"/>
          <w:sz w:val="17"/>
        </w:rPr>
        <w:t>sessionStorage</w:t>
      </w:r>
      <w:r>
        <w:rPr>
          <w:rFonts w:ascii="Noto Sans Arabic" w:hAnsi="Noto Sans Arabic" w:cs="Noto Sans Arabic" w:eastAsia="Noto Sans Arabic"/>
          <w:color w:val="263238"/>
          <w:sz w:val="19"/>
        </w:rPr>
        <w:t xml:space="preserve"> أو </w:t>
      </w:r>
      <w:r>
        <w:rPr>
          <w:rFonts w:ascii="DejaVu Sans Mono" w:hAnsi="DejaVu Sans Mono" w:cs="DejaVu Sans Mono" w:eastAsia="DejaVu Sans Mono"/>
          <w:color w:val="1F5673"/>
          <w:sz w:val="17"/>
        </w:rPr>
        <w:t>IndexedDB</w:t>
      </w:r>
      <w:r>
        <w:rPr>
          <w:rFonts w:ascii="Noto Sans Arabic" w:hAnsi="Noto Sans Arabic" w:cs="Noto Sans Arabic" w:eastAsia="Noto Sans Arabic"/>
          <w:color w:val="263238"/>
          <w:sz w:val="19"/>
        </w:rPr>
        <w:t xml:space="preserve"> أو JSON أو مصفوفات ثابتة كمصدر بيانات تشغيلي. تخزين حالة عرض مؤقتة لا يجعلها قاعدة بيانات؛ يجب أن تكون البيانات التشغيلية من Supabase.</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لا سجلات تجريبية أو fake/mock/demo data في مسارات التشغيل.</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لا ERP ولا CRM ولا محاسبة/تكاليف ولا HR/Payroll ولا مشتريات ولا Warehouse ERP ولا بوابة موردين ولا POS ولا تجارة إلكترونية.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لا تشغيل لملفات SQL التاريخية أو ترحيل مقترح تلقائيًا.</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لا </w:t>
      </w:r>
      <w:r>
        <w:rPr>
          <w:rFonts w:ascii="DejaVu Sans Mono" w:hAnsi="DejaVu Sans Mono" w:cs="DejaVu Sans Mono" w:eastAsia="DejaVu Sans Mono"/>
          <w:color w:val="1F5673"/>
          <w:sz w:val="17"/>
        </w:rPr>
        <w:t>DROP</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7"/>
        </w:rPr>
        <w:t>TRUNCATE</w:t>
      </w:r>
      <w:r>
        <w:rPr>
          <w:rFonts w:ascii="Noto Sans Arabic" w:hAnsi="Noto Sans Arabic" w:cs="Noto Sans Arabic" w:eastAsia="Noto Sans Arabic"/>
          <w:color w:val="263238"/>
          <w:sz w:val="19"/>
        </w:rPr>
        <w:t>, إعادة إنشاء أو تصفير قاعدة البيانات. لا Migration قبل جرد حي ونسخة احتياطية قابلة للتحقق ومقارنة وموافقة صريحة.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لا مفاتيح أسرار في الكود أو GitHub. الواجهة تستخدم فقط متغيرات </w:t>
      </w:r>
      <w:r>
        <w:rPr>
          <w:rFonts w:ascii="DejaVu Sans Mono" w:hAnsi="DejaVu Sans Mono" w:cs="DejaVu Sans Mono" w:eastAsia="DejaVu Sans Mono"/>
          <w:color w:val="1F5673"/>
          <w:sz w:val="17"/>
        </w:rPr>
        <w:t>VITE_SUPABASE_URL</w:t>
      </w:r>
      <w:r>
        <w:rPr>
          <w:rFonts w:ascii="Noto Sans Arabic" w:hAnsi="Noto Sans Arabic" w:cs="Noto Sans Arabic" w:eastAsia="Noto Sans Arabic"/>
          <w:color w:val="263238"/>
          <w:sz w:val="19"/>
        </w:rPr>
        <w:t xml:space="preserve"> و</w:t>
      </w:r>
      <w:r>
        <w:rPr>
          <w:rFonts w:ascii="DejaVu Sans Mono" w:hAnsi="DejaVu Sans Mono" w:cs="DejaVu Sans Mono" w:eastAsia="DejaVu Sans Mono"/>
          <w:color w:val="1F5673"/>
          <w:sz w:val="17"/>
        </w:rPr>
        <w:t>VITE_SUPABASE_ANON_KEY</w:t>
      </w:r>
      <w:r>
        <w:rPr>
          <w:rFonts w:ascii="Noto Sans Arabic" w:hAnsi="Noto Sans Arabic" w:cs="Noto Sans Arabic" w:eastAsia="Noto Sans Arabic"/>
          <w:color w:val="263238"/>
          <w:sz w:val="19"/>
        </w:rPr>
        <w:t xml:space="preserve">; لا تضع </w:t>
      </w:r>
      <w:r>
        <w:rPr>
          <w:rFonts w:ascii="DejaVu Sans Mono" w:hAnsi="DejaVu Sans Mono" w:cs="DejaVu Sans Mono" w:eastAsia="DejaVu Sans Mono"/>
          <w:color w:val="1F5673"/>
          <w:sz w:val="17"/>
        </w:rPr>
        <w:t>service_role</w:t>
      </w:r>
      <w:r>
        <w:rPr>
          <w:rFonts w:ascii="Noto Sans Arabic" w:hAnsi="Noto Sans Arabic" w:cs="Noto Sans Arabic" w:eastAsia="Noto Sans Arabic"/>
          <w:color w:val="263238"/>
          <w:sz w:val="19"/>
        </w:rPr>
        <w:t xml:space="preserve"> key في الواجهة.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لا اعتبار للطباعة ناجحة إلا بعد استجابة حقيقية من مسار الطباعة المعتمد؛ ولا شهادة لأي مرحلة دون دليل الاختبار الفعلي.</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4. اتجاه تجربة المستخدم المستهدفة</w:t>
      </w:r>
    </w:p>
    <w:p>
      <w:pPr>
        <w:spacing w:before="0" w:after="80" w:line="254" w:lineRule="auto"/>
        <w:jc w:val="right"/>
        <w:widowControl/>
        <w:bidi w:val="1"/>
      </w:pPr>
      <w:r>
        <w:rPr>
          <w:rFonts w:ascii="Noto Sans Arabic" w:hAnsi="Noto Sans Arabic" w:cs="Noto Sans Arabic" w:eastAsia="Noto Sans Arabic"/>
          <w:color w:val="263238"/>
          <w:sz w:val="19"/>
        </w:rPr>
        <w:t>التنظيم المقترح للعرض هو مساحات عمل رئيسية واضحة، مع بقاء المكوّنات والمسارات الداخلية منفصلة برمجيًا. هذا تنظيم للواجهة، وليس إضافة إلى نطاق العمل التجاري.</w:t>
      </w:r>
    </w:p>
    <w:tbl>
      <w:tblPr>
        <w:tblW w:type="auto" w:w="0"/>
        <w:jc w:val="center"/>
        <w:tblLayout w:type="autofit"/>
        <w:tblLook w:firstColumn="1" w:firstRow="1" w:lastColumn="0" w:lastRow="0" w:noHBand="0" w:noVBand="1" w:val="04A0"/>
        <w:bidiVisual w:val="1"/>
        <w:tblBorders>
          <w:top w:val="single" w:sz="4" w:space="0" w:color="D4DEE4"/>
          <w:left w:val="single" w:sz="4" w:space="0" w:color="D4DEE4"/>
          <w:bottom w:val="single" w:sz="4" w:space="0" w:color="D4DEE4"/>
          <w:right w:val="single" w:sz="4" w:space="0" w:color="D4DEE4"/>
          <w:insideH w:val="single" w:sz="4" w:space="0" w:color="D4DEE4"/>
          <w:insideV w:val="single" w:sz="4" w:space="0" w:color="D4DEE4"/>
        </w:tblBorders>
      </w:tblPr>
      <w:tblGrid>
        <w:gridCol w:w="3389"/>
        <w:gridCol w:w="3389"/>
        <w:gridCol w:w="3389"/>
      </w:tblGrid>
      <w:tr>
        <w:trPr>
          <w:cantSplit/>
          <w:tblHeader w:val="true"/>
        </w:trPr>
        <w:tc>
          <w:tcPr>
            <w:tcW w:type="dxa" w:w="3389"/>
            <w:vAlign w:val="center"/>
            <w:tcMar>
              <w:top w:w="65" w:type="dxa"/>
              <w:start w:w="75" w:type="dxa"/>
              <w:bottom w:w="65" w:type="dxa"/>
              <w:end w:w="75" w:type="dxa"/>
            </w:tcMar>
            <w:shd w:fill="16324F"/>
          </w:tcPr>
          <w:p>
            <w:pPr>
              <w:spacing w:before="0" w:after="0" w:line="245" w:lineRule="auto"/>
              <w:jc w:val="right"/>
              <w:widowControl/>
              <w:bidi w:val="1"/>
            </w:pPr>
            <w:r>
              <w:rPr>
                <w:rFonts w:ascii="Noto Sans Arabic" w:hAnsi="Noto Sans Arabic" w:cs="Noto Sans Arabic" w:eastAsia="Noto Sans Arabic"/>
                <w:b/>
                <w:color w:val="FFFFFF"/>
                <w:sz w:val="16"/>
              </w:rPr>
              <w:t>المساحة</w:t>
            </w:r>
          </w:p>
        </w:tc>
        <w:tc>
          <w:tcPr>
            <w:tcW w:type="dxa" w:w="3389"/>
            <w:vAlign w:val="center"/>
            <w:tcMar>
              <w:top w:w="65" w:type="dxa"/>
              <w:start w:w="75" w:type="dxa"/>
              <w:bottom w:w="65" w:type="dxa"/>
              <w:end w:w="75" w:type="dxa"/>
            </w:tcMar>
            <w:shd w:fill="16324F"/>
          </w:tcPr>
          <w:p>
            <w:pPr>
              <w:spacing w:before="0" w:after="0" w:line="245" w:lineRule="auto"/>
              <w:jc w:val="right"/>
              <w:widowControl/>
              <w:bidi w:val="1"/>
            </w:pPr>
            <w:r>
              <w:rPr>
                <w:rFonts w:ascii="Noto Sans Arabic" w:hAnsi="Noto Sans Arabic" w:cs="Noto Sans Arabic" w:eastAsia="Noto Sans Arabic"/>
                <w:b/>
                <w:color w:val="FFFFFF"/>
                <w:sz w:val="16"/>
              </w:rPr>
              <w:t>الوظائف التي تظهر للمستخدم</w:t>
            </w:r>
          </w:p>
        </w:tc>
        <w:tc>
          <w:tcPr>
            <w:tcW w:type="dxa" w:w="3389"/>
            <w:vAlign w:val="center"/>
            <w:tcMar>
              <w:top w:w="65" w:type="dxa"/>
              <w:start w:w="75" w:type="dxa"/>
              <w:bottom w:w="65" w:type="dxa"/>
              <w:end w:w="75" w:type="dxa"/>
            </w:tcMar>
            <w:shd w:fill="16324F"/>
          </w:tcPr>
          <w:p>
            <w:pPr>
              <w:spacing w:before="0" w:after="0" w:line="245" w:lineRule="auto"/>
              <w:jc w:val="right"/>
              <w:widowControl/>
              <w:bidi w:val="1"/>
            </w:pPr>
            <w:r>
              <w:rPr>
                <w:rFonts w:ascii="Noto Sans Arabic" w:hAnsi="Noto Sans Arabic" w:cs="Noto Sans Arabic" w:eastAsia="Noto Sans Arabic"/>
                <w:b/>
                <w:color w:val="FFFFFF"/>
                <w:sz w:val="16"/>
              </w:rPr>
              <w:t>الحدود</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الرئيسية / Dashboard</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مؤشرات حية، تقدم الأوامر، حالة الطباعة، قضايا الخدمة والاستبدال والتنبيهات</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كل رقم يجب أن يأتي من بيانات Supabase الفعلية وبصلاحيات المستخدم</w:t>
            </w:r>
          </w:p>
        </w:tc>
      </w:tr>
      <w:tr>
        <w:trPr>
          <w:cantSplit/>
        </w:trPr>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الإنتاج والتصنيع</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بيانات المنتج، مواصفات الموديل، BOM، Routing، تخطيط الإنتاج، أوامر الإنتاج، الدفعات، التسلسل، تصميم الملصق والطباعة</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تُستخدم إصدارات معتمدة عندما يعتمد مسار الاعتماد؛ لا تُخترع BOM أو Routing افتراضية</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تجربة العميل: الضمان والخدمة</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ملف العميل، الرقم التسلسلي، الضمان، حالات الخدمة، الإصلاح، الاستبدال، التعويض إن اعتمدت سياسته، المرفقات، السجل الزمني والتدقيق</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لا دمج غير مبرر للجداول؛ كل انتقال وصلاحية يجب أن يكون محددًا</w:t>
            </w:r>
          </w:p>
        </w:tc>
      </w:tr>
      <w:tr>
        <w:trPr>
          <w:cantSplit/>
        </w:trPr>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التقارير والتحليلات</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تقارير الإنتاج والضمان والخدمة والاستبدال والطباعة والإدارة، التصدير، فحوص جودة البيانات</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لا تدّعِ اكتمال dataset أو API قبل تنفيذها واختبارها</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الإدارة</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المستخدمون والأدوار والإعدادات والقوالب والأصول والبيانات الرئيسية وسجلات التدقيق</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الأدوار مصدرها موثوق على الخادم؛ لا تبديل دور من الواجهة لأغراض الإنتاج</w:t>
            </w:r>
          </w:p>
        </w:tc>
      </w:tr>
      <w:tr>
        <w:trPr>
          <w:cantSplit/>
        </w:trPr>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 xml:space="preserve">التحقق العام </w:t>
            </w:r>
            <w:r>
              <w:rPr>
                <w:rFonts w:ascii="DejaVu Sans Mono" w:hAnsi="DejaVu Sans Mono" w:cs="DejaVu Sans Mono" w:eastAsia="DejaVu Sans Mono"/>
                <w:color w:val="1F5673"/>
                <w:sz w:val="16"/>
              </w:rPr>
              <w:t>/verify</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تحقق محدود بالرقم التسلسلي أو QR أو الباركود ومعلومات المنتج/الضمان المسموح بها</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Public read-only؛ لا تعرض بيانات شخصية أو مستندات خاصة</w:t>
            </w:r>
          </w:p>
        </w:tc>
      </w:tr>
    </w:tbl>
    <w:p>
      <w:pPr>
        <w:spacing w:before="0" w:after="40" w:line="120" w:lineRule="auto"/>
        <w:jc w:val="right"/>
        <w:widowControl/>
        <w:bidi w:val="1"/>
      </w:pPr>
    </w:p>
    <w:p>
      <w:pPr>
        <w:spacing w:before="0" w:after="80" w:line="254" w:lineRule="auto"/>
        <w:jc w:val="right"/>
        <w:widowControl/>
        <w:bidi w:val="1"/>
      </w:pPr>
      <w:r>
        <w:rPr>
          <w:rFonts w:ascii="Noto Sans Arabic" w:hAnsi="Noto Sans Arabic" w:cs="Noto Sans Arabic" w:eastAsia="Noto Sans Arabic"/>
          <w:b/>
          <w:color w:val="16324F"/>
          <w:sz w:val="19"/>
        </w:rPr>
        <w:t>قاعدة تصميم:</w:t>
      </w:r>
      <w:r>
        <w:rPr>
          <w:rFonts w:ascii="Noto Sans Arabic" w:hAnsi="Noto Sans Arabic" w:cs="Noto Sans Arabic" w:eastAsia="Noto Sans Arabic"/>
          <w:color w:val="263238"/>
          <w:sz w:val="19"/>
        </w:rPr>
        <w:t xml:space="preserve"> يمكن أن يبقى </w:t>
      </w:r>
      <w:r>
        <w:rPr>
          <w:rFonts w:ascii="DejaVu Sans Mono" w:hAnsi="DejaVu Sans Mono" w:cs="DejaVu Sans Mono" w:eastAsia="DejaVu Sans Mono"/>
          <w:color w:val="1F5673"/>
          <w:sz w:val="18"/>
        </w:rPr>
        <w:t>/production/*</w:t>
      </w:r>
      <w:r>
        <w:rPr>
          <w:rFonts w:ascii="Noto Sans Arabic" w:hAnsi="Noto Sans Arabic" w:cs="Noto Sans Arabic" w:eastAsia="Noto Sans Arabic"/>
          <w:color w:val="263238"/>
          <w:sz w:val="19"/>
        </w:rPr>
        <w:t xml:space="preserve"> و</w:t>
      </w:r>
      <w:r>
        <w:rPr>
          <w:rFonts w:ascii="DejaVu Sans Mono" w:hAnsi="DejaVu Sans Mono" w:cs="DejaVu Sans Mono" w:eastAsia="DejaVu Sans Mono"/>
          <w:color w:val="1F5673"/>
          <w:sz w:val="18"/>
        </w:rPr>
        <w:t>/serialization/*</w:t>
      </w:r>
      <w:r>
        <w:rPr>
          <w:rFonts w:ascii="Noto Sans Arabic" w:hAnsi="Noto Sans Arabic" w:cs="Noto Sans Arabic" w:eastAsia="Noto Sans Arabic"/>
          <w:color w:val="263238"/>
          <w:sz w:val="19"/>
        </w:rPr>
        <w:t xml:space="preserve"> و</w:t>
      </w:r>
      <w:r>
        <w:rPr>
          <w:rFonts w:ascii="DejaVu Sans Mono" w:hAnsi="DejaVu Sans Mono" w:cs="DejaVu Sans Mono" w:eastAsia="DejaVu Sans Mono"/>
          <w:color w:val="1F5673"/>
          <w:sz w:val="18"/>
        </w:rPr>
        <w:t>/printing/*</w:t>
      </w:r>
      <w:r>
        <w:rPr>
          <w:rFonts w:ascii="Noto Sans Arabic" w:hAnsi="Noto Sans Arabic" w:cs="Noto Sans Arabic" w:eastAsia="Noto Sans Arabic"/>
          <w:color w:val="263238"/>
          <w:sz w:val="19"/>
        </w:rPr>
        <w:t xml:space="preserve"> و</w:t>
      </w:r>
      <w:r>
        <w:rPr>
          <w:rFonts w:ascii="DejaVu Sans Mono" w:hAnsi="DejaVu Sans Mono" w:cs="DejaVu Sans Mono" w:eastAsia="DejaVu Sans Mono"/>
          <w:color w:val="1F5673"/>
          <w:sz w:val="18"/>
        </w:rPr>
        <w:t>/label-designer/*</w:t>
      </w:r>
      <w:r>
        <w:rPr>
          <w:rFonts w:ascii="Noto Sans Arabic" w:hAnsi="Noto Sans Arabic" w:cs="Noto Sans Arabic" w:eastAsia="Noto Sans Arabic"/>
          <w:color w:val="263238"/>
          <w:sz w:val="19"/>
        </w:rPr>
        <w:t xml:space="preserve"> وغيرها مسارات داخلية مستقلة حتى لو ظهرت للمستخدم كتدفق إنتاج واحد. الدمج البصري لا يعني دمج مسؤوليات الكود أو جداول قاعدة البيانات.</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5. البنية المعمارية المستهدفة</w:t>
      </w:r>
    </w:p>
    <w:p>
      <w:pPr>
        <w:pStyle w:val="Heading2"/>
        <w:spacing w:before="140" w:after="80" w:line="240" w:lineRule="auto"/>
        <w:jc w:val="right"/>
        <w:widowControl/>
        <w:bidi w:val="1"/>
      </w:pPr>
      <w:r>
        <w:rPr>
          <w:rFonts w:ascii="Noto Sans Arabic" w:hAnsi="Noto Sans Arabic" w:cs="Noto Sans Arabic" w:eastAsia="Noto Sans Arabic"/>
          <w:color w:val="263238"/>
          <w:sz w:val="24"/>
        </w:rPr>
        <w:t>5.1 طبقات التطبيق</w:t>
      </w:r>
    </w:p>
    <w:tbl>
      <w:tblPr>
        <w:tblW w:type="auto" w:w="0"/>
        <w:jc w:val="center"/>
        <w:tblLayout w:type="autofit"/>
        <w:tblLook w:firstColumn="1" w:firstRow="1" w:lastColumn="0" w:lastRow="0" w:noHBand="0" w:noVBand="1" w:val="04A0"/>
        <w:bidiVisual w:val="1"/>
        <w:tblBorders>
          <w:top w:val="single" w:sz="4" w:space="0" w:color="D4DEE4"/>
          <w:left w:val="single" w:sz="4" w:space="0" w:color="D4DEE4"/>
          <w:bottom w:val="single" w:sz="4" w:space="0" w:color="D4DEE4"/>
          <w:right w:val="single" w:sz="4" w:space="0" w:color="D4DEE4"/>
          <w:insideH w:val="single" w:sz="4" w:space="0" w:color="D4DEE4"/>
          <w:insideV w:val="single" w:sz="4" w:space="0" w:color="D4DEE4"/>
        </w:tblBorders>
      </w:tblPr>
      <w:tblGrid>
        <w:gridCol w:w="3389"/>
        <w:gridCol w:w="3389"/>
        <w:gridCol w:w="3389"/>
      </w:tblGrid>
      <w:tr>
        <w:trPr>
          <w:cantSplit/>
          <w:tblHeader w:val="true"/>
        </w:trPr>
        <w:tc>
          <w:tcPr>
            <w:tcW w:type="dxa" w:w="3389"/>
            <w:vAlign w:val="center"/>
            <w:tcMar>
              <w:top w:w="65" w:type="dxa"/>
              <w:start w:w="75" w:type="dxa"/>
              <w:bottom w:w="65" w:type="dxa"/>
              <w:end w:w="75" w:type="dxa"/>
            </w:tcMar>
            <w:shd w:fill="16324F"/>
          </w:tcPr>
          <w:p>
            <w:pPr>
              <w:spacing w:before="0" w:after="0" w:line="245" w:lineRule="auto"/>
              <w:jc w:val="right"/>
              <w:widowControl/>
              <w:bidi w:val="1"/>
            </w:pPr>
            <w:r>
              <w:rPr>
                <w:rFonts w:ascii="Noto Sans Arabic" w:hAnsi="Noto Sans Arabic" w:cs="Noto Sans Arabic" w:eastAsia="Noto Sans Arabic"/>
                <w:b/>
                <w:color w:val="FFFFFF"/>
                <w:sz w:val="16"/>
              </w:rPr>
              <w:t>الطبقة</w:t>
            </w:r>
          </w:p>
        </w:tc>
        <w:tc>
          <w:tcPr>
            <w:tcW w:type="dxa" w:w="3389"/>
            <w:vAlign w:val="center"/>
            <w:tcMar>
              <w:top w:w="65" w:type="dxa"/>
              <w:start w:w="75" w:type="dxa"/>
              <w:bottom w:w="65" w:type="dxa"/>
              <w:end w:w="75" w:type="dxa"/>
            </w:tcMar>
            <w:shd w:fill="16324F"/>
          </w:tcPr>
          <w:p>
            <w:pPr>
              <w:spacing w:before="0" w:after="0" w:line="245" w:lineRule="auto"/>
              <w:jc w:val="right"/>
              <w:widowControl/>
              <w:bidi w:val="1"/>
            </w:pPr>
            <w:r>
              <w:rPr>
                <w:rFonts w:ascii="Noto Sans Arabic" w:hAnsi="Noto Sans Arabic" w:cs="Noto Sans Arabic" w:eastAsia="Noto Sans Arabic"/>
                <w:b/>
                <w:color w:val="FFFFFF"/>
                <w:sz w:val="16"/>
              </w:rPr>
              <w:t>المسؤولية</w:t>
            </w:r>
          </w:p>
        </w:tc>
        <w:tc>
          <w:tcPr>
            <w:tcW w:type="dxa" w:w="3389"/>
            <w:vAlign w:val="center"/>
            <w:tcMar>
              <w:top w:w="65" w:type="dxa"/>
              <w:start w:w="75" w:type="dxa"/>
              <w:bottom w:w="65" w:type="dxa"/>
              <w:end w:w="75" w:type="dxa"/>
            </w:tcMar>
            <w:shd w:fill="16324F"/>
          </w:tcPr>
          <w:p>
            <w:pPr>
              <w:spacing w:before="0" w:after="0" w:line="245" w:lineRule="auto"/>
              <w:jc w:val="right"/>
              <w:widowControl/>
              <w:bidi w:val="1"/>
            </w:pPr>
            <w:r>
              <w:rPr>
                <w:rFonts w:ascii="Noto Sans Arabic" w:hAnsi="Noto Sans Arabic" w:cs="Noto Sans Arabic" w:eastAsia="Noto Sans Arabic"/>
                <w:b/>
                <w:color w:val="FFFFFF"/>
                <w:sz w:val="16"/>
              </w:rPr>
              <w:t>ضوابط القبول</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واجهة المستخدم / App Shell</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التنقل، اللغة العربية RTL والإنجليزية، الثيم، البحث، الإشعارات، الأطر العامة</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لا تتجاوز الصلاحيات أو تنفّذ قواعد عمل تجارية داخل عناصر العرض فقط</w:t>
            </w:r>
          </w:p>
        </w:tc>
      </w:tr>
      <w:tr>
        <w:trPr>
          <w:cantSplit/>
        </w:trPr>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مساحات العمل / Feature UI</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شاشات الإنتاج، الهندسة، الملصقات، الطباعة، الضمان، خدمة العملاء، الاستبدال، التقارير والإدارة</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كل شاشة حالة مستخدم واضحة؛ لا تُظهر بيانات غير متاحة في Supabase</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API / Domain Services</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استدعاءات API typed وتنسيق العقود والتدفقات</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لا بيانات ثابتة كبديل؛ لا fallback يغير معنى العملية عند فشل RPC</w:t>
            </w:r>
          </w:p>
        </w:tc>
      </w:tr>
      <w:tr>
        <w:trPr>
          <w:cantSplit/>
        </w:trPr>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Supabase Client</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اتصال المصادقة والبيانات والـRPC والتخزين والـRealtime</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استخدام متغيرات البيئة المعتمدة فقط؛ معالجة أخطاء الاتصال بوضوح</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PostgreSQL + RPC + RLS</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المخطط العلائقي، القيود، الدوال الذرية، الصلاحيات وسلامة المعاملة</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الخادم هو حد الأمان؛ كل تغيير حساس يراجع داخل RLS/RPC</w:t>
            </w:r>
          </w:p>
        </w:tc>
      </w:tr>
      <w:tr>
        <w:trPr>
          <w:cantSplit/>
        </w:trPr>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Supabase Storage</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الصور والقوالب والمرفقات وفق الصلاحيات</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 xml:space="preserve">الحفاظ على الدلاء الحالية </w:t>
            </w:r>
            <w:r>
              <w:rPr>
                <w:rFonts w:ascii="DejaVu Sans Mono" w:hAnsi="DejaVu Sans Mono" w:cs="DejaVu Sans Mono" w:eastAsia="DejaVu Sans Mono"/>
                <w:color w:val="1F5673"/>
                <w:sz w:val="16"/>
              </w:rPr>
              <w:t>labels</w:t>
            </w:r>
            <w:r>
              <w:rPr>
                <w:rFonts w:ascii="Noto Sans Arabic" w:hAnsi="Noto Sans Arabic" w:cs="Noto Sans Arabic" w:eastAsia="Noto Sans Arabic"/>
                <w:color w:val="263238"/>
                <w:sz w:val="16"/>
              </w:rPr>
              <w:t xml:space="preserve">, </w:t>
            </w:r>
            <w:r>
              <w:rPr>
                <w:rFonts w:ascii="DejaVu Sans Mono" w:hAnsi="DejaVu Sans Mono" w:cs="DejaVu Sans Mono" w:eastAsia="DejaVu Sans Mono"/>
                <w:color w:val="1F5673"/>
                <w:sz w:val="16"/>
              </w:rPr>
              <w:t>service</w:t>
            </w:r>
            <w:r>
              <w:rPr>
                <w:rFonts w:ascii="Noto Sans Arabic" w:hAnsi="Noto Sans Arabic" w:cs="Noto Sans Arabic" w:eastAsia="Noto Sans Arabic"/>
                <w:color w:val="263238"/>
                <w:sz w:val="16"/>
              </w:rPr>
              <w:t xml:space="preserve">, </w:t>
            </w:r>
            <w:r>
              <w:rPr>
                <w:rFonts w:ascii="DejaVu Sans Mono" w:hAnsi="DejaVu Sans Mono" w:cs="DejaVu Sans Mono" w:eastAsia="DejaVu Sans Mono"/>
                <w:color w:val="1F5673"/>
                <w:sz w:val="16"/>
              </w:rPr>
              <w:t>warranty</w:t>
            </w:r>
            <w:r>
              <w:rPr>
                <w:rFonts w:ascii="Noto Sans Arabic" w:hAnsi="Noto Sans Arabic" w:cs="Noto Sans Arabic" w:eastAsia="Noto Sans Arabic"/>
                <w:color w:val="263238"/>
                <w:sz w:val="16"/>
              </w:rPr>
              <w:t xml:space="preserve"> ومراجعة الحالة الحية قبل أي تغيير</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الاختبارات والأدلة</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بناء نظيف، اختبارات عقود/أدوار/تدفقات، تحقق حي واختبار الطابعة</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نشر نتيجة فعلية لكل اختبار؛ لا استنتاج من وجود الملف فقط</w:t>
            </w:r>
          </w:p>
        </w:tc>
      </w:tr>
    </w:tbl>
    <w:p>
      <w:pPr>
        <w:spacing w:before="0" w:after="40" w:line="120" w:lineRule="auto"/>
        <w:jc w:val="right"/>
        <w:widowControl/>
        <w:bidi w:val="1"/>
      </w:pPr>
    </w:p>
    <w:p>
      <w:pPr>
        <w:pStyle w:val="Heading2"/>
        <w:spacing w:before="140" w:after="80" w:line="240" w:lineRule="auto"/>
        <w:jc w:val="right"/>
        <w:widowControl/>
        <w:bidi w:val="1"/>
      </w:pPr>
      <w:r>
        <w:rPr>
          <w:rFonts w:ascii="Noto Sans Arabic" w:hAnsi="Noto Sans Arabic" w:cs="Noto Sans Arabic" w:eastAsia="Noto Sans Arabic"/>
          <w:color w:val="263238"/>
          <w:sz w:val="24"/>
        </w:rPr>
        <w:t>5.2 حدود مسؤوليات المجالات</w:t>
      </w:r>
    </w:p>
    <w:p>
      <w:pPr>
        <w:pStyle w:val="ListBullet"/>
        <w:spacing w:before="0" w:after="44" w:line="247" w:lineRule="auto"/>
        <w:ind w:left="259" w:right="202"/>
        <w:jc w:val="right"/>
        <w:widowControl/>
        <w:bidi w:val="1"/>
      </w:pPr>
      <w:r>
        <w:rPr>
          <w:rFonts w:ascii="Noto Sans Arabic" w:hAnsi="Noto Sans Arabic" w:cs="Noto Sans Arabic" w:eastAsia="Noto Sans Arabic"/>
          <w:b/>
          <w:color w:val="16324F"/>
          <w:sz w:val="19"/>
        </w:rPr>
        <w:t>Master Data:</w:t>
      </w:r>
      <w:r>
        <w:rPr>
          <w:rFonts w:ascii="Noto Sans Arabic" w:hAnsi="Noto Sans Arabic" w:cs="Noto Sans Arabic" w:eastAsia="Noto Sans Arabic"/>
          <w:color w:val="263238"/>
          <w:sz w:val="19"/>
        </w:rPr>
        <w:t xml:space="preserve"> الفئات والعلامات والموديلات والمقاسات وأنواع المنتجات؛ المصدر التشغيلي Supabase فقط.</w:t>
      </w:r>
    </w:p>
    <w:p>
      <w:pPr>
        <w:pStyle w:val="ListBullet"/>
        <w:spacing w:before="0" w:after="44" w:line="247" w:lineRule="auto"/>
        <w:ind w:left="259" w:right="202"/>
        <w:jc w:val="right"/>
        <w:widowControl/>
        <w:bidi w:val="1"/>
      </w:pPr>
      <w:r>
        <w:rPr>
          <w:rFonts w:ascii="Noto Sans Arabic" w:hAnsi="Noto Sans Arabic" w:cs="Noto Sans Arabic" w:eastAsia="Noto Sans Arabic"/>
          <w:b/>
          <w:color w:val="16324F"/>
          <w:sz w:val="19"/>
        </w:rPr>
        <w:t>Product Engineering:</w:t>
      </w:r>
      <w:r>
        <w:rPr>
          <w:rFonts w:ascii="Noto Sans Arabic" w:hAnsi="Noto Sans Arabic" w:cs="Noto Sans Arabic" w:eastAsia="Noto Sans Arabic"/>
          <w:color w:val="263238"/>
          <w:sz w:val="19"/>
        </w:rPr>
        <w:t xml:space="preserve"> مواصفات الموديل، BOM ونسخ BOM، Routing ونسخ Routing، النظام التصنيعي والخط/الماكينة، مراجع المصادر. أي جداول جديدة تبقى اقتراحًا حتى مراجعة المخطط الحي.</w:t>
      </w:r>
    </w:p>
    <w:p>
      <w:pPr>
        <w:pStyle w:val="ListBullet"/>
        <w:spacing w:before="0" w:after="44" w:line="247" w:lineRule="auto"/>
        <w:ind w:left="259" w:right="202"/>
        <w:jc w:val="right"/>
        <w:widowControl/>
        <w:bidi w:val="1"/>
      </w:pPr>
      <w:r>
        <w:rPr>
          <w:rFonts w:ascii="Noto Sans Arabic" w:hAnsi="Noto Sans Arabic" w:cs="Noto Sans Arabic" w:eastAsia="Noto Sans Arabic"/>
          <w:b/>
          <w:color w:val="16324F"/>
          <w:sz w:val="19"/>
        </w:rPr>
        <w:t>Production:</w:t>
      </w:r>
      <w:r>
        <w:rPr>
          <w:rFonts w:ascii="Noto Sans Arabic" w:hAnsi="Noto Sans Arabic" w:cs="Noto Sans Arabic" w:eastAsia="Noto Sans Arabic"/>
          <w:color w:val="263238"/>
          <w:sz w:val="19"/>
        </w:rPr>
        <w:t xml:space="preserve"> التخطيط، أوامر الإنتاج، الموافقات، الدفعات، التسلسل والتتبع.</w:t>
      </w:r>
    </w:p>
    <w:p>
      <w:pPr>
        <w:pStyle w:val="ListBullet"/>
        <w:spacing w:before="0" w:after="44" w:line="247" w:lineRule="auto"/>
        <w:ind w:left="259" w:right="202"/>
        <w:jc w:val="right"/>
        <w:widowControl/>
        <w:bidi w:val="1"/>
      </w:pPr>
      <w:r>
        <w:rPr>
          <w:rFonts w:ascii="Noto Sans Arabic" w:hAnsi="Noto Sans Arabic" w:cs="Noto Sans Arabic" w:eastAsia="Noto Sans Arabic"/>
          <w:b/>
          <w:color w:val="16324F"/>
          <w:sz w:val="19"/>
        </w:rPr>
        <w:t>Serialization:</w:t>
      </w:r>
      <w:r>
        <w:rPr>
          <w:rFonts w:ascii="Noto Sans Arabic" w:hAnsi="Noto Sans Arabic" w:cs="Noto Sans Arabic" w:eastAsia="Noto Sans Arabic"/>
          <w:color w:val="263238"/>
          <w:sz w:val="19"/>
        </w:rPr>
        <w:t xml:space="preserve"> إصدار الرقم الفريد، عدم إعادة استخدامه، وربط تاريخه بالإنتاج والدفعة والطباعة والبيع والضمان والخدمة والاستبدال.</w:t>
      </w:r>
    </w:p>
    <w:p>
      <w:pPr>
        <w:pStyle w:val="ListBullet"/>
        <w:spacing w:before="0" w:after="44" w:line="247" w:lineRule="auto"/>
        <w:ind w:left="259" w:right="202"/>
        <w:jc w:val="right"/>
        <w:widowControl/>
        <w:bidi w:val="1"/>
      </w:pPr>
      <w:r>
        <w:rPr>
          <w:rFonts w:ascii="Noto Sans Arabic" w:hAnsi="Noto Sans Arabic" w:cs="Noto Sans Arabic" w:eastAsia="Noto Sans Arabic"/>
          <w:b/>
          <w:color w:val="16324F"/>
          <w:sz w:val="19"/>
        </w:rPr>
        <w:t>Printing &amp; Label Design:</w:t>
      </w:r>
      <w:r>
        <w:rPr>
          <w:rFonts w:ascii="Noto Sans Arabic" w:hAnsi="Noto Sans Arabic" w:cs="Noto Sans Arabic" w:eastAsia="Noto Sans Arabic"/>
          <w:color w:val="263238"/>
          <w:sz w:val="19"/>
        </w:rPr>
        <w:t xml:space="preserve"> القوالب والأبعاد والأصول وPrint Jobs والتاريخ. يختلف تصميم/Preview القالب عن تأكيد نجاح الطباعة الفعلية.</w:t>
      </w:r>
    </w:p>
    <w:p>
      <w:pPr>
        <w:pStyle w:val="ListBullet"/>
        <w:spacing w:before="0" w:after="44" w:line="247" w:lineRule="auto"/>
        <w:ind w:left="259" w:right="202"/>
        <w:jc w:val="right"/>
        <w:widowControl/>
        <w:bidi w:val="1"/>
      </w:pPr>
      <w:r>
        <w:rPr>
          <w:rFonts w:ascii="Noto Sans Arabic" w:hAnsi="Noto Sans Arabic" w:cs="Noto Sans Arabic" w:eastAsia="Noto Sans Arabic"/>
          <w:b/>
          <w:color w:val="16324F"/>
          <w:sz w:val="19"/>
        </w:rPr>
        <w:t>Warranty:</w:t>
      </w:r>
      <w:r>
        <w:rPr>
          <w:rFonts w:ascii="Noto Sans Arabic" w:hAnsi="Noto Sans Arabic" w:cs="Noto Sans Arabic" w:eastAsia="Noto Sans Arabic"/>
          <w:color w:val="263238"/>
          <w:sz w:val="19"/>
        </w:rPr>
        <w:t xml:space="preserve"> السياسة والتفعيل والتحقق وسجل الأحداث. تفعيل الضمان يمر عبر RPC المعتمد، لا كتابة مباشرة من عميل الويب إلى جدول التفعيلات.</w:t>
      </w:r>
    </w:p>
    <w:p>
      <w:pPr>
        <w:pStyle w:val="ListBullet"/>
        <w:spacing w:before="0" w:after="44" w:line="247" w:lineRule="auto"/>
        <w:ind w:left="259" w:right="202"/>
        <w:jc w:val="right"/>
        <w:widowControl/>
        <w:bidi w:val="1"/>
      </w:pPr>
      <w:r>
        <w:rPr>
          <w:rFonts w:ascii="Noto Sans Arabic" w:hAnsi="Noto Sans Arabic" w:cs="Noto Sans Arabic" w:eastAsia="Noto Sans Arabic"/>
          <w:b/>
          <w:color w:val="16324F"/>
          <w:sz w:val="19"/>
        </w:rPr>
        <w:t>Customer Service / Replacement:</w:t>
      </w:r>
      <w:r>
        <w:rPr>
          <w:rFonts w:ascii="Noto Sans Arabic" w:hAnsi="Noto Sans Arabic" w:cs="Noto Sans Arabic" w:eastAsia="Noto Sans Arabic"/>
          <w:color w:val="263238"/>
          <w:sz w:val="19"/>
        </w:rPr>
        <w:t xml:space="preserve"> حالات الخدمة والمرفقات والموافقات وربط المنتج القديم والجديد والتاريخ الكامل.</w:t>
      </w:r>
    </w:p>
    <w:p>
      <w:pPr>
        <w:pStyle w:val="ListBullet"/>
        <w:spacing w:before="0" w:after="44" w:line="247" w:lineRule="auto"/>
        <w:ind w:left="259" w:right="202"/>
        <w:jc w:val="right"/>
        <w:widowControl/>
        <w:bidi w:val="1"/>
      </w:pPr>
      <w:r>
        <w:rPr>
          <w:rFonts w:ascii="Noto Sans Arabic" w:hAnsi="Noto Sans Arabic" w:cs="Noto Sans Arabic" w:eastAsia="Noto Sans Arabic"/>
          <w:b/>
          <w:color w:val="16324F"/>
          <w:sz w:val="19"/>
        </w:rPr>
        <w:t>Reporting &amp; Audit:</w:t>
      </w:r>
      <w:r>
        <w:rPr>
          <w:rFonts w:ascii="Noto Sans Arabic" w:hAnsi="Noto Sans Arabic" w:cs="Noto Sans Arabic" w:eastAsia="Noto Sans Arabic"/>
          <w:color w:val="263238"/>
          <w:sz w:val="19"/>
        </w:rPr>
        <w:t xml:space="preserve"> الاستعلام عن البيانات المصرح بها وإظهار المصدر والتاريخ؛ لا تخزين مجموعة تقارير ثابتة كبديل للمصدر.</w:t>
      </w:r>
    </w:p>
    <w:p>
      <w:pPr>
        <w:pStyle w:val="Heading2"/>
        <w:spacing w:before="140" w:after="80" w:line="240" w:lineRule="auto"/>
        <w:jc w:val="right"/>
        <w:widowControl/>
        <w:bidi w:val="1"/>
      </w:pPr>
      <w:r>
        <w:rPr>
          <w:rFonts w:ascii="Noto Sans Arabic" w:hAnsi="Noto Sans Arabic" w:cs="Noto Sans Arabic" w:eastAsia="Noto Sans Arabic"/>
          <w:color w:val="263238"/>
          <w:sz w:val="24"/>
        </w:rPr>
        <w:t>5.3 فصل التنفيذ عن البيانات</w:t>
      </w:r>
    </w:p>
    <w:p>
      <w:pPr>
        <w:spacing w:before="0" w:after="80" w:line="254" w:lineRule="auto"/>
        <w:jc w:val="right"/>
        <w:widowControl/>
        <w:bidi w:val="1"/>
      </w:pPr>
      <w:r>
        <w:rPr>
          <w:rFonts w:ascii="Noto Sans Arabic" w:hAnsi="Noto Sans Arabic" w:cs="Noto Sans Arabic" w:eastAsia="Noto Sans Arabic"/>
          <w:color w:val="263238"/>
          <w:sz w:val="19"/>
        </w:rPr>
        <w:t xml:space="preserve">وجود واجهة لـBOM أو Routing لا يعني أن جداولها نُشرت. ملف </w:t>
      </w:r>
      <w:r>
        <w:rPr>
          <w:rFonts w:ascii="DejaVu Sans Mono" w:hAnsi="DejaVu Sans Mono" w:cs="DejaVu Sans Mono" w:eastAsia="DejaVu Sans Mono"/>
          <w:color w:val="1F5673"/>
          <w:sz w:val="18"/>
        </w:rPr>
        <w:t>docs/proposed-migrations/20261010_additive_manufacturing_engineering.sql</w:t>
      </w:r>
      <w:r>
        <w:rPr>
          <w:rFonts w:ascii="Noto Sans Arabic" w:hAnsi="Noto Sans Arabic" w:cs="Noto Sans Arabic" w:eastAsia="Noto Sans Arabic"/>
          <w:color w:val="263238"/>
          <w:sz w:val="19"/>
        </w:rPr>
        <w:t xml:space="preserve"> اقتراح مراجعة خارج مسار الترحيلات النشطة. لا يُنقل إلى مسار نشط ولا يُنفذ قبل مقارنة أسماء الجداول والأعمدة والدوال والسياسات بالمخطط الحي ومراجعة أثره.</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6. عقود العمل التي يجب حفظها</w:t>
      </w:r>
    </w:p>
    <w:p>
      <w:pPr>
        <w:pStyle w:val="Heading2"/>
        <w:spacing w:before="140" w:after="80" w:line="240" w:lineRule="auto"/>
        <w:jc w:val="right"/>
        <w:widowControl/>
        <w:bidi w:val="1"/>
      </w:pPr>
      <w:r>
        <w:rPr>
          <w:rFonts w:ascii="Noto Sans Arabic" w:hAnsi="Noto Sans Arabic" w:cs="Noto Sans Arabic" w:eastAsia="Noto Sans Arabic"/>
          <w:color w:val="263238"/>
          <w:sz w:val="24"/>
        </w:rPr>
        <w:t>6.1 الإنتاج والدفعات</w:t>
      </w:r>
    </w:p>
    <w:p>
      <w:pPr>
        <w:spacing w:before="0" w:after="80" w:line="254" w:lineRule="auto"/>
        <w:jc w:val="right"/>
        <w:widowControl/>
        <w:bidi w:val="1"/>
      </w:pPr>
      <w:r>
        <w:rPr>
          <w:rFonts w:ascii="Noto Sans Arabic" w:hAnsi="Noto Sans Arabic" w:cs="Noto Sans Arabic" w:eastAsia="Noto Sans Arabic"/>
          <w:color w:val="263238"/>
          <w:sz w:val="19"/>
        </w:rPr>
        <w:t>حالات أمر الإنتاج في المرجعية الأصلية:</w:t>
      </w:r>
    </w:p>
    <w:p>
      <w:pPr>
        <w:spacing w:before="0" w:after="80" w:line="254" w:lineRule="auto"/>
        <w:jc w:val="right"/>
        <w:widowControl/>
        <w:bidi w:val="1"/>
      </w:pPr>
      <w:r>
        <w:rPr>
          <w:rFonts w:ascii="DejaVu Sans Mono" w:hAnsi="DejaVu Sans Mono" w:cs="DejaVu Sans Mono" w:eastAsia="DejaVu Sans Mono"/>
          <w:color w:val="1F5673"/>
          <w:sz w:val="18"/>
        </w:rPr>
        <w:t>Draft → Planned → Approved → In Production → Partially Completed → Completed → Cancelled</w:t>
      </w:r>
    </w:p>
    <w:p>
      <w:pPr>
        <w:spacing w:before="0" w:after="80" w:line="254" w:lineRule="auto"/>
        <w:jc w:val="right"/>
        <w:widowControl/>
        <w:bidi w:val="1"/>
      </w:pPr>
      <w:r>
        <w:rPr>
          <w:rFonts w:ascii="Noto Sans Arabic" w:hAnsi="Noto Sans Arabic" w:cs="Noto Sans Arabic" w:eastAsia="Noto Sans Arabic"/>
          <w:color w:val="263238"/>
          <w:sz w:val="19"/>
        </w:rPr>
        <w:t>حالات الدفعة:</w:t>
      </w:r>
    </w:p>
    <w:p>
      <w:pPr>
        <w:spacing w:before="0" w:after="80" w:line="254" w:lineRule="auto"/>
        <w:jc w:val="right"/>
        <w:widowControl/>
        <w:bidi w:val="1"/>
      </w:pPr>
      <w:r>
        <w:rPr>
          <w:rFonts w:ascii="DejaVu Sans Mono" w:hAnsi="DejaVu Sans Mono" w:cs="DejaVu Sans Mono" w:eastAsia="DejaVu Sans Mono"/>
          <w:color w:val="1F5673"/>
          <w:sz w:val="18"/>
        </w:rPr>
        <w:t>Created → Serialized → Printed → Completed</w:t>
      </w:r>
    </w:p>
    <w:p>
      <w:pPr>
        <w:spacing w:before="0" w:after="80" w:line="254" w:lineRule="auto"/>
        <w:jc w:val="right"/>
        <w:widowControl/>
        <w:bidi w:val="1"/>
      </w:pPr>
      <w:r>
        <w:rPr>
          <w:rFonts w:ascii="Noto Sans Arabic" w:hAnsi="Noto Sans Arabic" w:cs="Noto Sans Arabic" w:eastAsia="Noto Sans Arabic"/>
          <w:color w:val="263238"/>
          <w:sz w:val="19"/>
        </w:rPr>
        <w:t xml:space="preserve">لا يسمح للواجهة بتجاوز الموافقة المطلوبة. يجب أن تحدد عقود قاعدة البيانات صلاحيات كل انتقال وآثاره؛ حالة </w:t>
      </w:r>
      <w:r>
        <w:rPr>
          <w:rFonts w:ascii="DejaVu Sans Mono" w:hAnsi="DejaVu Sans Mono" w:cs="DejaVu Sans Mono" w:eastAsia="DejaVu Sans Mono"/>
          <w:color w:val="1F5673"/>
          <w:sz w:val="18"/>
        </w:rPr>
        <w:t>Partially Completed</w:t>
      </w:r>
      <w:r>
        <w:rPr>
          <w:rFonts w:ascii="Noto Sans Arabic" w:hAnsi="Noto Sans Arabic" w:cs="Noto Sans Arabic" w:eastAsia="Noto Sans Arabic"/>
          <w:color w:val="263238"/>
          <w:sz w:val="19"/>
        </w:rPr>
        <w:t xml:space="preserve"> تحتاج مطابقة بين المرجعية وTypeScript وقيود قاعدة البيانات قبل اعتبار التدفق مكتملًا.</w:t>
      </w:r>
    </w:p>
    <w:p>
      <w:pPr>
        <w:pStyle w:val="Heading2"/>
        <w:spacing w:before="140" w:after="80" w:line="240" w:lineRule="auto"/>
        <w:jc w:val="right"/>
        <w:widowControl/>
        <w:bidi w:val="1"/>
      </w:pPr>
      <w:r>
        <w:rPr>
          <w:rFonts w:ascii="Noto Sans Arabic" w:hAnsi="Noto Sans Arabic" w:cs="Noto Sans Arabic" w:eastAsia="Noto Sans Arabic"/>
          <w:color w:val="263238"/>
          <w:sz w:val="24"/>
        </w:rPr>
        <w:t>6.2 أرقام التتبع</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أمر الإنتاج: </w:t>
      </w:r>
      <w:r>
        <w:rPr>
          <w:rFonts w:ascii="DejaVu Sans Mono" w:hAnsi="DejaVu Sans Mono" w:cs="DejaVu Sans Mono" w:eastAsia="DejaVu Sans Mono"/>
          <w:color w:val="1F5673"/>
          <w:sz w:val="17"/>
        </w:rPr>
        <w:t>ORD-YYYY-XXXXXX</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الدفعة: </w:t>
      </w:r>
      <w:r>
        <w:rPr>
          <w:rFonts w:ascii="DejaVu Sans Mono" w:hAnsi="DejaVu Sans Mono" w:cs="DejaVu Sans Mono" w:eastAsia="DejaVu Sans Mono"/>
          <w:color w:val="1F5673"/>
          <w:sz w:val="17"/>
        </w:rPr>
        <w:t>BAT-YYYY-XXXXXX</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الرقم التسلسلي: </w:t>
      </w:r>
      <w:r>
        <w:rPr>
          <w:rFonts w:ascii="DejaVu Sans Mono" w:hAnsi="DejaVu Sans Mono" w:cs="DejaVu Sans Mono" w:eastAsia="DejaVu Sans Mono"/>
          <w:color w:val="1F5673"/>
          <w:sz w:val="17"/>
        </w:rPr>
        <w:t>SLP-YYYY-XXXXXXXX</w:t>
      </w:r>
    </w:p>
    <w:p>
      <w:pPr>
        <w:spacing w:before="0" w:after="80" w:line="254" w:lineRule="auto"/>
        <w:jc w:val="right"/>
        <w:widowControl/>
        <w:bidi w:val="1"/>
      </w:pPr>
      <w:r>
        <w:rPr>
          <w:rFonts w:ascii="Noto Sans Arabic" w:hAnsi="Noto Sans Arabic" w:cs="Noto Sans Arabic" w:eastAsia="Noto Sans Arabic"/>
          <w:color w:val="263238"/>
          <w:sz w:val="19"/>
        </w:rPr>
        <w:t>الرقم التسلسلي فريد عالميًا، ولا يُعاد استخدامه أو تصفيره، ويُبحث عنه من واجهات البحث المسموح بها. يجب الحفاظ على تاريخ الإنتاج والدفعة والطباعة والضمان والخدمة والاستبدال، وعدم حذف الأحداث التاريخية بصمت.</w:t>
      </w:r>
    </w:p>
    <w:p>
      <w:pPr>
        <w:pStyle w:val="Heading2"/>
        <w:spacing w:before="140" w:after="80" w:line="240" w:lineRule="auto"/>
        <w:jc w:val="right"/>
        <w:widowControl/>
        <w:bidi w:val="1"/>
      </w:pPr>
      <w:r>
        <w:rPr>
          <w:rFonts w:ascii="Noto Sans Arabic" w:hAnsi="Noto Sans Arabic" w:cs="Noto Sans Arabic" w:eastAsia="Noto Sans Arabic"/>
          <w:color w:val="263238"/>
          <w:sz w:val="24"/>
        </w:rPr>
        <w:t>6.3 الضمان وPhase 09</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بداية الضمان: تاريخ فاتورة المستهلك، لا فاتورة الموزع ولا النقل الداخلي.</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يمكن أن تتضمن الفاتورة الواحدة أكثر من رقم تسلسلي.</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التفعيل عبر RPC المعتمد مع منع التفعيل المكرر، والتحقق من حالة الرقم التسلسلي وشروط التفعيل.</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تُحفظ مدة الضمان وتاريخ انتهائه كلقطة ثابتة عند التفعيل؛ تعديل سياسة لاحقة لا يغير التفعيلات السابقة.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يجب المحافظة على عقد Phase 09 ووظائفه المعتمدة (</w:t>
      </w:r>
      <w:r>
        <w:rPr>
          <w:rFonts w:ascii="DejaVu Sans Mono" w:hAnsi="DejaVu Sans Mono" w:cs="DejaVu Sans Mono" w:eastAsia="DejaVu Sans Mono"/>
          <w:color w:val="1F5673"/>
          <w:sz w:val="17"/>
        </w:rPr>
        <w:t>activate_warranty</w:t>
      </w:r>
      <w:r>
        <w:rPr>
          <w:rFonts w:ascii="Noto Sans Arabic" w:hAnsi="Noto Sans Arabic" w:cs="Noto Sans Arabic" w:eastAsia="Noto Sans Arabic"/>
          <w:color w:val="263238"/>
          <w:sz w:val="19"/>
        </w:rPr>
        <w:t>/عقد الأحداث المعتمد) وعدم إضافة مسار كتابة مباشر كحل بديل.</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السياسة الحالية المسجلة في وثيقة تصميم خدمة العملاء: كل المراتب بكل العلامات والموديلات 10 سنوات؛ المخدات والخداديات ومراتب التطرية سنتان. تسمح المرجعية الأصلية بمدة قابلة للتهيئة من 1 إلى 15 سنة وبهرمية Category Default ثم Brand Override ثم Model Override. أي سياسة مستقبلية مختلفة يجب اعتمادها دون إعادة كتابة snapshots السابقة.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التاريخ الذي توثقه ملفات المشروع على أنه شهادة سابقة لا يساوي إعادة اختبار حي حديث؛ يجب تسجيل حالة </w:t>
      </w:r>
      <w:r>
        <w:rPr>
          <w:rFonts w:ascii="DejaVu Sans Mono" w:hAnsi="DejaVu Sans Mono" w:cs="DejaVu Sans Mono" w:eastAsia="DejaVu Sans Mono"/>
          <w:color w:val="1F5673"/>
          <w:sz w:val="17"/>
        </w:rPr>
        <w:t>LIVE-VERIFIED</w:t>
      </w:r>
      <w:r>
        <w:rPr>
          <w:rFonts w:ascii="Noto Sans Arabic" w:hAnsi="Noto Sans Arabic" w:cs="Noto Sans Arabic" w:eastAsia="Noto Sans Arabic"/>
          <w:color w:val="263238"/>
          <w:sz w:val="19"/>
        </w:rPr>
        <w:t xml:space="preserve"> فقط بعد الاختبار على البيئة المستهدفة.</w:t>
      </w:r>
    </w:p>
    <w:p>
      <w:pPr>
        <w:pStyle w:val="Heading2"/>
        <w:spacing w:before="140" w:after="80" w:line="240" w:lineRule="auto"/>
        <w:jc w:val="right"/>
        <w:widowControl/>
        <w:bidi w:val="1"/>
      </w:pPr>
      <w:r>
        <w:rPr>
          <w:rFonts w:ascii="Noto Sans Arabic" w:hAnsi="Noto Sans Arabic" w:cs="Noto Sans Arabic" w:eastAsia="Noto Sans Arabic"/>
          <w:color w:val="263238"/>
          <w:sz w:val="24"/>
        </w:rPr>
        <w:t>6.4 الخدمة والاستبدال والتعويض</w:t>
      </w:r>
    </w:p>
    <w:p>
      <w:pPr>
        <w:spacing w:before="0" w:after="80" w:line="254" w:lineRule="auto"/>
        <w:jc w:val="right"/>
        <w:widowControl/>
        <w:bidi w:val="1"/>
      </w:pPr>
      <w:r>
        <w:rPr>
          <w:rFonts w:ascii="Noto Sans Arabic" w:hAnsi="Noto Sans Arabic" w:cs="Noto Sans Arabic" w:eastAsia="Noto Sans Arabic"/>
          <w:color w:val="263238"/>
          <w:sz w:val="19"/>
        </w:rPr>
        <w:t xml:space="preserve">أنواع حالات الخدمة الأصلية: </w:t>
      </w:r>
      <w:r>
        <w:rPr>
          <w:rFonts w:ascii="DejaVu Sans Mono" w:hAnsi="DejaVu Sans Mono" w:cs="DejaVu Sans Mono" w:eastAsia="DejaVu Sans Mono"/>
          <w:color w:val="1F5673"/>
          <w:sz w:val="18"/>
        </w:rPr>
        <w:t>Inquiry</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Complaint</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Warranty</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Maintenance</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Replacement</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Follow-Up</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Other</w:t>
      </w:r>
      <w:r>
        <w:rPr>
          <w:rFonts w:ascii="Noto Sans Arabic" w:hAnsi="Noto Sans Arabic" w:cs="Noto Sans Arabic" w:eastAsia="Noto Sans Arabic"/>
          <w:color w:val="263238"/>
          <w:sz w:val="19"/>
        </w:rPr>
        <w:t>.</w:t>
      </w:r>
    </w:p>
    <w:p>
      <w:pPr>
        <w:spacing w:before="0" w:after="80" w:line="254" w:lineRule="auto"/>
        <w:jc w:val="right"/>
        <w:widowControl/>
        <w:bidi w:val="1"/>
      </w:pPr>
      <w:r>
        <w:rPr>
          <w:rFonts w:ascii="Noto Sans Arabic" w:hAnsi="Noto Sans Arabic" w:cs="Noto Sans Arabic" w:eastAsia="Noto Sans Arabic"/>
          <w:color w:val="263238"/>
          <w:sz w:val="19"/>
        </w:rPr>
        <w:t xml:space="preserve">سير الخدمة الأصلي: </w:t>
      </w:r>
      <w:r>
        <w:rPr>
          <w:rFonts w:ascii="DejaVu Sans Mono" w:hAnsi="DejaVu Sans Mono" w:cs="DejaVu Sans Mono" w:eastAsia="DejaVu Sans Mono"/>
          <w:color w:val="1F5673"/>
          <w:sz w:val="18"/>
        </w:rPr>
        <w:t>Open → Assigned → In Progress → Resolved → Closed</w:t>
      </w:r>
      <w:r>
        <w:rPr>
          <w:rFonts w:ascii="Noto Sans Arabic" w:hAnsi="Noto Sans Arabic" w:cs="Noto Sans Arabic" w:eastAsia="Noto Sans Arabic"/>
          <w:color w:val="263238"/>
          <w:sz w:val="19"/>
        </w:rPr>
        <w:t>.</w:t>
      </w:r>
    </w:p>
    <w:p>
      <w:pPr>
        <w:spacing w:before="0" w:after="80" w:line="254" w:lineRule="auto"/>
        <w:jc w:val="right"/>
        <w:widowControl/>
        <w:bidi w:val="1"/>
      </w:pPr>
      <w:r>
        <w:rPr>
          <w:rFonts w:ascii="Noto Sans Arabic" w:hAnsi="Noto Sans Arabic" w:cs="Noto Sans Arabic" w:eastAsia="Noto Sans Arabic"/>
          <w:color w:val="263238"/>
          <w:sz w:val="19"/>
        </w:rPr>
        <w:t xml:space="preserve">سير الاستبدال الأصلي: </w:t>
      </w:r>
      <w:r>
        <w:rPr>
          <w:rFonts w:ascii="DejaVu Sans Mono" w:hAnsi="DejaVu Sans Mono" w:cs="DejaVu Sans Mono" w:eastAsia="DejaVu Sans Mono"/>
          <w:color w:val="1F5673"/>
          <w:sz w:val="18"/>
        </w:rPr>
        <w:t>Requested → Under Review → Approved → Replacement Issued → Completed</w:t>
      </w:r>
      <w:r>
        <w:rPr>
          <w:rFonts w:ascii="Noto Sans Arabic" w:hAnsi="Noto Sans Arabic" w:cs="Noto Sans Arabic" w:eastAsia="Noto Sans Arabic"/>
          <w:color w:val="263238"/>
          <w:sz w:val="19"/>
        </w:rPr>
        <w:t>.</w:t>
      </w:r>
    </w:p>
    <w:p>
      <w:pPr>
        <w:spacing w:before="0" w:after="80" w:line="254" w:lineRule="auto"/>
        <w:jc w:val="right"/>
        <w:widowControl/>
        <w:bidi w:val="1"/>
      </w:pPr>
      <w:r>
        <w:rPr>
          <w:rFonts w:ascii="Noto Sans Arabic" w:hAnsi="Noto Sans Arabic" w:cs="Noto Sans Arabic" w:eastAsia="Noto Sans Arabic"/>
          <w:color w:val="263238"/>
          <w:sz w:val="19"/>
        </w:rPr>
        <w:t>يجب الحفاظ على الرقم الأصلي وسجل الضمان والخدمة والعميل عند الاستبدال، وربط الرقم الجديد دون إلغاء تاريخ الأصل. مسار التعويض مذكور كمتطلب مسترجع لكنه يحتاج سياسة وموافقات معتمدة؛ لا يُحوّل إلى نظام محاسبي ولا تُخترع له مبالغ أو حدود.</w:t>
      </w:r>
    </w:p>
    <w:p>
      <w:pPr>
        <w:pStyle w:val="Heading2"/>
        <w:spacing w:before="140" w:after="80" w:line="240" w:lineRule="auto"/>
        <w:jc w:val="right"/>
        <w:widowControl/>
        <w:bidi w:val="1"/>
      </w:pPr>
      <w:r>
        <w:rPr>
          <w:rFonts w:ascii="Noto Sans Arabic" w:hAnsi="Noto Sans Arabic" w:cs="Noto Sans Arabic" w:eastAsia="Noto Sans Arabic"/>
          <w:color w:val="263238"/>
          <w:sz w:val="24"/>
        </w:rPr>
        <w:t>6.5 التصنيع وBOM وRouting</w:t>
      </w:r>
    </w:p>
    <w:p>
      <w:pPr>
        <w:spacing w:before="0" w:after="80" w:line="254" w:lineRule="auto"/>
        <w:jc w:val="right"/>
        <w:widowControl/>
        <w:bidi w:val="1"/>
      </w:pPr>
      <w:r>
        <w:rPr>
          <w:rFonts w:ascii="Noto Sans Arabic" w:hAnsi="Noto Sans Arabic" w:cs="Noto Sans Arabic" w:eastAsia="Noto Sans Arabic"/>
          <w:color w:val="263238"/>
          <w:sz w:val="19"/>
        </w:rPr>
        <w:t>الأقسام الفعلية المسجلة:</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1. </w:t>
      </w:r>
      <w:r>
        <w:rPr>
          <w:rFonts w:ascii="Noto Sans Arabic" w:hAnsi="Noto Sans Arabic" w:cs="Noto Sans Arabic" w:eastAsia="Noto Sans Arabic"/>
          <w:color w:val="263238"/>
          <w:sz w:val="19"/>
        </w:rPr>
        <w:t>قسم السلك.</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2. </w:t>
      </w:r>
      <w:r>
        <w:rPr>
          <w:rFonts w:ascii="Noto Sans Arabic" w:hAnsi="Noto Sans Arabic" w:cs="Noto Sans Arabic" w:eastAsia="Noto Sans Arabic"/>
          <w:color w:val="263238"/>
          <w:sz w:val="19"/>
        </w:rPr>
        <w:t>قسم التطريز والتفصيل.</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3. </w:t>
      </w:r>
      <w:r>
        <w:rPr>
          <w:rFonts w:ascii="Noto Sans Arabic" w:hAnsi="Noto Sans Arabic" w:cs="Noto Sans Arabic" w:eastAsia="Noto Sans Arabic"/>
          <w:color w:val="263238"/>
          <w:sz w:val="19"/>
        </w:rPr>
        <w:t>قسم التنجيد والتجميع.</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4. </w:t>
      </w:r>
      <w:r>
        <w:rPr>
          <w:rFonts w:ascii="Noto Sans Arabic" w:hAnsi="Noto Sans Arabic" w:cs="Noto Sans Arabic" w:eastAsia="Noto Sans Arabic"/>
          <w:color w:val="263238"/>
          <w:sz w:val="19"/>
        </w:rPr>
        <w:t>قسم التيب.</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5. </w:t>
      </w:r>
      <w:r>
        <w:rPr>
          <w:rFonts w:ascii="Noto Sans Arabic" w:hAnsi="Noto Sans Arabic" w:cs="Noto Sans Arabic" w:eastAsia="Noto Sans Arabic"/>
          <w:color w:val="263238"/>
          <w:sz w:val="19"/>
        </w:rPr>
        <w:t>قسم التغليف.</w:t>
      </w:r>
    </w:p>
    <w:p>
      <w:pPr>
        <w:spacing w:before="0" w:after="80" w:line="254" w:lineRule="auto"/>
        <w:jc w:val="right"/>
        <w:widowControl/>
        <w:bidi w:val="1"/>
      </w:pPr>
      <w:r>
        <w:rPr>
          <w:rFonts w:ascii="Noto Sans Arabic" w:hAnsi="Noto Sans Arabic" w:cs="Noto Sans Arabic" w:eastAsia="Noto Sans Arabic"/>
          <w:color w:val="263238"/>
          <w:sz w:val="19"/>
        </w:rPr>
        <w:t>المسار والزمن يختلفان حسب موديل المرتبة، نظام التصنيع، الوجه/الوجهين، Pillow Top، نوع السوست والمكونات، وخط أو ماكينة التشكيل. لا تستخدم مسارًا عامًا لجميع الموديلات.</w:t>
      </w:r>
    </w:p>
    <w:p>
      <w:pPr>
        <w:spacing w:before="0" w:after="80" w:line="254" w:lineRule="auto"/>
        <w:jc w:val="right"/>
        <w:widowControl/>
        <w:bidi w:val="1"/>
      </w:pPr>
      <w:r>
        <w:rPr>
          <w:rFonts w:ascii="Noto Sans Arabic" w:hAnsi="Noto Sans Arabic" w:cs="Noto Sans Arabic" w:eastAsia="Noto Sans Arabic"/>
          <w:color w:val="263238"/>
          <w:sz w:val="19"/>
        </w:rPr>
        <w:t>مصادر البيانات المشار إليها في الملحق:</w:t>
      </w:r>
    </w:p>
    <w:p>
      <w:pPr>
        <w:pStyle w:val="ListBullet"/>
        <w:spacing w:before="0" w:after="44" w:line="247" w:lineRule="auto"/>
        <w:ind w:left="259" w:right="202"/>
        <w:jc w:val="right"/>
        <w:widowControl/>
        <w:bidi w:val="1"/>
      </w:pPr>
      <w:r>
        <w:rPr>
          <w:rFonts w:ascii="DejaVu Sans Mono" w:hAnsi="DejaVu Sans Mono" w:cs="DejaVu Sans Mono" w:eastAsia="DejaVu Sans Mono"/>
          <w:color w:val="1F5673"/>
          <w:sz w:val="17"/>
        </w:rPr>
        <w:t>Models BOM.xlsx</w:t>
      </w:r>
      <w:r>
        <w:rPr>
          <w:rFonts w:ascii="Noto Sans Arabic" w:hAnsi="Noto Sans Arabic" w:cs="Noto Sans Arabic" w:eastAsia="Noto Sans Arabic"/>
          <w:color w:val="263238"/>
          <w:sz w:val="19"/>
        </w:rPr>
        <w:t>: مكونات الموديل وأكواد الخامات والأبعاد والكميات، ويتضمن ورقة وقت تشغيل.</w:t>
      </w:r>
    </w:p>
    <w:p>
      <w:pPr>
        <w:pStyle w:val="ListBullet"/>
        <w:spacing w:before="0" w:after="44" w:line="247" w:lineRule="auto"/>
        <w:ind w:left="259" w:right="202"/>
        <w:jc w:val="right"/>
        <w:widowControl/>
        <w:bidi w:val="1"/>
      </w:pPr>
      <w:r>
        <w:rPr>
          <w:rFonts w:ascii="DejaVu Sans Mono" w:hAnsi="DejaVu Sans Mono" w:cs="DejaVu Sans Mono" w:eastAsia="DejaVu Sans Mono"/>
          <w:color w:val="1F5673"/>
          <w:sz w:val="17"/>
        </w:rPr>
        <w:t>وقت التشغيل.xlsx</w:t>
      </w:r>
      <w:r>
        <w:rPr>
          <w:rFonts w:ascii="Noto Sans Arabic" w:hAnsi="Noto Sans Arabic" w:cs="Noto Sans Arabic" w:eastAsia="Noto Sans Arabic"/>
          <w:color w:val="263238"/>
          <w:sz w:val="19"/>
        </w:rPr>
        <w:t>: ملف وقت تشغيل مستقل يجب مطابقته مع الورقة المضمنة، دون استبدال تلقائي.</w:t>
      </w:r>
    </w:p>
    <w:p>
      <w:pPr>
        <w:pStyle w:val="ListBullet"/>
        <w:spacing w:before="0" w:after="44" w:line="247" w:lineRule="auto"/>
        <w:ind w:left="259" w:right="202"/>
        <w:jc w:val="right"/>
        <w:widowControl/>
        <w:bidi w:val="1"/>
      </w:pPr>
      <w:r>
        <w:rPr>
          <w:rFonts w:ascii="DejaVu Sans Mono" w:hAnsi="DejaVu Sans Mono" w:cs="DejaVu Sans Mono" w:eastAsia="DejaVu Sans Mono"/>
          <w:color w:val="1F5673"/>
          <w:sz w:val="17"/>
        </w:rPr>
        <w:t>توضيح الطبقات والحشو الداخلي.xlsx</w:t>
      </w:r>
      <w:r>
        <w:rPr>
          <w:rFonts w:ascii="Noto Sans Arabic" w:hAnsi="Noto Sans Arabic" w:cs="Noto Sans Arabic" w:eastAsia="Noto Sans Arabic"/>
          <w:color w:val="263238"/>
          <w:sz w:val="19"/>
        </w:rPr>
        <w:t>: مصدر تكوين الطبقات والهندسة وليس بديلًا عن BOM لكل موديل.</w:t>
      </w:r>
    </w:p>
    <w:p>
      <w:pPr>
        <w:pStyle w:val="ListBullet"/>
        <w:spacing w:before="0" w:after="44" w:line="247" w:lineRule="auto"/>
        <w:ind w:left="259" w:right="202"/>
        <w:jc w:val="right"/>
        <w:widowControl/>
        <w:bidi w:val="1"/>
      </w:pPr>
      <w:r>
        <w:rPr>
          <w:rFonts w:ascii="DejaVu Sans Mono" w:hAnsi="DejaVu Sans Mono" w:cs="DejaVu Sans Mono" w:eastAsia="DejaVu Sans Mono"/>
          <w:color w:val="1F5673"/>
          <w:sz w:val="17"/>
        </w:rPr>
        <w:t>كل المواد الخام مصنع السست.xlsx</w:t>
      </w:r>
      <w:r>
        <w:rPr>
          <w:rFonts w:ascii="Noto Sans Arabic" w:hAnsi="Noto Sans Arabic" w:cs="Noto Sans Arabic" w:eastAsia="Noto Sans Arabic"/>
          <w:color w:val="263238"/>
          <w:sz w:val="19"/>
        </w:rPr>
        <w:t xml:space="preserve"> و</w:t>
      </w:r>
      <w:r>
        <w:rPr>
          <w:rFonts w:ascii="DejaVu Sans Mono" w:hAnsi="DejaVu Sans Mono" w:cs="DejaVu Sans Mono" w:eastAsia="DejaVu Sans Mono"/>
          <w:color w:val="1F5673"/>
          <w:sz w:val="17"/>
        </w:rPr>
        <w:t>EGYP RM FOR EDRAKY 23 MARCH 2025.xlsx</w:t>
      </w:r>
      <w:r>
        <w:rPr>
          <w:rFonts w:ascii="Noto Sans Arabic" w:hAnsi="Noto Sans Arabic" w:cs="Noto Sans Arabic" w:eastAsia="Noto Sans Arabic"/>
          <w:color w:val="263238"/>
          <w:sz w:val="19"/>
        </w:rPr>
        <w:t>: مراجع أكواد خامات، لا تسمح بإعادة تسمية الأكواد تلقائيًا.</w:t>
      </w:r>
    </w:p>
    <w:p>
      <w:pPr>
        <w:spacing w:before="0" w:after="80" w:line="254" w:lineRule="auto"/>
        <w:jc w:val="right"/>
        <w:widowControl/>
        <w:bidi w:val="1"/>
      </w:pPr>
      <w:r>
        <w:rPr>
          <w:rFonts w:ascii="Noto Sans Arabic" w:hAnsi="Noto Sans Arabic" w:cs="Noto Sans Arabic" w:eastAsia="Noto Sans Arabic"/>
          <w:color w:val="263238"/>
          <w:sz w:val="19"/>
        </w:rPr>
        <w:t>لا تُقسّم قيمة زمن إجمالية إلى أزمنة الأقسام الخمسة بالتخمين. مثال المالك الخاص بـInfinity (57 دقيقة مع دورة تشمل 9 مراتب على طاولات التنجيد/التجميع التسع) ليس قاعدة عامة لكل موديل. التعارض بين 9 طاولات للتنجيد/التجميع و10 طاولات إجماليًا، وتعارض Rrstcalm بعرض 78/80 سم، والقيمة 150 دون اسم موديل في ملف وقت التشغيل، تظل نقاطًا مفتوحة حتى التوثيق.</w:t>
      </w:r>
    </w:p>
    <w:p>
      <w:pPr>
        <w:pStyle w:val="Heading2"/>
        <w:spacing w:before="140" w:after="80" w:line="240" w:lineRule="auto"/>
        <w:jc w:val="right"/>
        <w:widowControl/>
        <w:bidi w:val="1"/>
      </w:pPr>
      <w:r>
        <w:rPr>
          <w:rFonts w:ascii="Noto Sans Arabic" w:hAnsi="Noto Sans Arabic" w:cs="Noto Sans Arabic" w:eastAsia="Noto Sans Arabic"/>
          <w:color w:val="263238"/>
          <w:sz w:val="24"/>
        </w:rPr>
        <w:t>6.6 الملصقات والطباعة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المقاسات الأصلية: </w:t>
      </w:r>
      <w:r>
        <w:rPr>
          <w:rFonts w:ascii="DejaVu Sans Mono" w:hAnsi="DejaVu Sans Mono" w:cs="DejaVu Sans Mono" w:eastAsia="DejaVu Sans Mono"/>
          <w:color w:val="1F5673"/>
          <w:sz w:val="17"/>
        </w:rPr>
        <w:t>100×50 mm</w:t>
      </w:r>
      <w:r>
        <w:rPr>
          <w:rFonts w:ascii="Noto Sans Arabic" w:hAnsi="Noto Sans Arabic" w:cs="Noto Sans Arabic" w:eastAsia="Noto Sans Arabic"/>
          <w:color w:val="263238"/>
          <w:sz w:val="19"/>
        </w:rPr>
        <w:t xml:space="preserve"> و</w:t>
      </w:r>
      <w:r>
        <w:rPr>
          <w:rFonts w:ascii="DejaVu Sans Mono" w:hAnsi="DejaVu Sans Mono" w:cs="DejaVu Sans Mono" w:eastAsia="DejaVu Sans Mono"/>
          <w:color w:val="1F5673"/>
          <w:sz w:val="17"/>
        </w:rPr>
        <w:t>100×100 mm</w:t>
      </w:r>
      <w:r>
        <w:rPr>
          <w:rFonts w:ascii="Noto Sans Arabic" w:hAnsi="Noto Sans Arabic" w:cs="Noto Sans Arabic" w:eastAsia="Noto Sans Arabic"/>
          <w:color w:val="263238"/>
          <w:sz w:val="19"/>
        </w:rPr>
        <w:t xml:space="preserve">؛ والتحسينات المجمعة تتضمن </w:t>
      </w:r>
      <w:r>
        <w:rPr>
          <w:rFonts w:ascii="DejaVu Sans Mono" w:hAnsi="DejaVu Sans Mono" w:cs="DejaVu Sans Mono" w:eastAsia="DejaVu Sans Mono"/>
          <w:color w:val="1F5673"/>
          <w:sz w:val="17"/>
        </w:rPr>
        <w:t>100×80 mm</w:t>
      </w:r>
      <w:r>
        <w:rPr>
          <w:rFonts w:ascii="Noto Sans Arabic" w:hAnsi="Noto Sans Arabic" w:cs="Noto Sans Arabic" w:eastAsia="Noto Sans Arabic"/>
          <w:color w:val="263238"/>
          <w:sz w:val="19"/>
        </w:rPr>
        <w:t xml:space="preserve"> وأبعادًا مخصصة باعتبارها طلبًا يحتاج تثبيتًا واعتمادًا قبل الإنتاج.</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الحقول المرشحة: الشعار، العلامة، الموديل، المقاس، الرقم التسلسلي، الباركود، QR، الضمان الفعلي، الدفعة وتاريخ الإنتاج حسب عقد البيانات.</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الطابعة المعرفة في المرجعية: Zebra ZD220 عبر USB. يجب التحقق من Browser Print/renderer الفعلي والطباعة المادية قبل تسجيل نجاح.</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تصميم الملصق الموجود ليس تصميمًا نهائيًا معتمدًا. الموافقة البصرية ومحتوى الملصق واختبار القياس والقراءة شروط مستقلة.</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7. الهوية والصلاحيات والأمان</w:t>
      </w:r>
    </w:p>
    <w:p>
      <w:pPr>
        <w:pStyle w:val="Heading2"/>
        <w:spacing w:before="140" w:after="80" w:line="240" w:lineRule="auto"/>
        <w:jc w:val="right"/>
        <w:widowControl/>
        <w:bidi w:val="1"/>
      </w:pPr>
      <w:r>
        <w:rPr>
          <w:rFonts w:ascii="Noto Sans Arabic" w:hAnsi="Noto Sans Arabic" w:cs="Noto Sans Arabic" w:eastAsia="Noto Sans Arabic"/>
          <w:color w:val="263238"/>
          <w:sz w:val="24"/>
        </w:rPr>
        <w:t>7.1 مشكلة أسماء الأدوار</w:t>
      </w:r>
    </w:p>
    <w:p>
      <w:pPr>
        <w:spacing w:before="0" w:after="80" w:line="254" w:lineRule="auto"/>
        <w:jc w:val="right"/>
        <w:widowControl/>
        <w:bidi w:val="1"/>
      </w:pPr>
      <w:r>
        <w:rPr>
          <w:rFonts w:ascii="Noto Sans Arabic" w:hAnsi="Noto Sans Arabic" w:cs="Noto Sans Arabic" w:eastAsia="Noto Sans Arabic"/>
          <w:color w:val="263238"/>
          <w:sz w:val="19"/>
        </w:rPr>
        <w:t xml:space="preserve">تسرد المرجعية الأصلية الأدوار: </w:t>
      </w:r>
      <w:r>
        <w:rPr>
          <w:rFonts w:ascii="DejaVu Sans Mono" w:hAnsi="DejaVu Sans Mono" w:cs="DejaVu Sans Mono" w:eastAsia="DejaVu Sans Mono"/>
          <w:color w:val="1F5673"/>
          <w:sz w:val="18"/>
        </w:rPr>
        <w:t>Administrator</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Production Manager</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Production Operator</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Printing Operator</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Customer Service User</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Warranty Manager</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Read Only User</w:t>
      </w:r>
      <w:r>
        <w:rPr>
          <w:rFonts w:ascii="Noto Sans Arabic" w:hAnsi="Noto Sans Arabic" w:cs="Noto Sans Arabic" w:eastAsia="Noto Sans Arabic"/>
          <w:color w:val="263238"/>
          <w:sz w:val="19"/>
        </w:rPr>
        <w:t xml:space="preserve">. وتستخدم أجزاء من الكود وSQL أسماء أخرى مثل </w:t>
      </w:r>
      <w:r>
        <w:rPr>
          <w:rFonts w:ascii="DejaVu Sans Mono" w:hAnsi="DejaVu Sans Mono" w:cs="DejaVu Sans Mono" w:eastAsia="DejaVu Sans Mono"/>
          <w:color w:val="1F5673"/>
          <w:sz w:val="18"/>
        </w:rPr>
        <w:t>Warranty Officer</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Customer Service Agent</w:t>
      </w:r>
      <w:r>
        <w:rPr>
          <w:rFonts w:ascii="Noto Sans Arabic" w:hAnsi="Noto Sans Arabic" w:cs="Noto Sans Arabic" w:eastAsia="Noto Sans Arabic"/>
          <w:color w:val="263238"/>
          <w:sz w:val="19"/>
        </w:rPr>
        <w:t xml:space="preserve">, </w:t>
      </w:r>
      <w:r>
        <w:rPr>
          <w:rFonts w:ascii="DejaVu Sans Mono" w:hAnsi="DejaVu Sans Mono" w:cs="DejaVu Sans Mono" w:eastAsia="DejaVu Sans Mono"/>
          <w:color w:val="1F5673"/>
          <w:sz w:val="18"/>
        </w:rPr>
        <w:t>Service Manager</w:t>
      </w:r>
      <w:r>
        <w:rPr>
          <w:rFonts w:ascii="Noto Sans Arabic" w:hAnsi="Noto Sans Arabic" w:cs="Noto Sans Arabic" w:eastAsia="Noto Sans Arabic"/>
          <w:color w:val="263238"/>
          <w:sz w:val="19"/>
        </w:rPr>
        <w:t>. هذا تعارض حقيقي يجب أن يُحسم بجدول ربط معتمد قبل تغيير Auth أو RLS أو صلاحيات المسارات. لا تغيّر الأسماء بصمت ولا تعتبر اختلاف الاسم مجرد اختلاف عرض.</w:t>
      </w:r>
    </w:p>
    <w:p>
      <w:pPr>
        <w:spacing w:before="0" w:after="80" w:line="254" w:lineRule="auto"/>
        <w:jc w:val="right"/>
        <w:widowControl/>
        <w:bidi w:val="1"/>
      </w:pPr>
      <w:r>
        <w:rPr>
          <w:rFonts w:ascii="Noto Sans Arabic" w:hAnsi="Noto Sans Arabic" w:cs="Noto Sans Arabic" w:eastAsia="Noto Sans Arabic"/>
          <w:color w:val="263238"/>
          <w:sz w:val="19"/>
        </w:rPr>
        <w:t xml:space="preserve">سجل المالك تفضيل السماح للموظف بحمل أكثر من دور؛ يتطلب ذلك التحقق من نموذج البيانات الحي وعقود الصلاحيات قبل التنفيذ. لا تكفي قيمة </w:t>
      </w:r>
      <w:r>
        <w:rPr>
          <w:rFonts w:ascii="DejaVu Sans Mono" w:hAnsi="DejaVu Sans Mono" w:cs="DejaVu Sans Mono" w:eastAsia="DejaVu Sans Mono"/>
          <w:color w:val="1F5673"/>
          <w:sz w:val="18"/>
        </w:rPr>
        <w:t>role</w:t>
      </w:r>
      <w:r>
        <w:rPr>
          <w:rFonts w:ascii="Noto Sans Arabic" w:hAnsi="Noto Sans Arabic" w:cs="Noto Sans Arabic" w:eastAsia="Noto Sans Arabic"/>
          <w:color w:val="263238"/>
          <w:sz w:val="19"/>
        </w:rPr>
        <w:t xml:space="preserve"> واحدة في ذاكرة React لإثبات صلاحية المستخدم في قاعدة البيانات.</w:t>
      </w:r>
    </w:p>
    <w:p>
      <w:pPr>
        <w:pStyle w:val="Heading2"/>
        <w:spacing w:before="140" w:after="80" w:line="240" w:lineRule="auto"/>
        <w:jc w:val="right"/>
        <w:widowControl/>
        <w:bidi w:val="1"/>
      </w:pPr>
      <w:r>
        <w:rPr>
          <w:rFonts w:ascii="Noto Sans Arabic" w:hAnsi="Noto Sans Arabic" w:cs="Noto Sans Arabic" w:eastAsia="Noto Sans Arabic"/>
          <w:color w:val="263238"/>
          <w:sz w:val="24"/>
        </w:rPr>
        <w:t>7.2 ضوابط إلزامية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أزل/امنع مبدل الأدوار التجريبي من واجهة المستخدم غير المخصصة للاختبار؛ لا يجوز تبديل دور مستخدم فعلي من العميل.</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RLS وRPC على Supabase هما حد الأمان الفعلي؛ حماية React مجرد تجربة تنقل ولا تحل محل حماية الخادم.</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مراجعة المصادقة وإنشاء الملف الشخصي وحالات عدم وجود دور؛ لا تُمنح صلاحيات افتراضية عند غياب تعيين موثوق.</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التحقق العام Public Read-only لا يعرض رقم قومي أو هاتفًا أو عنوانًا أو مرفقات أو بيانات عميل. البحث بالهاتف أو الفاتورة يحتاج قرار خصوصية وتحققًا مناسبًا وRPC معتمدًا.</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تخزين الأصول والمرفقات عبر Supabase Storage بسياسات وصول واضحة. لا تجعل ملفات الخدمة أو الضمان عامة افتراضيًا.</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8. سياسة التعامل مع الكود وملفات SQL</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1. </w:t>
      </w:r>
      <w:r>
        <w:rPr>
          <w:rFonts w:ascii="Noto Sans Arabic" w:hAnsi="Noto Sans Arabic" w:cs="Noto Sans Arabic" w:eastAsia="Noto Sans Arabic"/>
          <w:color w:val="263238"/>
          <w:sz w:val="19"/>
        </w:rPr>
        <w:t>ابدأ من حزمة المراحل 10–18، واجعل تحسينات حزمة التكامل طبقة مطابقة وتعديلات موثقة فوقها؛ لا تُسقط ملفات المصدر بلا تسجيل.</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2. </w:t>
      </w:r>
      <w:r>
        <w:rPr>
          <w:rFonts w:ascii="Noto Sans Arabic" w:hAnsi="Noto Sans Arabic" w:cs="Noto Sans Arabic" w:eastAsia="Noto Sans Arabic"/>
          <w:color w:val="263238"/>
          <w:sz w:val="19"/>
        </w:rPr>
        <w:t>لا تدمج حزمة Phase 09 مختلفة فوق هذه الشجرة نسخًا عشوائيًا.</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3. </w:t>
      </w:r>
      <w:r>
        <w:rPr>
          <w:rFonts w:ascii="Noto Sans Arabic" w:hAnsi="Noto Sans Arabic" w:cs="Noto Sans Arabic" w:eastAsia="Noto Sans Arabic"/>
          <w:color w:val="263238"/>
          <w:sz w:val="19"/>
        </w:rPr>
        <w:t xml:space="preserve">ملفا </w:t>
      </w:r>
      <w:r>
        <w:rPr>
          <w:rFonts w:ascii="DejaVu Sans Mono" w:hAnsi="DejaVu Sans Mono" w:cs="DejaVu Sans Mono" w:eastAsia="DejaVu Sans Mono"/>
          <w:color w:val="1F5673"/>
          <w:sz w:val="17"/>
        </w:rPr>
        <w:t>archive/legacy_sql/schema.sql</w:t>
      </w:r>
      <w:r>
        <w:rPr>
          <w:rFonts w:ascii="Noto Sans Arabic" w:hAnsi="Noto Sans Arabic" w:cs="Noto Sans Arabic" w:eastAsia="Noto Sans Arabic"/>
          <w:color w:val="263238"/>
          <w:sz w:val="19"/>
        </w:rPr>
        <w:t xml:space="preserve"> و</w:t>
      </w:r>
      <w:r>
        <w:rPr>
          <w:rFonts w:ascii="DejaVu Sans Mono" w:hAnsi="DejaVu Sans Mono" w:cs="DejaVu Sans Mono" w:eastAsia="DejaVu Sans Mono"/>
          <w:color w:val="1F5673"/>
          <w:sz w:val="17"/>
        </w:rPr>
        <w:t>archive/legacy_sql/supabase-schema.sql</w:t>
      </w:r>
      <w:r>
        <w:rPr>
          <w:rFonts w:ascii="Noto Sans Arabic" w:hAnsi="Noto Sans Arabic" w:cs="Noto Sans Arabic" w:eastAsia="Noto Sans Arabic"/>
          <w:color w:val="263238"/>
          <w:sz w:val="19"/>
        </w:rPr>
        <w:t xml:space="preserve"> أدلة تاريخية فقط. لا تنفذهما على قاعدة قائمة.</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4. </w:t>
      </w:r>
      <w:r>
        <w:rPr>
          <w:rFonts w:ascii="Noto Sans Arabic" w:hAnsi="Noto Sans Arabic" w:cs="Noto Sans Arabic" w:eastAsia="Noto Sans Arabic"/>
          <w:color w:val="263238"/>
          <w:sz w:val="19"/>
        </w:rPr>
        <w:t xml:space="preserve">ملف </w:t>
      </w:r>
      <w:r>
        <w:rPr>
          <w:rFonts w:ascii="DejaVu Sans Mono" w:hAnsi="DejaVu Sans Mono" w:cs="DejaVu Sans Mono" w:eastAsia="DejaVu Sans Mono"/>
          <w:color w:val="1F5673"/>
          <w:sz w:val="17"/>
        </w:rPr>
        <w:t>SLEEPEE_PHASE_10_18_UNIFIED_MIGRATION.sql</w:t>
      </w:r>
      <w:r>
        <w:rPr>
          <w:rFonts w:ascii="Noto Sans Arabic" w:hAnsi="Noto Sans Arabic" w:cs="Noto Sans Arabic" w:eastAsia="Noto Sans Arabic"/>
          <w:color w:val="263238"/>
          <w:sz w:val="19"/>
        </w:rPr>
        <w:t xml:space="preserve"> مرشح تاريخي غير مصدّق على المخطط الحي. لا يُفترض أنه جاهز للتنفيذ لمجرد وجوده.</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5. </w:t>
      </w:r>
      <w:r>
        <w:rPr>
          <w:rFonts w:ascii="Noto Sans Arabic" w:hAnsi="Noto Sans Arabic" w:cs="Noto Sans Arabic" w:eastAsia="Noto Sans Arabic"/>
          <w:color w:val="263238"/>
          <w:sz w:val="19"/>
        </w:rPr>
        <w:t xml:space="preserve">ملف هندسة التصنيع المقترح يبقى داخل </w:t>
      </w:r>
      <w:r>
        <w:rPr>
          <w:rFonts w:ascii="DejaVu Sans Mono" w:hAnsi="DejaVu Sans Mono" w:cs="DejaVu Sans Mono" w:eastAsia="DejaVu Sans Mono"/>
          <w:color w:val="1F5673"/>
          <w:sz w:val="17"/>
        </w:rPr>
        <w:t>docs/proposed-migrations/</w:t>
      </w:r>
      <w:r>
        <w:rPr>
          <w:rFonts w:ascii="Noto Sans Arabic" w:hAnsi="Noto Sans Arabic" w:cs="Noto Sans Arabic" w:eastAsia="Noto Sans Arabic"/>
          <w:color w:val="263238"/>
          <w:sz w:val="19"/>
        </w:rPr>
        <w:t xml:space="preserve"> حتى يراجع ويعتمد.</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6. </w:t>
      </w:r>
      <w:r>
        <w:rPr>
          <w:rFonts w:ascii="Noto Sans Arabic" w:hAnsi="Noto Sans Arabic" w:cs="Noto Sans Arabic" w:eastAsia="Noto Sans Arabic"/>
          <w:color w:val="263238"/>
          <w:sz w:val="19"/>
        </w:rPr>
        <w:t>قبل أي ترحيل: إثبات هوية المشروع، تصدير/نسخة احتياطية، جرد للجداول والأعمدة والقيود والفهارس والدوال/RPC والسياسات والدلاء وRealtime، فرق موثق، خطة رجوع، تجربة على بيئة غير إنتاجية إن توفرت، ثم موافقة صريحة.</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7. </w:t>
      </w:r>
      <w:r>
        <w:rPr>
          <w:rFonts w:ascii="Noto Sans Arabic" w:hAnsi="Noto Sans Arabic" w:cs="Noto Sans Arabic" w:eastAsia="Noto Sans Arabic"/>
          <w:color w:val="263238"/>
          <w:sz w:val="19"/>
        </w:rPr>
        <w:t>إذا اختلف الكود مع المخطط الحي أو المرجعية، سجّل الفرق وأوقف الجزء المعتمد عليه حتى يقرّر المالك.</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9. خطة التنفيذ المقترحة وبوابات القبول</w:t>
      </w:r>
    </w:p>
    <w:p>
      <w:pPr>
        <w:pStyle w:val="Heading2"/>
        <w:spacing w:before="140" w:after="80" w:line="240" w:lineRule="auto"/>
        <w:jc w:val="right"/>
        <w:widowControl/>
        <w:bidi w:val="1"/>
      </w:pPr>
      <w:r>
        <w:rPr>
          <w:rFonts w:ascii="Noto Sans Arabic" w:hAnsi="Noto Sans Arabic" w:cs="Noto Sans Arabic" w:eastAsia="Noto Sans Arabic"/>
          <w:color w:val="263238"/>
          <w:sz w:val="24"/>
        </w:rPr>
        <w:t>Gate 0 — تثبيت خط الأساس</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حفظ ZIP الأصلي وبصمته.</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تسجيل اسم الفرع وCommit SHA للمستودع الذي سيُستخدم عند إنشاء المستودع الجديد.</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جرد الملفات والمقارنة مع حزمة التحسينات، وتوثيق الملفات الجديدة والمتغيرة والمحذوفة.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تضمين هذا المخطط والمرجعية المحمولة في جذر/مجلد الوثائق بشكل يسهل الوصول إليه.</w:t>
      </w:r>
    </w:p>
    <w:p>
      <w:pPr>
        <w:spacing w:before="0" w:after="80" w:line="254" w:lineRule="auto"/>
        <w:jc w:val="right"/>
        <w:widowControl/>
        <w:bidi w:val="1"/>
      </w:pPr>
      <w:r>
        <w:rPr>
          <w:rFonts w:ascii="Noto Sans Arabic" w:hAnsi="Noto Sans Arabic" w:cs="Noto Sans Arabic" w:eastAsia="Noto Sans Arabic"/>
          <w:b/>
          <w:color w:val="16324F"/>
          <w:sz w:val="19"/>
        </w:rPr>
        <w:t>شرط القبول:</w:t>
      </w:r>
      <w:r>
        <w:rPr>
          <w:rFonts w:ascii="Noto Sans Arabic" w:hAnsi="Noto Sans Arabic" w:cs="Noto Sans Arabic" w:eastAsia="Noto Sans Arabic"/>
          <w:color w:val="263238"/>
          <w:sz w:val="19"/>
        </w:rPr>
        <w:t xml:space="preserve"> لا يوجد أي فقد غير موثق من خط الأساس؛ المرجعية الأصلية موجودة بنسخة مطابقة.</w:t>
      </w:r>
    </w:p>
    <w:p>
      <w:pPr>
        <w:pStyle w:val="Heading2"/>
        <w:spacing w:before="140" w:after="80" w:line="240" w:lineRule="auto"/>
        <w:jc w:val="right"/>
        <w:widowControl/>
        <w:bidi w:val="1"/>
      </w:pPr>
      <w:r>
        <w:rPr>
          <w:rFonts w:ascii="Noto Sans Arabic" w:hAnsi="Noto Sans Arabic" w:cs="Noto Sans Arabic" w:eastAsia="Noto Sans Arabic"/>
          <w:color w:val="263238"/>
          <w:sz w:val="24"/>
        </w:rPr>
        <w:t>Gate 1 — المراجعة المعمارية والأمنية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تثبيت ترتيب المرجعيات.</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إزالة مبدل الدور غير الآمن من الواجهة العادية.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توثيق تضارب الأدوار، وحالة </w:t>
      </w:r>
      <w:r>
        <w:rPr>
          <w:rFonts w:ascii="DejaVu Sans Mono" w:hAnsi="DejaVu Sans Mono" w:cs="DejaVu Sans Mono" w:eastAsia="DejaVu Sans Mono"/>
          <w:color w:val="1F5673"/>
          <w:sz w:val="17"/>
        </w:rPr>
        <w:t>Partially Completed</w:t>
      </w:r>
      <w:r>
        <w:rPr>
          <w:rFonts w:ascii="Noto Sans Arabic" w:hAnsi="Noto Sans Arabic" w:cs="Noto Sans Arabic" w:eastAsia="Noto Sans Arabic"/>
          <w:color w:val="263238"/>
          <w:sz w:val="19"/>
        </w:rPr>
        <w:t>، وغياب lockfile، وتعليمات النشر المتعارضة، وفجوات Supabase الحية.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فحص التقنيات الممنوعة والبيانات الثابتة والأسرار في الشجرة النشطة.</w:t>
      </w:r>
    </w:p>
    <w:p>
      <w:pPr>
        <w:spacing w:before="0" w:after="80" w:line="254" w:lineRule="auto"/>
        <w:jc w:val="right"/>
        <w:widowControl/>
        <w:bidi w:val="1"/>
      </w:pPr>
      <w:r>
        <w:rPr>
          <w:rFonts w:ascii="Noto Sans Arabic" w:hAnsi="Noto Sans Arabic" w:cs="Noto Sans Arabic" w:eastAsia="Noto Sans Arabic"/>
          <w:b/>
          <w:color w:val="16324F"/>
          <w:sz w:val="19"/>
        </w:rPr>
        <w:t>شرط القبول:</w:t>
      </w:r>
      <w:r>
        <w:rPr>
          <w:rFonts w:ascii="Noto Sans Arabic" w:hAnsi="Noto Sans Arabic" w:cs="Noto Sans Arabic" w:eastAsia="Noto Sans Arabic"/>
          <w:color w:val="263238"/>
          <w:sz w:val="19"/>
        </w:rPr>
        <w:t xml:space="preserve"> تقرير فجوات واضح؛ لا ادعاء اكتمال الأمن أو قاعدة البيانات.</w:t>
      </w:r>
    </w:p>
    <w:p>
      <w:pPr>
        <w:pStyle w:val="Heading2"/>
        <w:spacing w:before="140" w:after="80" w:line="240" w:lineRule="auto"/>
        <w:jc w:val="right"/>
        <w:widowControl/>
        <w:bidi w:val="1"/>
      </w:pPr>
      <w:r>
        <w:rPr>
          <w:rFonts w:ascii="Noto Sans Arabic" w:hAnsi="Noto Sans Arabic" w:cs="Noto Sans Arabic" w:eastAsia="Noto Sans Arabic"/>
          <w:color w:val="263238"/>
          <w:sz w:val="24"/>
        </w:rPr>
        <w:t>Gate 2 — بيئة بناء قابلة للتكرار</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تثبيت التبعيات في بيئة متصلة ومعتمدة، وتحديد مدير حزم واحد.</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إنشاء lockfile فعلي من حل التبعيات؛ لا يُكتب يدويًا.</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تشغيل </w:t>
      </w:r>
      <w:r>
        <w:rPr>
          <w:rFonts w:ascii="DejaVu Sans Mono" w:hAnsi="DejaVu Sans Mono" w:cs="DejaVu Sans Mono" w:eastAsia="DejaVu Sans Mono"/>
          <w:color w:val="1F5673"/>
          <w:sz w:val="17"/>
        </w:rPr>
        <w:t>npm run lint</w:t>
      </w:r>
      <w:r>
        <w:rPr>
          <w:rFonts w:ascii="Noto Sans Arabic" w:hAnsi="Noto Sans Arabic" w:cs="Noto Sans Arabic" w:eastAsia="Noto Sans Arabic"/>
          <w:color w:val="263238"/>
          <w:sz w:val="19"/>
        </w:rPr>
        <w:t xml:space="preserve"> و</w:t>
      </w:r>
      <w:r>
        <w:rPr>
          <w:rFonts w:ascii="DejaVu Sans Mono" w:hAnsi="DejaVu Sans Mono" w:cs="DejaVu Sans Mono" w:eastAsia="DejaVu Sans Mono"/>
          <w:color w:val="1F5673"/>
          <w:sz w:val="17"/>
        </w:rPr>
        <w:t>npm run build</w:t>
      </w:r>
      <w:r>
        <w:rPr>
          <w:rFonts w:ascii="Noto Sans Arabic" w:hAnsi="Noto Sans Arabic" w:cs="Noto Sans Arabic" w:eastAsia="Noto Sans Arabic"/>
          <w:color w:val="263238"/>
          <w:sz w:val="19"/>
        </w:rPr>
        <w:t xml:space="preserve"> وتسجيل الخرج.</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إصلاح أخطاء TypeScript/build بالأدلة، مع اختبارات لمنع regression.</w:t>
      </w:r>
    </w:p>
    <w:p>
      <w:pPr>
        <w:spacing w:before="0" w:after="80" w:line="254" w:lineRule="auto"/>
        <w:jc w:val="right"/>
        <w:widowControl/>
        <w:bidi w:val="1"/>
      </w:pPr>
      <w:r>
        <w:rPr>
          <w:rFonts w:ascii="Noto Sans Arabic" w:hAnsi="Noto Sans Arabic" w:cs="Noto Sans Arabic" w:eastAsia="Noto Sans Arabic"/>
          <w:b/>
          <w:color w:val="16324F"/>
          <w:sz w:val="19"/>
        </w:rPr>
        <w:t>شرط القبول:</w:t>
      </w:r>
      <w:r>
        <w:rPr>
          <w:rFonts w:ascii="Noto Sans Arabic" w:hAnsi="Noto Sans Arabic" w:cs="Noto Sans Arabic" w:eastAsia="Noto Sans Arabic"/>
          <w:color w:val="263238"/>
          <w:sz w:val="19"/>
        </w:rPr>
        <w:t xml:space="preserve"> أوامر البناء والفحص تنجح في بيئة نظيفة؛ وإلا تبقى الحالة </w:t>
      </w:r>
      <w:r>
        <w:rPr>
          <w:rFonts w:ascii="DejaVu Sans Mono" w:hAnsi="DejaVu Sans Mono" w:cs="DejaVu Sans Mono" w:eastAsia="DejaVu Sans Mono"/>
          <w:color w:val="1F5673"/>
          <w:sz w:val="18"/>
        </w:rPr>
        <w:t>BLOCKED</w:t>
      </w:r>
      <w:r>
        <w:rPr>
          <w:rFonts w:ascii="Noto Sans Arabic" w:hAnsi="Noto Sans Arabic" w:cs="Noto Sans Arabic" w:eastAsia="Noto Sans Arabic"/>
          <w:color w:val="263238"/>
          <w:sz w:val="19"/>
        </w:rPr>
        <w:t>.</w:t>
      </w:r>
    </w:p>
    <w:p>
      <w:pPr>
        <w:pStyle w:val="Heading2"/>
        <w:spacing w:before="140" w:after="80" w:line="240" w:lineRule="auto"/>
        <w:jc w:val="right"/>
        <w:widowControl/>
        <w:bidi w:val="1"/>
      </w:pPr>
      <w:r>
        <w:rPr>
          <w:rFonts w:ascii="Noto Sans Arabic" w:hAnsi="Noto Sans Arabic" w:cs="Noto Sans Arabic" w:eastAsia="Noto Sans Arabic"/>
          <w:color w:val="263238"/>
          <w:sz w:val="24"/>
        </w:rPr>
        <w:t>Gate 3 — مراجعة عقد Supabase</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فحص schema/Auth/RLS/RPC/Storage/Realtime قراءة فقط.</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مقارنة عقود </w:t>
      </w:r>
      <w:r>
        <w:rPr>
          <w:rFonts w:ascii="DejaVu Sans Mono" w:hAnsi="DejaVu Sans Mono" w:cs="DejaVu Sans Mono" w:eastAsia="DejaVu Sans Mono"/>
          <w:color w:val="1F5673"/>
          <w:sz w:val="17"/>
        </w:rPr>
        <w:t>activate_warranty</w:t>
      </w:r>
      <w:r>
        <w:rPr>
          <w:rFonts w:ascii="Noto Sans Arabic" w:hAnsi="Noto Sans Arabic" w:cs="Noto Sans Arabic" w:eastAsia="Noto Sans Arabic"/>
          <w:color w:val="263238"/>
          <w:sz w:val="19"/>
        </w:rPr>
        <w:t xml:space="preserve"> وسجل الأحداث والتوليد والطباعة مع المخطط الفعلي.</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مراجعة سياسات الأدوار المعتمدة قبل تعديل أي policy.</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مراجعة الترحيلات المقترحة في فرق منفصل واختبارها في بيئة آمنة.</w:t>
      </w:r>
    </w:p>
    <w:p>
      <w:pPr>
        <w:spacing w:before="0" w:after="80" w:line="254" w:lineRule="auto"/>
        <w:jc w:val="right"/>
        <w:widowControl/>
        <w:bidi w:val="1"/>
      </w:pPr>
      <w:r>
        <w:rPr>
          <w:rFonts w:ascii="Noto Sans Arabic" w:hAnsi="Noto Sans Arabic" w:cs="Noto Sans Arabic" w:eastAsia="Noto Sans Arabic"/>
          <w:b/>
          <w:color w:val="16324F"/>
          <w:sz w:val="19"/>
        </w:rPr>
        <w:t>شرط القبول:</w:t>
      </w:r>
      <w:r>
        <w:rPr>
          <w:rFonts w:ascii="Noto Sans Arabic" w:hAnsi="Noto Sans Arabic" w:cs="Noto Sans Arabic" w:eastAsia="Noto Sans Arabic"/>
          <w:color w:val="263238"/>
          <w:sz w:val="19"/>
        </w:rPr>
        <w:t xml:space="preserve"> مخطط حي موثق ونسخة احتياطية قابلة للتحقق واختبارات RLS/RPC مع أدلة.</w:t>
      </w:r>
    </w:p>
    <w:p>
      <w:pPr>
        <w:pStyle w:val="Heading2"/>
        <w:spacing w:before="140" w:after="80" w:line="240" w:lineRule="auto"/>
        <w:jc w:val="right"/>
        <w:widowControl/>
        <w:bidi w:val="1"/>
      </w:pPr>
      <w:r>
        <w:rPr>
          <w:rFonts w:ascii="Noto Sans Arabic" w:hAnsi="Noto Sans Arabic" w:cs="Noto Sans Arabic" w:eastAsia="Noto Sans Arabic"/>
          <w:color w:val="263238"/>
          <w:sz w:val="24"/>
        </w:rPr>
        <w:t>Gate 4 — إتمام تدفقات التشغيل</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استكمال BOM/Routing وإصدارات الإنتاج بعد اعتماد دورة المسودات/الموافقة/السريان.</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إتمام Quick Production وManual/Advanced Wizard دون اختصارات تتجاوز الموافقات.</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مطابقة </w:t>
      </w:r>
      <w:r>
        <w:rPr>
          <w:rFonts w:ascii="DejaVu Sans Mono" w:hAnsi="DejaVu Sans Mono" w:cs="DejaVu Sans Mono" w:eastAsia="DejaVu Sans Mono"/>
          <w:color w:val="1F5673"/>
          <w:sz w:val="17"/>
        </w:rPr>
        <w:t>Partially Completed</w:t>
      </w:r>
      <w:r>
        <w:rPr>
          <w:rFonts w:ascii="Noto Sans Arabic" w:hAnsi="Noto Sans Arabic" w:cs="Noto Sans Arabic" w:eastAsia="Noto Sans Arabic"/>
          <w:color w:val="263238"/>
          <w:sz w:val="19"/>
        </w:rPr>
        <w:t xml:space="preserve"> والتاريخ التسلسلي مع العقود المعتمدة.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استكمال تجربة العميل الموحدة وتحديد دورة التعويض ونقل الملكية قبل التنفيذ.</w:t>
      </w:r>
    </w:p>
    <w:p>
      <w:pPr>
        <w:spacing w:before="0" w:after="80" w:line="254" w:lineRule="auto"/>
        <w:jc w:val="right"/>
        <w:widowControl/>
        <w:bidi w:val="1"/>
      </w:pPr>
      <w:r>
        <w:rPr>
          <w:rFonts w:ascii="Noto Sans Arabic" w:hAnsi="Noto Sans Arabic" w:cs="Noto Sans Arabic" w:eastAsia="Noto Sans Arabic"/>
          <w:b/>
          <w:color w:val="16324F"/>
          <w:sz w:val="19"/>
        </w:rPr>
        <w:t>شرط القبول:</w:t>
      </w:r>
      <w:r>
        <w:rPr>
          <w:rFonts w:ascii="Noto Sans Arabic" w:hAnsi="Noto Sans Arabic" w:cs="Noto Sans Arabic" w:eastAsia="Noto Sans Arabic"/>
          <w:color w:val="263238"/>
          <w:sz w:val="19"/>
        </w:rPr>
        <w:t xml:space="preserve"> سيناريوهات قبول موثقة من البداية إلى النهاية، ببيانات اختبار معتمدة داخل بيئة الاختبار وليس بيانات ثابتة في الكود.</w:t>
      </w:r>
    </w:p>
    <w:p>
      <w:pPr>
        <w:pStyle w:val="Heading2"/>
        <w:spacing w:before="140" w:after="80" w:line="240" w:lineRule="auto"/>
        <w:jc w:val="right"/>
        <w:widowControl/>
        <w:bidi w:val="1"/>
      </w:pPr>
      <w:r>
        <w:rPr>
          <w:rFonts w:ascii="Noto Sans Arabic" w:hAnsi="Noto Sans Arabic" w:cs="Noto Sans Arabic" w:eastAsia="Noto Sans Arabic"/>
          <w:color w:val="263238"/>
          <w:sz w:val="24"/>
        </w:rPr>
        <w:t>Gate 5 — الطباعة والتحقق الميداني</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اعتماد تصميم الملصق والمحتوى.</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اختبار المقاسات الفعلية مع Zebra ZD220 وBrowser Print/renderer المعتمد.</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اختبار الباركود/QR، حدود القص، إعادة الطباعة، فشل الاتصال، وعدم تسجيل نجاح كاذب.</w:t>
      </w:r>
    </w:p>
    <w:p>
      <w:pPr>
        <w:spacing w:before="0" w:after="80" w:line="254" w:lineRule="auto"/>
        <w:jc w:val="right"/>
        <w:widowControl/>
        <w:bidi w:val="1"/>
      </w:pPr>
      <w:r>
        <w:rPr>
          <w:rFonts w:ascii="Noto Sans Arabic" w:hAnsi="Noto Sans Arabic" w:cs="Noto Sans Arabic" w:eastAsia="Noto Sans Arabic"/>
          <w:b/>
          <w:color w:val="16324F"/>
          <w:sz w:val="19"/>
        </w:rPr>
        <w:t>شرط القبول:</w:t>
      </w:r>
      <w:r>
        <w:rPr>
          <w:rFonts w:ascii="Noto Sans Arabic" w:hAnsi="Noto Sans Arabic" w:cs="Noto Sans Arabic" w:eastAsia="Noto Sans Arabic"/>
          <w:color w:val="263238"/>
          <w:sz w:val="19"/>
        </w:rPr>
        <w:t xml:space="preserve"> سجل اختبار مادي موثق وصورة/عينة موافق عليها.</w:t>
      </w:r>
    </w:p>
    <w:p>
      <w:pPr>
        <w:pStyle w:val="Heading2"/>
        <w:spacing w:before="140" w:after="80" w:line="240" w:lineRule="auto"/>
        <w:jc w:val="right"/>
        <w:widowControl/>
        <w:bidi w:val="1"/>
      </w:pPr>
      <w:r>
        <w:rPr>
          <w:rFonts w:ascii="Noto Sans Arabic" w:hAnsi="Noto Sans Arabic" w:cs="Noto Sans Arabic" w:eastAsia="Noto Sans Arabic"/>
          <w:color w:val="263238"/>
          <w:sz w:val="24"/>
        </w:rPr>
        <w:t>Gate 6 — الإصدار</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مراجعة نهائية للفرق، سجل الاختبارات، نتيجة التدقيق الأمني، وملخص الترحيلات المعتمدة.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إصدار ZIP جديد وبصمة SHA-256 وحالة واضحة.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حفظ النسخة السابقة وإمكانية الرجوع.</w:t>
      </w:r>
    </w:p>
    <w:p>
      <w:pPr>
        <w:spacing w:before="0" w:after="80" w:line="254" w:lineRule="auto"/>
        <w:jc w:val="right"/>
        <w:widowControl/>
        <w:bidi w:val="1"/>
      </w:pPr>
      <w:r>
        <w:rPr>
          <w:rFonts w:ascii="Noto Sans Arabic" w:hAnsi="Noto Sans Arabic" w:cs="Noto Sans Arabic" w:eastAsia="Noto Sans Arabic"/>
          <w:b/>
          <w:color w:val="16324F"/>
          <w:sz w:val="19"/>
        </w:rPr>
        <w:t>شرط القبول:</w:t>
      </w:r>
      <w:r>
        <w:rPr>
          <w:rFonts w:ascii="Noto Sans Arabic" w:hAnsi="Noto Sans Arabic" w:cs="Noto Sans Arabic" w:eastAsia="Noto Sans Arabic"/>
          <w:color w:val="263238"/>
          <w:sz w:val="19"/>
        </w:rPr>
        <w:t xml:space="preserve"> موافقة المالك على الإصدار وعدم وجود بنود حرجة مفتوحة تمنع الاستخدام المقصود.</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10. مصفوفة تحقق الإصدار</w:t>
      </w:r>
    </w:p>
    <w:tbl>
      <w:tblPr>
        <w:tblW w:type="auto" w:w="0"/>
        <w:jc w:val="center"/>
        <w:tblLayout w:type="autofit"/>
        <w:tblLook w:firstColumn="1" w:firstRow="1" w:lastColumn="0" w:lastRow="0" w:noHBand="0" w:noVBand="1" w:val="04A0"/>
        <w:bidiVisual w:val="1"/>
        <w:tblBorders>
          <w:top w:val="single" w:sz="4" w:space="0" w:color="D4DEE4"/>
          <w:left w:val="single" w:sz="4" w:space="0" w:color="D4DEE4"/>
          <w:bottom w:val="single" w:sz="4" w:space="0" w:color="D4DEE4"/>
          <w:right w:val="single" w:sz="4" w:space="0" w:color="D4DEE4"/>
          <w:insideH w:val="single" w:sz="4" w:space="0" w:color="D4DEE4"/>
          <w:insideV w:val="single" w:sz="4" w:space="0" w:color="D4DEE4"/>
        </w:tblBorders>
      </w:tblPr>
      <w:tblGrid>
        <w:gridCol w:w="3389"/>
        <w:gridCol w:w="3389"/>
        <w:gridCol w:w="3389"/>
      </w:tblGrid>
      <w:tr>
        <w:trPr>
          <w:cantSplit/>
          <w:tblHeader w:val="true"/>
        </w:trPr>
        <w:tc>
          <w:tcPr>
            <w:tcW w:type="dxa" w:w="3389"/>
            <w:vAlign w:val="center"/>
            <w:tcMar>
              <w:top w:w="65" w:type="dxa"/>
              <w:start w:w="75" w:type="dxa"/>
              <w:bottom w:w="65" w:type="dxa"/>
              <w:end w:w="75" w:type="dxa"/>
            </w:tcMar>
            <w:shd w:fill="16324F"/>
          </w:tcPr>
          <w:p>
            <w:pPr>
              <w:spacing w:before="0" w:after="0" w:line="245" w:lineRule="auto"/>
              <w:jc w:val="right"/>
              <w:widowControl/>
              <w:bidi w:val="1"/>
            </w:pPr>
            <w:r>
              <w:rPr>
                <w:rFonts w:ascii="Noto Sans Arabic" w:hAnsi="Noto Sans Arabic" w:cs="Noto Sans Arabic" w:eastAsia="Noto Sans Arabic"/>
                <w:b/>
                <w:color w:val="FFFFFF"/>
                <w:sz w:val="16"/>
              </w:rPr>
              <w:t>المجال</w:t>
            </w:r>
          </w:p>
        </w:tc>
        <w:tc>
          <w:tcPr>
            <w:tcW w:type="dxa" w:w="3389"/>
            <w:vAlign w:val="center"/>
            <w:tcMar>
              <w:top w:w="65" w:type="dxa"/>
              <w:start w:w="75" w:type="dxa"/>
              <w:bottom w:w="65" w:type="dxa"/>
              <w:end w:w="75" w:type="dxa"/>
            </w:tcMar>
            <w:shd w:fill="16324F"/>
          </w:tcPr>
          <w:p>
            <w:pPr>
              <w:spacing w:before="0" w:after="0" w:line="245" w:lineRule="auto"/>
              <w:jc w:val="right"/>
              <w:widowControl/>
              <w:bidi w:val="1"/>
            </w:pPr>
            <w:r>
              <w:rPr>
                <w:rFonts w:ascii="Noto Sans Arabic" w:hAnsi="Noto Sans Arabic" w:cs="Noto Sans Arabic" w:eastAsia="Noto Sans Arabic"/>
                <w:b/>
                <w:color w:val="FFFFFF"/>
                <w:sz w:val="16"/>
              </w:rPr>
              <w:t>الدليل المطلوب</w:t>
            </w:r>
          </w:p>
        </w:tc>
        <w:tc>
          <w:tcPr>
            <w:tcW w:type="dxa" w:w="3389"/>
            <w:vAlign w:val="center"/>
            <w:tcMar>
              <w:top w:w="65" w:type="dxa"/>
              <w:start w:w="75" w:type="dxa"/>
              <w:bottom w:w="65" w:type="dxa"/>
              <w:end w:w="75" w:type="dxa"/>
            </w:tcMar>
            <w:shd w:fill="16324F"/>
          </w:tcPr>
          <w:p>
            <w:pPr>
              <w:spacing w:before="0" w:after="0" w:line="245" w:lineRule="auto"/>
              <w:jc w:val="right"/>
              <w:widowControl/>
              <w:bidi w:val="1"/>
            </w:pPr>
            <w:r>
              <w:rPr>
                <w:rFonts w:ascii="Noto Sans Arabic" w:hAnsi="Noto Sans Arabic" w:cs="Noto Sans Arabic" w:eastAsia="Noto Sans Arabic"/>
                <w:b/>
                <w:color w:val="FFFFFF"/>
                <w:sz w:val="16"/>
              </w:rPr>
              <w:t>الحالة في الحزمة الحالية</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سلامة خط الأساس</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تقرير مقارنة ملفية وبصمات</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تم تجميع ملفات الحزمتين؛ يجب إرفاق تقرير إعادة البناء النهائي</w:t>
            </w:r>
          </w:p>
        </w:tc>
      </w:tr>
      <w:tr>
        <w:trPr>
          <w:cantSplit/>
        </w:trPr>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بناء Vite</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DejaVu Sans Mono" w:hAnsi="DejaVu Sans Mono" w:cs="DejaVu Sans Mono" w:eastAsia="DejaVu Sans Mono"/>
                <w:color w:val="1F5673"/>
                <w:sz w:val="16"/>
              </w:rPr>
              <w:t>npm run build</w:t>
            </w:r>
            <w:r>
              <w:rPr>
                <w:rFonts w:ascii="Noto Sans Arabic" w:hAnsi="Noto Sans Arabic" w:cs="Noto Sans Arabic" w:eastAsia="Noto Sans Arabic"/>
                <w:color w:val="263238"/>
                <w:sz w:val="16"/>
              </w:rPr>
              <w:t xml:space="preserve"> من تثبيت نظيف</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غير متحقق في بيئة المراجعة الحالية بسبب غياب التبعيات</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TypeScript/Lint</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DejaVu Sans Mono" w:hAnsi="DejaVu Sans Mono" w:cs="DejaVu Sans Mono" w:eastAsia="DejaVu Sans Mono"/>
                <w:color w:val="1F5673"/>
                <w:sz w:val="16"/>
              </w:rPr>
              <w:t>npm run lint</w:t>
            </w:r>
            <w:r>
              <w:rPr>
                <w:rFonts w:ascii="Noto Sans Arabic" w:hAnsi="Noto Sans Arabic" w:cs="Noto Sans Arabic" w:eastAsia="Noto Sans Arabic"/>
                <w:color w:val="263238"/>
                <w:sz w:val="16"/>
              </w:rPr>
              <w:t xml:space="preserve"> / </w:t>
            </w:r>
            <w:r>
              <w:rPr>
                <w:rFonts w:ascii="DejaVu Sans Mono" w:hAnsi="DejaVu Sans Mono" w:cs="DejaVu Sans Mono" w:eastAsia="DejaVu Sans Mono"/>
                <w:color w:val="1F5673"/>
                <w:sz w:val="16"/>
              </w:rPr>
              <w:t>npm run typecheck</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غير متحقق حتى تثبيت التبعيات</w:t>
            </w:r>
          </w:p>
        </w:tc>
      </w:tr>
      <w:tr>
        <w:trPr>
          <w:cantSplit/>
        </w:trPr>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مخطط Supabase حي</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تصدير schema وفهرس RPC/RLS/Storage/Realtime</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غير متحقق؛ لم يحدث اتصال حي في هذه المراجعة</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ضمان Phase 09</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حالات نجاح/تكرار/لقطة/صلاحيات على قاعدة اختبار</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الشهادة السابقة موثقة تاريخيًا؛ إعادة الاختبار الحي مطلوبة</w:t>
            </w:r>
          </w:p>
        </w:tc>
      </w:tr>
      <w:tr>
        <w:trPr>
          <w:cantSplit/>
        </w:trPr>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BOM/Routing</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تدقيق بيانات مصدر لكل موديل وخط وإصدار</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مسودات واجهة ومخطط مقترح؛ لا اعتماد للبيانات أو الهجرة بعد</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الطباعة</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اختبار Zebra ZD220 فعلي</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لم يُنفذ</w:t>
            </w:r>
          </w:p>
        </w:tc>
      </w:tr>
      <w:tr>
        <w:trPr>
          <w:cantSplit/>
        </w:trPr>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الخصوصية العامة</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اختبار منع تسرب بيانات شخصية</w:t>
            </w:r>
          </w:p>
        </w:tc>
        <w:tc>
          <w:tcPr>
            <w:tcW w:type="dxa" w:w="3389"/>
            <w:vAlign w:val="center"/>
            <w:tcMar>
              <w:top w:w="65" w:type="dxa"/>
              <w:start w:w="75" w:type="dxa"/>
              <w:bottom w:w="65" w:type="dxa"/>
              <w:end w:w="75" w:type="dxa"/>
            </w:tcMar>
            <w:shd w:fill="F5F8FA"/>
          </w:tcPr>
          <w:p>
            <w:pPr>
              <w:spacing w:before="0" w:after="0" w:line="245" w:lineRule="auto"/>
              <w:jc w:val="right"/>
              <w:widowControl/>
              <w:bidi w:val="1"/>
            </w:pPr>
            <w:r>
              <w:rPr>
                <w:rFonts w:ascii="Noto Sans Arabic" w:hAnsi="Noto Sans Arabic" w:cs="Noto Sans Arabic" w:eastAsia="Noto Sans Arabic"/>
                <w:color w:val="263238"/>
                <w:sz w:val="16"/>
              </w:rPr>
              <w:t>يحتاج اختبارًا حيًا على RPC والبوابة</w:t>
            </w:r>
          </w:p>
        </w:tc>
      </w:tr>
      <w:tr>
        <w:trPr>
          <w:cantSplit/>
        </w:trPr>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GitHub/Google AI Studio</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المستودع والفرع والمزامنة</w:t>
            </w:r>
          </w:p>
        </w:tc>
        <w:tc>
          <w:tcPr>
            <w:tcW w:type="dxa" w:w="3389"/>
            <w:vAlign w:val="center"/>
            <w:tcMar>
              <w:top w:w="65" w:type="dxa"/>
              <w:start w:w="75" w:type="dxa"/>
              <w:bottom w:w="65" w:type="dxa"/>
              <w:end w:w="75" w:type="dxa"/>
            </w:tcMar>
          </w:tcPr>
          <w:p>
            <w:pPr>
              <w:spacing w:before="0" w:after="0" w:line="245" w:lineRule="auto"/>
              <w:jc w:val="right"/>
              <w:widowControl/>
              <w:bidi w:val="1"/>
            </w:pPr>
            <w:r>
              <w:rPr>
                <w:rFonts w:ascii="Noto Sans Arabic" w:hAnsi="Noto Sans Arabic" w:cs="Noto Sans Arabic" w:eastAsia="Noto Sans Arabic"/>
                <w:color w:val="263238"/>
                <w:sz w:val="16"/>
              </w:rPr>
              <w:t>لم يتم الرفع أو الربط من هذه الحزمة</w:t>
            </w:r>
          </w:p>
        </w:tc>
      </w:tr>
    </w:tbl>
    <w:p>
      <w:pPr>
        <w:spacing w:before="0" w:after="40" w:line="120" w:lineRule="auto"/>
        <w:jc w:val="right"/>
        <w:widowControl/>
        <w:bidi w:val="1"/>
      </w:pPr>
    </w:p>
    <w:p>
      <w:pPr>
        <w:pStyle w:val="Heading1"/>
        <w:spacing w:before="220" w:after="100" w:line="240" w:lineRule="auto"/>
        <w:jc w:val="right"/>
        <w:widowControl/>
        <w:bidi w:val="1"/>
      </w:pPr>
      <w:r>
        <w:rPr>
          <w:rFonts w:ascii="Noto Sans Arabic" w:hAnsi="Noto Sans Arabic" w:cs="Noto Sans Arabic" w:eastAsia="Noto Sans Arabic"/>
          <w:color w:val="263238"/>
          <w:sz w:val="30"/>
        </w:rPr>
        <w:t>11. القرارات المعلّقة التي لا يجوز تخمينها</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جدول الربط الرسمي بين أسماء الأدوار الأصلية وأسماء الأدوار الموجودة في الكود/SQL، وكيفية دعم تعدد الأدوار.</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عقد حالة </w:t>
      </w:r>
      <w:r>
        <w:rPr>
          <w:rFonts w:ascii="DejaVu Sans Mono" w:hAnsi="DejaVu Sans Mono" w:cs="DejaVu Sans Mono" w:eastAsia="DejaVu Sans Mono"/>
          <w:color w:val="1F5673"/>
          <w:sz w:val="17"/>
        </w:rPr>
        <w:t>Partially Completed</w:t>
      </w:r>
      <w:r>
        <w:rPr>
          <w:rFonts w:ascii="Noto Sans Arabic" w:hAnsi="Noto Sans Arabic" w:cs="Noto Sans Arabic" w:eastAsia="Noto Sans Arabic"/>
          <w:color w:val="263238"/>
          <w:sz w:val="19"/>
        </w:rPr>
        <w:t xml:space="preserve"> بين المرجعية وTypeScript وقيود قاعدة البيانات.</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دورة اعتماد BOM/Routing ونسخة الإنتاج وتاريخ سريانها.</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المسار والزمن ومخرجات الدورة لكل موديل/خط، وتوزيع 9 طاولات تنجيد/تجميع مقابل 10 طاولات إنتاج إجمالًا.</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تعارض عرض Rrstcalm: 78 أم 80 سم، وأي قياسات/أكواد مكونات متعارضة أخرى.</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 xml:space="preserve">قيمة </w:t>
      </w:r>
      <w:r>
        <w:rPr>
          <w:rFonts w:ascii="DejaVu Sans Mono" w:hAnsi="DejaVu Sans Mono" w:cs="DejaVu Sans Mono" w:eastAsia="DejaVu Sans Mono"/>
          <w:color w:val="1F5673"/>
          <w:sz w:val="17"/>
        </w:rPr>
        <w:t>150</w:t>
      </w:r>
      <w:r>
        <w:rPr>
          <w:rFonts w:ascii="Noto Sans Arabic" w:hAnsi="Noto Sans Arabic" w:cs="Noto Sans Arabic" w:eastAsia="Noto Sans Arabic"/>
          <w:color w:val="263238"/>
          <w:sz w:val="19"/>
        </w:rPr>
        <w:t xml:space="preserve"> تحت February في صف بلا اسم موديل في ملف وقت التشغيل.</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سياسة SH الموثقة بصورة متعارضة بشأن مدة/تكرار التعليمات، ونص الضمان العام النهائي.</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سياسة التعويض وموافقاته وحدوده، وقواعد نقل الملكية والمنتجات المفقودة/المتلفة/الملغاة/المرتجعة/المنقولة.</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مزود البريد/WhatsApp وقنوات الإشعار وأسرارها، إذا تم اعتمادها.</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اعتماد تصميم الملصق النهائي ومحتواه وسياسته لبيانات QR.</w:t>
      </w:r>
    </w:p>
    <w:p>
      <w:pPr>
        <w:pStyle w:val="ListBullet"/>
        <w:spacing w:before="0" w:after="44" w:line="247" w:lineRule="auto"/>
        <w:ind w:left="259" w:right="202"/>
        <w:jc w:val="right"/>
        <w:widowControl/>
        <w:bidi w:val="1"/>
      </w:pPr>
      <w:r>
        <w:rPr>
          <w:rFonts w:ascii="Noto Sans Arabic" w:hAnsi="Noto Sans Arabic" w:cs="Noto Sans Arabic" w:eastAsia="Noto Sans Arabic"/>
          <w:color w:val="263238"/>
          <w:sz w:val="19"/>
        </w:rPr>
        <w:t>التحقق من بنية Supabase الحالية وتوافر جميع الدوال والسياسات والدلاء اللازمة.</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12. تعليمات مباشرة لـGoogle AI Studio أو أي أداة بناء</w:t>
      </w:r>
    </w:p>
    <w:p>
      <w:pPr>
        <w:spacing w:before="0" w:after="80" w:line="254" w:lineRule="auto"/>
        <w:jc w:val="right"/>
        <w:widowControl/>
        <w:bidi w:val="1"/>
      </w:pPr>
      <w:r>
        <w:rPr>
          <w:rFonts w:ascii="Noto Sans Arabic" w:hAnsi="Noto Sans Arabic" w:cs="Noto Sans Arabic" w:eastAsia="Noto Sans Arabic"/>
          <w:color w:val="263238"/>
          <w:sz w:val="19"/>
        </w:rPr>
        <w:t>انسخ التعليمات التالية كما هي عند بدء مراجعة/بناء الحزمة:</w:t>
      </w:r>
    </w:p>
    <w:tbl>
      <w:tblPr>
        <w:tblW w:type="auto" w:w="0"/>
        <w:jc w:val="center"/>
        <w:tblLayout w:type="autofit"/>
        <w:tblLook w:firstColumn="1" w:firstRow="1" w:lastColumn="0" w:lastRow="0" w:noHBand="0" w:noVBand="1" w:val="04A0"/>
        <w:bidiVisual w:val="1"/>
        <w:tblBorders>
          <w:top w:val="single" w:sz="4" w:space="0" w:color="D4DEE4"/>
          <w:left w:val="single" w:sz="4" w:space="0" w:color="D4DEE4"/>
          <w:bottom w:val="single" w:sz="4" w:space="0" w:color="D4DEE4"/>
          <w:right w:val="single" w:sz="4" w:space="0" w:color="D4DEE4"/>
          <w:insideH w:val="single" w:sz="4" w:space="0" w:color="D4DEE4"/>
          <w:insideV w:val="single" w:sz="4" w:space="0" w:color="D4DEE4"/>
        </w:tblBorders>
      </w:tblPr>
      <w:tblGrid>
        <w:gridCol w:w="10166"/>
      </w:tblGrid>
      <w:tr>
        <w:tc>
          <w:tcPr>
            <w:tcW w:type="dxa" w:w="10166"/>
            <w:shd w:fill="EAF1F5"/>
            <w:tcMar>
              <w:top w:w="130" w:type="dxa"/>
              <w:start w:w="150" w:type="dxa"/>
              <w:bottom w:w="130" w:type="dxa"/>
              <w:end w:w="150" w:type="dxa"/>
            </w:tcMar>
          </w:tcPr>
          <w:p>
            <w:pPr>
              <w:spacing w:before="0" w:after="0" w:line="264" w:lineRule="auto"/>
              <w:jc w:val="right"/>
              <w:widowControl/>
              <w:bidi w:val="1"/>
            </w:pPr>
            <w:r>
              <w:rPr>
                <w:rFonts w:ascii="Noto Sans Arabic" w:hAnsi="Noto Sans Arabic" w:cs="Noto Sans Arabic" w:eastAsia="Noto Sans Arabic"/>
                <w:color w:val="16324F"/>
                <w:sz w:val="18"/>
              </w:rPr>
              <w:t xml:space="preserve">أنت تعمل على مشروع Sleepee القائم، وليس مشروعًا جديدًا. اقرأ أولًا </w:t>
            </w:r>
            <w:r>
              <w:rPr>
                <w:rFonts w:ascii="DejaVu Sans Mono" w:hAnsi="DejaVu Sans Mono" w:cs="DejaVu Sans Mono" w:eastAsia="DejaVu Sans Mono"/>
                <w:color w:val="1F5673"/>
                <w:sz w:val="17"/>
              </w:rPr>
              <w:t>docs/reference/Sleepee_Architecture_Development_Blueprint_v1.0_DRAFT_AR.md</w:t>
            </w:r>
            <w:r>
              <w:rPr>
                <w:rFonts w:ascii="Noto Sans Arabic" w:hAnsi="Noto Sans Arabic" w:cs="Noto Sans Arabic" w:eastAsia="Noto Sans Arabic"/>
                <w:color w:val="16324F"/>
                <w:sz w:val="18"/>
              </w:rPr>
              <w:t xml:space="preserve"> ثم المرجعية المحمولة </w:t>
            </w:r>
            <w:r>
              <w:rPr>
                <w:rFonts w:ascii="DejaVu Sans Mono" w:hAnsi="DejaVu Sans Mono" w:cs="DejaVu Sans Mono" w:eastAsia="DejaVu Sans Mono"/>
                <w:color w:val="1F5673"/>
                <w:sz w:val="17"/>
              </w:rPr>
              <w:t>docs/reference/Sleepee_Single_Source_Of_Truth_v1.0_Portable_Reference.md</w:t>
            </w:r>
            <w:r>
              <w:rPr>
                <w:rFonts w:ascii="Noto Sans Arabic" w:hAnsi="Noto Sans Arabic" w:cs="Noto Sans Arabic" w:eastAsia="Noto Sans Arabic"/>
                <w:color w:val="16324F"/>
                <w:sz w:val="18"/>
              </w:rPr>
              <w:t xml:space="preserve"> ثم ملحقات المالك ومصفوفة الفجوات. المرجعية الأصلية هي السلطة التجارية النهائية ولا يجوز تعديلها. افحص الملفات الفعلية قبل اقتراح تغيير، واعرض خطة فروق صغيرة قبل التنفيذ. استخدم React + TypeScript + Vite وSupabase فقط. لا تضف Firebase أو backend/قاعدة بيانات أخرى، ولا تستخدم بيانات ثابتة كمصدر تشغيلي. لا تنفذ أو تنقل ملفات SQL إلى مسار ترحيلات نشطة قبل جرد قاعدة Supabase الحية والنسخ الاحتياطي والمقارنة والموافقة. حافظ على عقود Phase 09 ولقطات الضمان وسجل التتبع. لا تسجل نجاح طباعة قبل تأكيد مادي. لا تخترع قاعدة أو قيمة لحل تعارض؛ سجّلها BLOCKED. بعد كل دفعة تعديل، قدّم الملفات المتغيرة وسبب كل تغيير وأوامر التحقق التي شُغلت ونتائجها الحقيقية. لا تدّعِ build أو RLS أو قاعدة بيانات حية ناجحة إذا لم تُختبر فعليًا.</w:t>
            </w:r>
          </w:p>
        </w:tc>
      </w:tr>
    </w:tbl>
    <w:p>
      <w:pPr>
        <w:spacing w:before="0" w:after="40" w:line="120" w:lineRule="auto"/>
        <w:jc w:val="right"/>
        <w:widowControl/>
        <w:bidi w:val="1"/>
      </w:pPr>
    </w:p>
    <w:p>
      <w:pPr>
        <w:pStyle w:val="Heading1"/>
        <w:spacing w:before="220" w:after="100" w:line="240" w:lineRule="auto"/>
        <w:jc w:val="right"/>
        <w:widowControl/>
        <w:bidi w:val="1"/>
      </w:pPr>
      <w:r>
        <w:rPr>
          <w:rFonts w:ascii="Noto Sans Arabic" w:hAnsi="Noto Sans Arabic" w:cs="Noto Sans Arabic" w:eastAsia="Noto Sans Arabic"/>
          <w:color w:val="263238"/>
          <w:sz w:val="30"/>
        </w:rPr>
        <w:t>13. ما المطلوب إرفاقه بكل دفعة عمل</w:t>
      </w:r>
    </w:p>
    <w:p>
      <w:pPr>
        <w:spacing w:before="0" w:after="80" w:line="254" w:lineRule="auto"/>
        <w:jc w:val="right"/>
        <w:widowControl/>
        <w:bidi w:val="1"/>
      </w:pPr>
      <w:r>
        <w:rPr>
          <w:rFonts w:ascii="Noto Sans Arabic" w:hAnsi="Noto Sans Arabic" w:cs="Noto Sans Arabic" w:eastAsia="Noto Sans Arabic"/>
          <w:color w:val="263238"/>
          <w:sz w:val="19"/>
        </w:rPr>
        <w:t>كل دفعة تعديل يجب أن تنتج:</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1. </w:t>
      </w:r>
      <w:r>
        <w:rPr>
          <w:rFonts w:ascii="Noto Sans Arabic" w:hAnsi="Noto Sans Arabic" w:cs="Noto Sans Arabic" w:eastAsia="Noto Sans Arabic"/>
          <w:color w:val="263238"/>
          <w:sz w:val="19"/>
        </w:rPr>
        <w:t>قائمة الملفات التي تغيرت أو أضيفت وسبب كل تغيير.</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2. </w:t>
      </w:r>
      <w:r>
        <w:rPr>
          <w:rFonts w:ascii="Noto Sans Arabic" w:hAnsi="Noto Sans Arabic" w:cs="Noto Sans Arabic" w:eastAsia="Noto Sans Arabic"/>
          <w:color w:val="263238"/>
          <w:sz w:val="19"/>
        </w:rPr>
        <w:t xml:space="preserve">ربط كل متطلب بملف/دليل التنفيذ، مع </w:t>
      </w:r>
      <w:r>
        <w:rPr>
          <w:rFonts w:ascii="DejaVu Sans Mono" w:hAnsi="DejaVu Sans Mono" w:cs="DejaVu Sans Mono" w:eastAsia="DejaVu Sans Mono"/>
          <w:color w:val="1F5673"/>
          <w:sz w:val="17"/>
        </w:rPr>
        <w:t>PASS / FAIL / PARTIAL / NOT VERIFIED / BLOCKED</w:t>
      </w:r>
      <w:r>
        <w:rPr>
          <w:rFonts w:ascii="Noto Sans Arabic" w:hAnsi="Noto Sans Arabic" w:cs="Noto Sans Arabic" w:eastAsia="Noto Sans Arabic"/>
          <w:color w:val="263238"/>
          <w:sz w:val="19"/>
        </w:rPr>
        <w:t>.</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3. </w:t>
      </w:r>
      <w:r>
        <w:rPr>
          <w:rFonts w:ascii="Noto Sans Arabic" w:hAnsi="Noto Sans Arabic" w:cs="Noto Sans Arabic" w:eastAsia="Noto Sans Arabic"/>
          <w:color w:val="263238"/>
          <w:sz w:val="19"/>
        </w:rPr>
        <w:t>نتائج الأوامر الفعلية: الأمر، البيئة، النتيجة، وأي سبب فشل.</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4. </w:t>
      </w:r>
      <w:r>
        <w:rPr>
          <w:rFonts w:ascii="Noto Sans Arabic" w:hAnsi="Noto Sans Arabic" w:cs="Noto Sans Arabic" w:eastAsia="Noto Sans Arabic"/>
          <w:color w:val="263238"/>
          <w:sz w:val="19"/>
        </w:rPr>
        <w:t>قائمة التعارضات المفتوحة ولماذا لم تُحسم.</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5. </w:t>
      </w:r>
      <w:r>
        <w:rPr>
          <w:rFonts w:ascii="Noto Sans Arabic" w:hAnsi="Noto Sans Arabic" w:cs="Noto Sans Arabic" w:eastAsia="Noto Sans Arabic"/>
          <w:color w:val="263238"/>
          <w:sz w:val="19"/>
        </w:rPr>
        <w:t>تأكيد عدم تنفيذ SQL أو إجراء تغيير حي غير معتمد.</w:t>
      </w:r>
    </w:p>
    <w:p>
      <w:pPr>
        <w:spacing w:before="0" w:after="44" w:line="247" w:lineRule="auto"/>
        <w:ind w:right="202"/>
        <w:jc w:val="right"/>
        <w:widowControl/>
        <w:bidi w:val="1"/>
      </w:pPr>
      <w:r>
        <w:rPr>
          <w:rFonts w:ascii="Noto Sans Arabic" w:hAnsi="Noto Sans Arabic" w:cs="Noto Sans Arabic" w:eastAsia="Noto Sans Arabic"/>
          <w:b/>
          <w:color w:val="1F5673"/>
          <w:sz w:val="19"/>
        </w:rPr>
        <w:t xml:space="preserve">6. </w:t>
      </w:r>
      <w:r>
        <w:rPr>
          <w:rFonts w:ascii="Noto Sans Arabic" w:hAnsi="Noto Sans Arabic" w:cs="Noto Sans Arabic" w:eastAsia="Noto Sans Arabic"/>
          <w:color w:val="263238"/>
          <w:sz w:val="19"/>
        </w:rPr>
        <w:t>ملف فرق/patch أو سجل يمكن مراجعته والرجوع عنه.</w:t>
      </w:r>
    </w:p>
    <w:p>
      <w:pPr>
        <w:pStyle w:val="Heading1"/>
        <w:spacing w:before="220" w:after="100" w:line="240" w:lineRule="auto"/>
        <w:jc w:val="right"/>
        <w:widowControl/>
        <w:bidi w:val="1"/>
      </w:pPr>
      <w:r>
        <w:rPr>
          <w:rFonts w:ascii="Noto Sans Arabic" w:hAnsi="Noto Sans Arabic" w:cs="Noto Sans Arabic" w:eastAsia="Noto Sans Arabic"/>
          <w:color w:val="263238"/>
          <w:sz w:val="30"/>
        </w:rPr>
        <w:t>14. الحالة النهائية لهذا المخطط</w:t>
      </w:r>
    </w:p>
    <w:p>
      <w:pPr>
        <w:spacing w:before="0" w:after="80" w:line="254" w:lineRule="auto"/>
        <w:jc w:val="right"/>
        <w:widowControl/>
        <w:bidi w:val="1"/>
      </w:pPr>
      <w:r>
        <w:rPr>
          <w:rFonts w:ascii="Noto Sans Arabic" w:hAnsi="Noto Sans Arabic" w:cs="Noto Sans Arabic" w:eastAsia="Noto Sans Arabic"/>
          <w:b/>
          <w:color w:val="16324F"/>
          <w:sz w:val="19"/>
        </w:rPr>
        <w:t>الحالة: DRAFT — معماريًا موجّه للمراجعة، وغير معتمد كنشر إنتاج.</w:t>
      </w:r>
    </w:p>
    <w:p>
      <w:pPr>
        <w:spacing w:before="0" w:after="80" w:line="254" w:lineRule="auto"/>
        <w:jc w:val="right"/>
        <w:widowControl/>
        <w:bidi w:val="1"/>
      </w:pPr>
      <w:r>
        <w:rPr>
          <w:rFonts w:ascii="Noto Sans Arabic" w:hAnsi="Noto Sans Arabic" w:cs="Noto Sans Arabic" w:eastAsia="Noto Sans Arabic"/>
          <w:color w:val="263238"/>
          <w:sz w:val="19"/>
        </w:rPr>
        <w:t>يمكن استخدامه في Google AI Studio لقراءة المشروع ومراجعة معماريته وتوجيه العمل التالي. لا يثبت وحده أن البناء ينجح أو أن Supabase متزامنة أو أن الطباعة الحقيقية تعمل. اعتماد هذه الوثيقة من المالك وأغلاق العوائق المحددة شرط للانتقال من التخطيط إلى التنفيذ الملزم.</w:t>
      </w:r>
    </w:p>
    <w:sectPr w:rsidR="00FC693F" w:rsidRPr="0006063C" w:rsidSect="00034616">
      <w:headerReference w:type="default" r:id="rId9"/>
      <w:footerReference w:type="default" r:id="rId10"/>
      <w:pgSz w:w="12240" w:h="15840"/>
      <w:pgMar w:top="979" w:right="1037" w:bottom="936" w:left="1037"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jc w:val="center"/>
      <w:widowControl/>
      <w:bidi w:val="1"/>
    </w:pPr>
    <w:r>
      <w:rPr>
        <w:rFonts w:ascii="Noto Sans Arabic" w:hAnsi="Noto Sans Arabic" w:cs="Noto Sans Arabic" w:eastAsia="Noto Sans Arabic"/>
        <w:color w:val="52636D"/>
        <w:sz w:val="16"/>
      </w:rPr>
      <w:t xml:space="preserve">SLEEPEE-ADB-001  |  مسودة للمراجعة  |  صفحة </w:t>
    </w:r>
    <w:r>
      <w:rPr>
        <w:rFonts w:ascii="Noto Sans Arabic" w:hAnsi="Noto Sans Arabic" w:cs="Noto Sans Arabic" w:eastAsia="Noto Sans Arabic"/>
        <w:color w:val="52636D"/>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right"/>
      <w:widowControl/>
      <w:bidi w:val="1"/>
      <w:pBdr>
        <w:bottom w:val="single" w:sz="5" w:space="3" w:color="D4DEE4"/>
      </w:pBdr>
    </w:pPr>
    <w:r>
      <w:rPr>
        <w:rFonts w:ascii="Noto Sans Arabic" w:hAnsi="Noto Sans Arabic" w:cs="Noto Sans Arabic" w:eastAsia="Noto Sans Arabic"/>
        <w:b/>
        <w:color w:val="1F5673"/>
        <w:sz w:val="16"/>
      </w:rPr>
      <w:t>SLEEPEE  |  المخطط المعماري وخطة البناء الموحدة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Arabic" w:hAnsi="Noto Sans Arabic" w:cs="Noto Sans Arabic"/>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Noto Sans Arabic" w:hAnsi="Noto Sans Arabic" w:cs="Noto Sans Arabic"/>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Noto Sans Arabic" w:hAnsi="Noto Sans Arabic" w:cs="Noto Sans Arabic"/>
      <w:b/>
      <w:bCs/>
      <w:color w:val="1F5673"/>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Noto Sans Arabic" w:hAnsi="Noto Sans Arabic" w:cs="Noto Sans Arabic"/>
      <w:b/>
      <w:bCs/>
      <w:color w:val="2A7F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Sleepee Architecture &amp; Development Blueprint v1.0 (Draft Arabic)</dc:title>
  <dc:subject>Architecture and implementation governance for Sleepee Manufacturing, Warranty &amp; Customer Service Platform</dc:subject>
  <dc:creator>Sleepee Project Documentation</dc:creator>
  <cp:keywords>Sleepee, architecture, blueprint, Supabase, React, TypeScript, Vite</cp:keywords>
  <dc:description>Draft for owner review; does not replace canonical reference.</dc:description>
  <cp:lastModifiedBy/>
  <cp:revision>1</cp:revision>
  <dcterms:created xsi:type="dcterms:W3CDTF">2013-12-23T23:15:00Z</dcterms:created>
  <dcterms:modified xsi:type="dcterms:W3CDTF">2013-12-23T23:15:00Z</dcterms:modified>
  <cp:category/>
</cp:coreProperties>
</file>