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OGOs_SLEEPEE_square_4lsElgf(2).png"/>
                    <pic:cNvPicPr/>
                  </pic:nvPicPr>
                  <pic:blipFill>
                    <a:blip r:embed="rId11"/>
                    <a:stretch>
                      <a:fillRect/>
                    </a:stretch>
                  </pic:blipFill>
                  <pic:spPr>
                    <a:xfrm>
                      <a:off x="0" y="0"/>
                      <a:ext cx="1143000" cy="1143000"/>
                    </a:xfrm>
                    <a:prstGeom prst="rect"/>
                  </pic:spPr>
                </pic:pic>
              </a:graphicData>
            </a:graphic>
          </wp:inline>
        </w:drawing>
      </w:r>
    </w:p>
    <w:p>
      <w:pPr>
        <w:pStyle w:val="Title"/>
        <w:jc w:val="center"/>
        <w:bidi/>
      </w:pPr>
      <w:r>
        <w:t>مرجعية متطلبات Sleepee</w:t>
      </w:r>
    </w:p>
    <w:p>
      <w:pPr>
        <w:jc w:val="center"/>
        <w:bidi/>
      </w:pPr>
      <w:r>
        <w:rPr>
          <w:b/>
          <w:color w:val="186470"/>
          <w:sz w:val="30"/>
        </w:rPr>
        <w:t>ملحق المراجعة والتحديثات بعد استكمال ملاحظات المالك</w:t>
      </w:r>
    </w:p>
    <w:p>
      <w:pPr>
        <w:jc w:val="center"/>
        <w:bidi/>
      </w:pPr>
      <w:r>
        <w:rPr>
          <w:sz w:val="22"/>
        </w:rPr>
        <w:t>Sleepee Manufacturing, Warranty &amp; Customer Service Platform</w:t>
      </w:r>
    </w:p>
    <w:p>
      <w:pPr>
        <w:jc w:val="center"/>
        <w:bidi/>
      </w:pPr>
      <w:r>
        <w:rPr>
          <w:sz w:val="20"/>
        </w:rPr>
        <w:t>الإصدار 1.2 | 10 أكتوبر 2026 | حالة: مراجعة موحدة، غير معتمدة للتنفيذ بعد</w:t>
      </w:r>
    </w:p>
    <w:p>
      <w:pPr>
        <w:spacing w:before="360"/>
        <w:jc w:val="center"/>
        <w:bidi/>
      </w:pPr>
      <w:r>
        <w:rPr>
          <w:b/>
          <w:sz w:val="24"/>
        </w:rPr>
        <w:t>المرجع الحاكم: Sleepee_Single_Source_Of_Truth_v1.0</w:t>
      </w:r>
    </w:p>
    <w:p>
      <w:pPr>
        <w:spacing w:after="80"/>
        <w:jc w:val="right"/>
        <w:bidi/>
      </w:pPr>
      <w:r>
        <w:t>هذه الوثيقة ملحق مراجعة منفصل. لا تستبدل المرجع الأصلي ولا تعدله. جُمعت فيها قرارات المالك، ومصادر البيانات، ومراجعة ZIP الفعلية، والفجوات التي يجب حسمها قبل التنفيذ. لم يتم تعديل الكود أو GitHub أو Supabase.</w:t>
      </w:r>
    </w:p>
    <w:p>
      <w:r>
        <w:br w:type="page"/>
      </w:r>
    </w:p>
    <w:p>
      <w:pPr>
        <w:pStyle w:val="Heading1"/>
      </w:pPr>
      <w:r>
        <w:t>1. المرجعية وسلطة القرار</w:t>
      </w:r>
    </w:p>
    <w:p>
      <w:pPr>
        <w:spacing w:after="80"/>
        <w:jc w:val="right"/>
        <w:bidi/>
      </w:pPr>
      <w:r>
        <w:t>تمت قراءة ملف Sleepee_Single_Source_Of_Truth_v1.0_Portable_Reference(1).md كاملًا (1206 سطرًا). يظل القسم A الذي يعيد إنتاج MASTER REFERENCE SPECIFICATION VERSION 1.0 هو مصدر الحقيقة التجاري. هذا الملحق يوثق تصحيحات ومقترحات منفصلة؛ ولا يعدّل المرجع الأصلي أو يصدر بدلًا عنه.</w:t>
      </w:r>
    </w:p>
    <w:p>
      <w:pPr>
        <w:pStyle w:val="ListBullet"/>
        <w:spacing w:after="40"/>
        <w:jc w:val="right"/>
        <w:bidi/>
      </w:pPr>
      <w:r>
        <w:t>المرجع الأصلي أولًا، ثم قيود التقنية والنطاق، ثم تعديلات المالك الصريحة المسجلة بشكل منفصل. ملفات ZIP وتقارير المراحل أدلة تنفيذ وليست بديلًا عن المتطلبات.</w:t>
      </w:r>
    </w:p>
    <w:p>
      <w:pPr>
        <w:pStyle w:val="ListBullet"/>
        <w:spacing w:after="40"/>
        <w:jc w:val="right"/>
        <w:bidi/>
      </w:pPr>
      <w:r>
        <w:t>لا حذف أو إعادة تسمية لعلامة أو موديل أو دور أو مسار أو تنسيق رقم في المرجع الأصلي من دون موافقة صريحة على تعديل مرقّم.</w:t>
      </w:r>
    </w:p>
    <w:p>
      <w:pPr>
        <w:pStyle w:val="ListBullet"/>
        <w:spacing w:after="40"/>
        <w:jc w:val="right"/>
        <w:bidi/>
      </w:pPr>
      <w:r>
        <w:t>عند نقص أو تعارض البيانات يُسجل الحقل أو القرار كفجوة؛ لا تُختلق قيمة لسد النقص.</w:t>
      </w:r>
    </w:p>
    <w:p>
      <w:pPr>
        <w:pStyle w:val="ListBullet"/>
        <w:spacing w:after="40"/>
        <w:jc w:val="right"/>
        <w:bidi/>
      </w:pPr>
      <w:r>
        <w:t>لا تعديل للكود أو GitHub أو Supabase خلال هذه المراجعة. لا تُنفذ migrations قبل فحص المخطط الحي وأخذ نسخة احتياطية وموافقة المالك.</w:t>
      </w:r>
    </w:p>
    <w:p>
      <w:pPr>
        <w:pStyle w:val="Heading1"/>
      </w:pPr>
      <w:r>
        <w:t>2. قواعد التقنية والنطاق المجمد</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0F5068"/>
            <w:vAlign w:val="center"/>
            <w:bidi/>
          </w:tcPr>
          <w:p>
            <w:pPr>
              <w:jc w:val="right"/>
              <w:bidi/>
            </w:pPr>
            <w:r>
              <w:rPr>
                <w:b/>
                <w:color w:val="FFFFFF"/>
                <w:sz w:val="16"/>
              </w:rPr>
              <w:t>البند</w:t>
            </w:r>
          </w:p>
        </w:tc>
        <w:tc>
          <w:tcPr>
            <w:tcW w:type="dxa" w:w="8136"/>
            <w:shd w:fill="0F5068"/>
            <w:vAlign w:val="center"/>
            <w:bidi/>
          </w:tcPr>
          <w:p>
            <w:pPr>
              <w:jc w:val="right"/>
              <w:bidi/>
            </w:pPr>
            <w:r>
              <w:rPr>
                <w:b/>
                <w:color w:val="FFFFFF"/>
                <w:sz w:val="16"/>
              </w:rPr>
              <w:t>القاعدة</w:t>
            </w:r>
          </w:p>
        </w:tc>
      </w:tr>
      <w:tr>
        <w:tc>
          <w:tcPr>
            <w:tcW w:type="dxa" w:w="2088"/>
            <w:vAlign w:val="center"/>
            <w:bidi/>
          </w:tcPr>
          <w:p>
            <w:pPr>
              <w:spacing w:after="20" w:before="20"/>
              <w:jc w:val="right"/>
              <w:bidi/>
            </w:pPr>
            <w:r>
              <w:rPr>
                <w:rFonts w:ascii="Arial" w:hAnsi="Arial"/>
                <w:sz w:val="16"/>
              </w:rPr>
              <w:t>الواجهة</w:t>
            </w:r>
          </w:p>
        </w:tc>
        <w:tc>
          <w:tcPr>
            <w:tcW w:type="dxa" w:w="8136"/>
            <w:vAlign w:val="center"/>
            <w:bidi/>
          </w:tcPr>
          <w:p>
            <w:pPr>
              <w:spacing w:after="20" w:before="20"/>
              <w:jc w:val="right"/>
              <w:bidi/>
            </w:pPr>
            <w:r>
              <w:rPr>
                <w:rFonts w:ascii="Arial" w:hAnsi="Arial"/>
                <w:sz w:val="16"/>
              </w:rPr>
              <w:t>React + TypeScript + Vite؛ واجهة عربية RTL أولًا، لسطح المكتب أساسًا.</w:t>
            </w:r>
          </w:p>
        </w:tc>
      </w:tr>
      <w:tr>
        <w:tc>
          <w:tcPr>
            <w:tcW w:type="dxa" w:w="2088"/>
            <w:vAlign w:val="center"/>
            <w:bidi/>
            <w:shd w:fill="F2F7F8"/>
          </w:tcPr>
          <w:p>
            <w:pPr>
              <w:spacing w:after="20" w:before="20"/>
              <w:jc w:val="right"/>
              <w:bidi/>
            </w:pPr>
            <w:r>
              <w:rPr>
                <w:rFonts w:ascii="Arial" w:hAnsi="Arial"/>
                <w:sz w:val="16"/>
              </w:rPr>
              <w:t>الخلفية وقاعدة البيانات</w:t>
            </w:r>
          </w:p>
        </w:tc>
        <w:tc>
          <w:tcPr>
            <w:tcW w:type="dxa" w:w="8136"/>
            <w:vAlign w:val="center"/>
            <w:bidi/>
            <w:shd w:fill="F2F7F8"/>
          </w:tcPr>
          <w:p>
            <w:pPr>
              <w:spacing w:after="20" w:before="20"/>
              <w:jc w:val="right"/>
              <w:bidi/>
            </w:pPr>
            <w:r>
              <w:rPr>
                <w:rFonts w:ascii="Arial" w:hAnsi="Arial"/>
                <w:sz w:val="16"/>
              </w:rPr>
              <w:t>Supabase PostgreSQL فقط، مع Supabase Auth وRLS وStorage وRPC وRealtime.</w:t>
            </w:r>
          </w:p>
        </w:tc>
      </w:tr>
      <w:tr>
        <w:tc>
          <w:tcPr>
            <w:tcW w:type="dxa" w:w="2088"/>
            <w:vAlign w:val="center"/>
            <w:bidi/>
          </w:tcPr>
          <w:p>
            <w:pPr>
              <w:spacing w:after="20" w:before="20"/>
              <w:jc w:val="right"/>
              <w:bidi/>
            </w:pPr>
            <w:r>
              <w:rPr>
                <w:rFonts w:ascii="Arial" w:hAnsi="Arial"/>
                <w:sz w:val="16"/>
              </w:rPr>
              <w:t>محظورات تقنية</w:t>
            </w:r>
          </w:p>
        </w:tc>
        <w:tc>
          <w:tcPr>
            <w:tcW w:type="dxa" w:w="8136"/>
            <w:vAlign w:val="center"/>
            <w:bidi/>
          </w:tcPr>
          <w:p>
            <w:pPr>
              <w:spacing w:after="20" w:before="20"/>
              <w:jc w:val="right"/>
              <w:bidi/>
            </w:pPr>
            <w:r>
              <w:rPr>
                <w:rFonts w:ascii="Arial" w:hAnsi="Arial"/>
                <w:sz w:val="16"/>
              </w:rPr>
              <w:t>Firebase/Firestore، قواعد بيانات بديلة، LocalStorage أو IndexedDB كمخزن أساسي، JSON DB، mock/fake/demo data كمصدر تشغيلي، ومستودعات in-memory.</w:t>
            </w:r>
          </w:p>
        </w:tc>
      </w:tr>
      <w:tr>
        <w:tc>
          <w:tcPr>
            <w:tcW w:type="dxa" w:w="2088"/>
            <w:vAlign w:val="center"/>
            <w:bidi/>
            <w:shd w:fill="F2F7F8"/>
          </w:tcPr>
          <w:p>
            <w:pPr>
              <w:spacing w:after="20" w:before="20"/>
              <w:jc w:val="right"/>
              <w:bidi/>
            </w:pPr>
            <w:r>
              <w:rPr>
                <w:rFonts w:ascii="Arial" w:hAnsi="Arial"/>
                <w:sz w:val="16"/>
              </w:rPr>
              <w:t>محظورات النطاق</w:t>
            </w:r>
          </w:p>
        </w:tc>
        <w:tc>
          <w:tcPr>
            <w:tcW w:type="dxa" w:w="8136"/>
            <w:vAlign w:val="center"/>
            <w:bidi/>
            <w:shd w:fill="F2F7F8"/>
          </w:tcPr>
          <w:p>
            <w:pPr>
              <w:spacing w:after="20" w:before="20"/>
              <w:jc w:val="right"/>
              <w:bidi/>
            </w:pPr>
            <w:r>
              <w:rPr>
                <w:rFonts w:ascii="Arial" w:hAnsi="Arial"/>
                <w:sz w:val="16"/>
              </w:rPr>
              <w:t>ERP، CRM، المحاسبة/التكاليف كنظام مستقل، HR/Payroll، المشتريات، Warehouse ERP، Vendor Portal، POS، E-Commerce.</w:t>
            </w:r>
          </w:p>
        </w:tc>
      </w:tr>
      <w:tr>
        <w:tc>
          <w:tcPr>
            <w:tcW w:type="dxa" w:w="2088"/>
            <w:vAlign w:val="center"/>
            <w:bidi/>
          </w:tcPr>
          <w:p>
            <w:pPr>
              <w:spacing w:after="20" w:before="20"/>
              <w:jc w:val="right"/>
              <w:bidi/>
            </w:pPr>
            <w:r>
              <w:rPr>
                <w:rFonts w:ascii="Arial" w:hAnsi="Arial"/>
                <w:sz w:val="16"/>
              </w:rPr>
              <w:t>الاستمرارية</w:t>
            </w:r>
          </w:p>
        </w:tc>
        <w:tc>
          <w:tcPr>
            <w:tcW w:type="dxa" w:w="8136"/>
            <w:vAlign w:val="center"/>
            <w:bidi/>
          </w:tcPr>
          <w:p>
            <w:pPr>
              <w:spacing w:after="20" w:before="20"/>
              <w:jc w:val="right"/>
              <w:bidi/>
            </w:pPr>
            <w:r>
              <w:rPr>
                <w:rFonts w:ascii="Arial" w:hAnsi="Arial"/>
                <w:sz w:val="16"/>
              </w:rPr>
              <w:t>المستودع الحالي ومشروع Supabase الحالي؛ لا إنشاء بديل ولا reset/recreate.</w:t>
            </w:r>
          </w:p>
        </w:tc>
      </w:tr>
      <w:tr>
        <w:tc>
          <w:tcPr>
            <w:tcW w:type="dxa" w:w="2088"/>
            <w:vAlign w:val="center"/>
            <w:bidi/>
            <w:shd w:fill="F2F7F8"/>
          </w:tcPr>
          <w:p>
            <w:pPr>
              <w:spacing w:after="20" w:before="20"/>
              <w:jc w:val="right"/>
              <w:bidi/>
            </w:pPr>
            <w:r>
              <w:rPr>
                <w:rFonts w:ascii="Arial" w:hAnsi="Arial"/>
                <w:sz w:val="16"/>
              </w:rPr>
              <w:t>Phase 09</w:t>
            </w:r>
          </w:p>
        </w:tc>
        <w:tc>
          <w:tcPr>
            <w:tcW w:type="dxa" w:w="8136"/>
            <w:vAlign w:val="center"/>
            <w:bidi/>
            <w:shd w:fill="F2F7F8"/>
          </w:tcPr>
          <w:p>
            <w:pPr>
              <w:spacing w:after="20" w:before="20"/>
              <w:jc w:val="right"/>
              <w:bidi/>
            </w:pPr>
            <w:r>
              <w:rPr>
                <w:rFonts w:ascii="Arial" w:hAnsi="Arial"/>
                <w:sz w:val="16"/>
              </w:rPr>
              <w:t>الحفاظ على سلوك الضمان المعتمد ولقطة التفعيل الثابتة؛ أي فحص جديد يجب أن يثبت عدم الانحدار.</w:t>
            </w:r>
          </w:p>
        </w:tc>
      </w:tr>
    </w:tbl>
    <w:p>
      <w:pPr>
        <w:spacing w:after="20"/>
      </w:pPr>
    </w:p>
    <w:p>
      <w:pPr>
        <w:pStyle w:val="Heading1"/>
      </w:pPr>
      <w:r>
        <w:t>3. شكل مراكز التطبيق المستهدف</w:t>
      </w:r>
    </w:p>
    <w:p>
      <w:pPr>
        <w:spacing w:after="80"/>
        <w:jc w:val="right"/>
        <w:bidi/>
      </w:pPr>
      <w:r>
        <w:t>الهيكل المرغوب في الواجهة هو صفحة رئيسية ثم مراكز رئيسية قليلة وواضحة، مع بقاء الوظائف منفصلة تقنيًا داخل كل مركز عند الحاجة:</w:t>
      </w:r>
    </w:p>
    <w:p>
      <w:pPr>
        <w:pStyle w:val="ListBullet"/>
        <w:spacing w:after="40"/>
        <w:jc w:val="right"/>
        <w:bidi/>
      </w:pPr>
      <w:r>
        <w:t>مركز الإنتاج والتصنيع: التخطيط، المنتجات وهندستها، BOM، Routing، إصدارات الإنتاج، أوامر الإنتاج والدفعات، الرقم المسلسل، مصمم الملصقات والطباعة.</w:t>
      </w:r>
    </w:p>
    <w:p>
      <w:pPr>
        <w:pStyle w:val="ListBullet"/>
        <w:spacing w:after="40"/>
        <w:jc w:val="right"/>
        <w:bidi/>
      </w:pPr>
      <w:r>
        <w:t>مركز الضمان وخدمة العملاء: ملف العميل والمنتج، الرقم المسلسل، الضمان، الشكاوى وحالات الخدمة، الإصلاح، الاستبدال والتعويض ونقل الملكية.</w:t>
      </w:r>
    </w:p>
    <w:p>
      <w:pPr>
        <w:pStyle w:val="ListBullet"/>
        <w:spacing w:after="40"/>
        <w:jc w:val="right"/>
        <w:bidi/>
      </w:pPr>
      <w:r>
        <w:t>مركز التقارير والتحليل، مركز الإدارة، والصفحة العامة للتحقق عبر /verify.</w:t>
      </w:r>
    </w:p>
    <w:p>
      <w:pPr>
        <w:pStyle w:val="ListBullet"/>
        <w:spacing w:after="40"/>
        <w:jc w:val="right"/>
        <w:bidi/>
      </w:pPr>
      <w:r>
        <w:t>لا تُنشأ مراكز مشتريات أو مخازن أو جودة أو ERP؛ نقاط التسليم المطلوبة فقط تبقى داخل مسار التتبع الحالي.</w:t>
      </w:r>
    </w:p>
    <w:p>
      <w:pPr>
        <w:spacing w:after="80"/>
        <w:jc w:val="right"/>
        <w:bidi/>
      </w:pPr>
      <w:r>
        <w:t>ملاحظة توافق: ZIP الحالي يستخدم مسارات/شاشات منفصلة مثل /production و/serialization و/printing و/warranty و/customer-service و/replacement. يجب إعادة تقييم تنظيم الواجهة لتلبية التجميع الذي طلبه المالك، دون الحاجة إلى دمج كل الكود في وحدة واحدة.</w:t>
      </w:r>
    </w:p>
    <w:p>
      <w:pPr>
        <w:pStyle w:val="Heading1"/>
      </w:pPr>
      <w:r>
        <w:t>4. التصنيع والـ Routing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0F5068"/>
            <w:vAlign w:val="center"/>
            <w:bidi/>
          </w:tcPr>
          <w:p>
            <w:pPr>
              <w:jc w:val="right"/>
              <w:bidi/>
            </w:pPr>
            <w:r>
              <w:rPr>
                <w:b/>
                <w:color w:val="FFFFFF"/>
                <w:sz w:val="16"/>
              </w:rPr>
              <w:t>الموضوع</w:t>
            </w:r>
          </w:p>
        </w:tc>
        <w:tc>
          <w:tcPr>
            <w:tcW w:type="dxa" w:w="8136"/>
            <w:shd w:fill="0F5068"/>
            <w:vAlign w:val="center"/>
            <w:bidi/>
          </w:tcPr>
          <w:p>
            <w:pPr>
              <w:jc w:val="right"/>
              <w:bidi/>
            </w:pPr>
            <w:r>
              <w:rPr>
                <w:b/>
                <w:color w:val="FFFFFF"/>
                <w:sz w:val="16"/>
              </w:rPr>
              <w:t>المعلومة المسجلة بعد تصحيحات المالك</w:t>
            </w:r>
          </w:p>
        </w:tc>
      </w:tr>
      <w:tr>
        <w:tc>
          <w:tcPr>
            <w:tcW w:type="dxa" w:w="2088"/>
            <w:vAlign w:val="center"/>
            <w:bidi/>
          </w:tcPr>
          <w:p>
            <w:pPr>
              <w:spacing w:after="20" w:before="20"/>
              <w:jc w:val="right"/>
              <w:bidi/>
            </w:pPr>
            <w:r>
              <w:rPr>
                <w:rFonts w:ascii="Arial" w:hAnsi="Arial"/>
                <w:sz w:val="16"/>
              </w:rPr>
              <w:t>الأقسام الفعلية</w:t>
            </w:r>
          </w:p>
        </w:tc>
        <w:tc>
          <w:tcPr>
            <w:tcW w:type="dxa" w:w="8136"/>
            <w:vAlign w:val="center"/>
            <w:bidi/>
          </w:tcPr>
          <w:p>
            <w:pPr>
              <w:spacing w:after="20" w:before="20"/>
              <w:jc w:val="right"/>
              <w:bidi/>
            </w:pPr>
            <w:r>
              <w:rPr>
                <w:rFonts w:ascii="Arial" w:hAnsi="Arial"/>
                <w:sz w:val="16"/>
              </w:rPr>
              <w:t>1) السلك. 2) التطريز والتفصيل. 3) التنجيد والتجميع. 4) التيب. 5) التغليف.</w:t>
            </w:r>
          </w:p>
        </w:tc>
      </w:tr>
      <w:tr>
        <w:tc>
          <w:tcPr>
            <w:tcW w:type="dxa" w:w="2088"/>
            <w:vAlign w:val="center"/>
            <w:bidi/>
            <w:shd w:fill="F2F7F8"/>
          </w:tcPr>
          <w:p>
            <w:pPr>
              <w:spacing w:after="20" w:before="20"/>
              <w:jc w:val="right"/>
              <w:bidi/>
            </w:pPr>
            <w:r>
              <w:rPr>
                <w:rFonts w:ascii="Arial" w:hAnsi="Arial"/>
                <w:sz w:val="16"/>
              </w:rPr>
              <w:t>تقسيم SAP</w:t>
            </w:r>
          </w:p>
        </w:tc>
        <w:tc>
          <w:tcPr>
            <w:tcW w:type="dxa" w:w="8136"/>
            <w:vAlign w:val="center"/>
            <w:bidi/>
            <w:shd w:fill="F2F7F8"/>
          </w:tcPr>
          <w:p>
            <w:pPr>
              <w:spacing w:after="20" w:before="20"/>
              <w:jc w:val="right"/>
              <w:bidi/>
            </w:pPr>
            <w:r>
              <w:rPr>
                <w:rFonts w:ascii="Arial" w:hAnsi="Arial"/>
                <w:sz w:val="16"/>
              </w:rPr>
              <w:t>SAP جمع السلك والتطريز/التفصيل والتنجيد/التجميع في عملية واحدة؛ ثم التيب والتغليف كعمليتين. هذا إعادة تجميع لوقت المصنع وليس مصدرًا آخر للزمن.</w:t>
            </w:r>
          </w:p>
        </w:tc>
      </w:tr>
      <w:tr>
        <w:tc>
          <w:tcPr>
            <w:tcW w:type="dxa" w:w="2088"/>
            <w:vAlign w:val="center"/>
            <w:bidi/>
          </w:tcPr>
          <w:p>
            <w:pPr>
              <w:spacing w:after="20" w:before="20"/>
              <w:jc w:val="right"/>
              <w:bidi/>
            </w:pPr>
            <w:r>
              <w:rPr>
                <w:rFonts w:ascii="Arial" w:hAnsi="Arial"/>
                <w:sz w:val="16"/>
              </w:rPr>
              <w:t>الماكينات</w:t>
            </w:r>
          </w:p>
        </w:tc>
        <w:tc>
          <w:tcPr>
            <w:tcW w:type="dxa" w:w="8136"/>
            <w:vAlign w:val="center"/>
            <w:bidi/>
          </w:tcPr>
          <w:p>
            <w:pPr>
              <w:spacing w:after="20" w:before="20"/>
              <w:jc w:val="right"/>
              <w:bidi/>
            </w:pPr>
            <w:r>
              <w:rPr>
                <w:rFonts w:ascii="Arial" w:hAnsi="Arial"/>
                <w:sz w:val="16"/>
              </w:rPr>
              <w:t>3 ماكينات تشكيل Bonnell، وماكينة تشكيل وتجميع Pocket.</w:t>
            </w:r>
          </w:p>
        </w:tc>
      </w:tr>
      <w:tr>
        <w:tc>
          <w:tcPr>
            <w:tcW w:type="dxa" w:w="2088"/>
            <w:vAlign w:val="center"/>
            <w:bidi/>
            <w:shd w:fill="F2F7F8"/>
          </w:tcPr>
          <w:p>
            <w:pPr>
              <w:spacing w:after="20" w:before="20"/>
              <w:jc w:val="right"/>
              <w:bidi/>
            </w:pPr>
            <w:r>
              <w:rPr>
                <w:rFonts w:ascii="Arial" w:hAnsi="Arial"/>
                <w:sz w:val="16"/>
              </w:rPr>
              <w:t>طاولات الإنتاج</w:t>
            </w:r>
          </w:p>
        </w:tc>
        <w:tc>
          <w:tcPr>
            <w:tcW w:type="dxa" w:w="8136"/>
            <w:vAlign w:val="center"/>
            <w:bidi/>
            <w:shd w:fill="F2F7F8"/>
          </w:tcPr>
          <w:p>
            <w:pPr>
              <w:spacing w:after="20" w:before="20"/>
              <w:jc w:val="right"/>
              <w:bidi/>
            </w:pPr>
            <w:r>
              <w:rPr>
                <w:rFonts w:ascii="Arial" w:hAnsi="Arial"/>
                <w:sz w:val="16"/>
              </w:rPr>
              <w:t>العدد الصحيح 10 طاولات؛ لا تفترض تشغيلها جميعًا بالتوازي.</w:t>
            </w:r>
          </w:p>
        </w:tc>
      </w:tr>
      <w:tr>
        <w:tc>
          <w:tcPr>
            <w:tcW w:type="dxa" w:w="2088"/>
            <w:vAlign w:val="center"/>
            <w:bidi/>
          </w:tcPr>
          <w:p>
            <w:pPr>
              <w:spacing w:after="20" w:before="20"/>
              <w:jc w:val="right"/>
              <w:bidi/>
            </w:pPr>
            <w:r>
              <w:rPr>
                <w:rFonts w:ascii="Arial" w:hAnsi="Arial"/>
                <w:sz w:val="16"/>
              </w:rPr>
              <w:t>المسارات</w:t>
            </w:r>
          </w:p>
        </w:tc>
        <w:tc>
          <w:tcPr>
            <w:tcW w:type="dxa" w:w="8136"/>
            <w:vAlign w:val="center"/>
            <w:bidi/>
          </w:tcPr>
          <w:p>
            <w:pPr>
              <w:spacing w:after="20" w:before="20"/>
              <w:jc w:val="right"/>
              <w:bidi/>
            </w:pPr>
            <w:r>
              <w:rPr>
                <w:rFonts w:ascii="Arial" w:hAnsi="Arial"/>
                <w:sz w:val="16"/>
              </w:rPr>
              <w:t>المسار يتغير حسب الموديل والتركيب والبراند وخط التشكيل. بعض الموديلات تعود من التيب إلى التجميع ثم ترجع إلى التيب للتشطيب النهائي.</w:t>
            </w:r>
          </w:p>
        </w:tc>
      </w:tr>
      <w:tr>
        <w:tc>
          <w:tcPr>
            <w:tcW w:type="dxa" w:w="2088"/>
            <w:vAlign w:val="center"/>
            <w:bidi/>
            <w:shd w:fill="F2F7F8"/>
          </w:tcPr>
          <w:p>
            <w:pPr>
              <w:spacing w:after="20" w:before="20"/>
              <w:jc w:val="right"/>
              <w:bidi/>
            </w:pPr>
            <w:r>
              <w:rPr>
                <w:rFonts w:ascii="Arial" w:hAnsi="Arial"/>
                <w:sz w:val="16"/>
              </w:rPr>
              <w:t>حد البيانات الحالية</w:t>
            </w:r>
          </w:p>
        </w:tc>
        <w:tc>
          <w:tcPr>
            <w:tcW w:type="dxa" w:w="8136"/>
            <w:vAlign w:val="center"/>
            <w:bidi/>
            <w:shd w:fill="F2F7F8"/>
          </w:tcPr>
          <w:p>
            <w:pPr>
              <w:spacing w:after="20" w:before="20"/>
              <w:jc w:val="right"/>
              <w:bidi/>
            </w:pPr>
            <w:r>
              <w:rPr>
                <w:rFonts w:ascii="Arial" w:hAnsi="Arial"/>
                <w:sz w:val="16"/>
              </w:rPr>
              <w:t>ملف وقت التشغيل يوفر قيمة إجمالية تقديرية لكل موديل، ولا يقدم فصلًا موثقًا لأزمنة كل واحد من الأقسام الخمسة أو كل ماكينة. لا نوزع الإجمالي صناعيًا بالتخمين.</w:t>
            </w:r>
          </w:p>
        </w:tc>
      </w:tr>
    </w:tbl>
    <w:p>
      <w:pPr>
        <w:spacing w:after="20"/>
      </w:pPr>
    </w:p>
    <w:p>
      <w:pPr>
        <w:pStyle w:val="Heading1"/>
      </w:pPr>
      <w:r>
        <w:t>5. المقاسات والشاسيه والبلصات</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0F5068"/>
            <w:vAlign w:val="center"/>
            <w:bidi/>
          </w:tcPr>
          <w:p>
            <w:pPr>
              <w:jc w:val="right"/>
              <w:bidi/>
            </w:pPr>
            <w:r>
              <w:rPr>
                <w:b/>
                <w:color w:val="FFFFFF"/>
                <w:sz w:val="16"/>
              </w:rPr>
              <w:t>الموضوع</w:t>
            </w:r>
          </w:p>
        </w:tc>
        <w:tc>
          <w:tcPr>
            <w:tcW w:type="dxa" w:w="8136"/>
            <w:shd w:fill="0F5068"/>
            <w:vAlign w:val="center"/>
            <w:bidi/>
          </w:tcPr>
          <w:p>
            <w:pPr>
              <w:jc w:val="right"/>
              <w:bidi/>
            </w:pPr>
            <w:r>
              <w:rPr>
                <w:b/>
                <w:color w:val="FFFFFF"/>
                <w:sz w:val="16"/>
              </w:rPr>
              <w:t>القاعدة/التصحيح</w:t>
            </w:r>
          </w:p>
        </w:tc>
      </w:tr>
      <w:tr>
        <w:tc>
          <w:tcPr>
            <w:tcW w:type="dxa" w:w="2088"/>
            <w:vAlign w:val="center"/>
            <w:bidi/>
          </w:tcPr>
          <w:p>
            <w:pPr>
              <w:spacing w:after="20" w:before="20"/>
              <w:jc w:val="right"/>
              <w:bidi/>
            </w:pPr>
            <w:r>
              <w:rPr>
                <w:rFonts w:ascii="Arial" w:hAnsi="Arial"/>
                <w:sz w:val="16"/>
              </w:rPr>
              <w:t>المقاس المرجعي</w:t>
            </w:r>
          </w:p>
        </w:tc>
        <w:tc>
          <w:tcPr>
            <w:tcW w:type="dxa" w:w="8136"/>
            <w:vAlign w:val="center"/>
            <w:bidi/>
          </w:tcPr>
          <w:p>
            <w:pPr>
              <w:spacing w:after="20" w:before="20"/>
              <w:jc w:val="right"/>
              <w:bidi/>
            </w:pPr>
            <w:r>
              <w:rPr>
                <w:rFonts w:ascii="Arial" w:hAnsi="Arial"/>
                <w:sz w:val="16"/>
              </w:rPr>
              <w:t>عرض 100 × طول 200 سم.</w:t>
            </w:r>
          </w:p>
        </w:tc>
      </w:tr>
      <w:tr>
        <w:tc>
          <w:tcPr>
            <w:tcW w:type="dxa" w:w="2088"/>
            <w:vAlign w:val="center"/>
            <w:bidi/>
            <w:shd w:fill="F2F7F8"/>
          </w:tcPr>
          <w:p>
            <w:pPr>
              <w:spacing w:after="20" w:before="20"/>
              <w:jc w:val="right"/>
              <w:bidi/>
            </w:pPr>
            <w:r>
              <w:rPr>
                <w:rFonts w:ascii="Arial" w:hAnsi="Arial"/>
                <w:sz w:val="16"/>
              </w:rPr>
              <w:t>الشاسيه الأمريكي</w:t>
            </w:r>
          </w:p>
        </w:tc>
        <w:tc>
          <w:tcPr>
            <w:tcW w:type="dxa" w:w="8136"/>
            <w:vAlign w:val="center"/>
            <w:bidi/>
            <w:shd w:fill="F2F7F8"/>
          </w:tcPr>
          <w:p>
            <w:pPr>
              <w:spacing w:after="20" w:before="20"/>
              <w:jc w:val="right"/>
              <w:bidi/>
            </w:pPr>
            <w:r>
              <w:rPr>
                <w:rFonts w:ascii="Arial" w:hAnsi="Arial"/>
                <w:sz w:val="16"/>
              </w:rPr>
              <w:t>للمقاس النهائي 100×200: المقاس المستهدف للشاسيه 97×197 سم (نقص 3 سم في كل بُعد). قد يكون الناتج الفعلي 98×198 نتيجة تفاوت التشكيل/الثني/التقطيع؛ السماحية الفعلية 2–3 سم.</w:t>
            </w:r>
          </w:p>
        </w:tc>
      </w:tr>
      <w:tr>
        <w:tc>
          <w:tcPr>
            <w:tcW w:type="dxa" w:w="2088"/>
            <w:vAlign w:val="center"/>
            <w:bidi/>
          </w:tcPr>
          <w:p>
            <w:pPr>
              <w:spacing w:after="20" w:before="20"/>
              <w:jc w:val="right"/>
              <w:bidi/>
            </w:pPr>
            <w:r>
              <w:rPr>
                <w:rFonts w:ascii="Arial" w:hAnsi="Arial"/>
                <w:sz w:val="16"/>
              </w:rPr>
              <w:t>الفريم</w:t>
            </w:r>
          </w:p>
        </w:tc>
        <w:tc>
          <w:tcPr>
            <w:tcW w:type="dxa" w:w="8136"/>
            <w:vAlign w:val="center"/>
            <w:bidi/>
          </w:tcPr>
          <w:p>
            <w:pPr>
              <w:spacing w:after="20" w:before="20"/>
              <w:jc w:val="right"/>
              <w:bidi/>
            </w:pPr>
            <w:r>
              <w:rPr>
                <w:rFonts w:ascii="Arial" w:hAnsi="Arial"/>
                <w:sz w:val="16"/>
              </w:rPr>
              <w:t>السماكة الصحيحة 5 مم؛ مثال السماكة التجارية 4.85 مم تقريبًا. العبارة السابقة 5 سم خطأ.</w:t>
            </w:r>
          </w:p>
        </w:tc>
      </w:tr>
      <w:tr>
        <w:tc>
          <w:tcPr>
            <w:tcW w:type="dxa" w:w="2088"/>
            <w:vAlign w:val="center"/>
            <w:bidi/>
            <w:shd w:fill="F2F7F8"/>
          </w:tcPr>
          <w:p>
            <w:pPr>
              <w:spacing w:after="20" w:before="20"/>
              <w:jc w:val="right"/>
              <w:bidi/>
            </w:pPr>
            <w:r>
              <w:rPr>
                <w:rFonts w:ascii="Arial" w:hAnsi="Arial"/>
                <w:sz w:val="16"/>
              </w:rPr>
              <w:t>المصطلحات الألمانية</w:t>
            </w:r>
          </w:p>
        </w:tc>
        <w:tc>
          <w:tcPr>
            <w:tcW w:type="dxa" w:w="8136"/>
            <w:vAlign w:val="center"/>
            <w:bidi/>
            <w:shd w:fill="F2F7F8"/>
          </w:tcPr>
          <w:p>
            <w:pPr>
              <w:spacing w:after="20" w:before="20"/>
              <w:jc w:val="right"/>
              <w:bidi/>
            </w:pPr>
            <w:r>
              <w:rPr>
                <w:rFonts w:ascii="Arial" w:hAnsi="Arial"/>
                <w:sz w:val="16"/>
              </w:rPr>
              <w:t>بلصة الطول وبلصة العرض فقط؛ كلمة «طوب» كانت خطأ إملائيًا.</w:t>
            </w:r>
          </w:p>
        </w:tc>
      </w:tr>
      <w:tr>
        <w:tc>
          <w:tcPr>
            <w:tcW w:type="dxa" w:w="2088"/>
            <w:vAlign w:val="center"/>
            <w:bidi/>
          </w:tcPr>
          <w:p>
            <w:pPr>
              <w:spacing w:after="20" w:before="20"/>
              <w:jc w:val="right"/>
              <w:bidi/>
            </w:pPr>
            <w:r>
              <w:rPr>
                <w:rFonts w:ascii="Arial" w:hAnsi="Arial"/>
                <w:sz w:val="16"/>
              </w:rPr>
              <w:t>بلصات الموديل</w:t>
            </w:r>
          </w:p>
        </w:tc>
        <w:tc>
          <w:tcPr>
            <w:tcW w:type="dxa" w:w="8136"/>
            <w:vAlign w:val="center"/>
            <w:bidi/>
          </w:tcPr>
          <w:p>
            <w:pPr>
              <w:spacing w:after="20" w:before="20"/>
              <w:jc w:val="right"/>
              <w:bidi/>
            </w:pPr>
            <w:r>
              <w:rPr>
                <w:rFonts w:ascii="Arial" w:hAnsi="Arial"/>
                <w:sz w:val="16"/>
              </w:rPr>
              <w:t>أبعاد كل بلصة تُحفظ من BOM الخاص بالموديل. أمثلة: Tranquility ألماني بعرض بلصة 86 سم، وRomance ألماني بعرض 78 سم. لا نعمم رقم 14/20 سم على جميع الموديلات.</w:t>
            </w:r>
          </w:p>
        </w:tc>
      </w:tr>
      <w:tr>
        <w:tc>
          <w:tcPr>
            <w:tcW w:type="dxa" w:w="2088"/>
            <w:vAlign w:val="center"/>
            <w:bidi/>
            <w:shd w:fill="F2F7F8"/>
          </w:tcPr>
          <w:p>
            <w:pPr>
              <w:spacing w:after="20" w:before="20"/>
              <w:jc w:val="right"/>
              <w:bidi/>
            </w:pPr>
            <w:r>
              <w:rPr>
                <w:rFonts w:ascii="Arial" w:hAnsi="Arial"/>
                <w:sz w:val="16"/>
              </w:rPr>
              <w:t>Rrstcalm</w:t>
            </w:r>
          </w:p>
        </w:tc>
        <w:tc>
          <w:tcPr>
            <w:tcW w:type="dxa" w:w="8136"/>
            <w:vAlign w:val="center"/>
            <w:bidi/>
            <w:shd w:fill="F2F7F8"/>
          </w:tcPr>
          <w:p>
            <w:pPr>
              <w:spacing w:after="20" w:before="20"/>
              <w:jc w:val="right"/>
              <w:bidi/>
            </w:pPr>
            <w:r>
              <w:rPr>
                <w:rFonts w:ascii="Arial" w:hAnsi="Arial"/>
                <w:sz w:val="16"/>
              </w:rPr>
              <w:t>الكود 228KN17X78X10 يشير حسب شرح المالك إلى ارتفاع 17 × طول 78 × عرض 10؛ لكن الوصف 80 سم والكمية 0.0272 م³ تبدو متسقة مع قطعتين 80×17×10. البعد الصحيح لا يزال يحتاج تأكيدًا.</w:t>
            </w:r>
          </w:p>
        </w:tc>
      </w:tr>
      <w:tr>
        <w:tc>
          <w:tcPr>
            <w:tcW w:type="dxa" w:w="2088"/>
            <w:vAlign w:val="center"/>
            <w:bidi/>
          </w:tcPr>
          <w:p>
            <w:pPr>
              <w:spacing w:after="20" w:before="20"/>
              <w:jc w:val="right"/>
              <w:bidi/>
            </w:pPr>
            <w:r>
              <w:rPr>
                <w:rFonts w:ascii="Arial" w:hAnsi="Arial"/>
                <w:sz w:val="16"/>
              </w:rPr>
              <w:t>HR وMemory Foam</w:t>
            </w:r>
          </w:p>
        </w:tc>
        <w:tc>
          <w:tcPr>
            <w:tcW w:type="dxa" w:w="8136"/>
            <w:vAlign w:val="center"/>
            <w:bidi/>
          </w:tcPr>
          <w:p>
            <w:pPr>
              <w:spacing w:after="20" w:before="20"/>
              <w:jc w:val="right"/>
              <w:bidi/>
            </w:pPr>
            <w:r>
              <w:rPr>
                <w:rFonts w:ascii="Arial" w:hAnsi="Arial"/>
                <w:sz w:val="16"/>
              </w:rPr>
              <w:t>طبقات حشو داخلي وليست بلصات؛ لا تدخل في حساب قاعدة نقص بلصات الطول/العرض.</w:t>
            </w:r>
          </w:p>
        </w:tc>
      </w:tr>
    </w:tbl>
    <w:p>
      <w:pPr>
        <w:spacing w:after="20"/>
      </w:pPr>
    </w:p>
    <w:p>
      <w:pPr>
        <w:pStyle w:val="Heading1"/>
      </w:pPr>
      <w:r>
        <w:t>6. ملفات BOM والطبقات والخامات</w:t>
      </w:r>
    </w:p>
    <w:p>
      <w:pPr>
        <w:spacing w:after="80"/>
        <w:jc w:val="right"/>
        <w:bidi/>
      </w:pPr>
      <w:r>
        <w:t>كل ملف له وظيفة مختلفة؛ لا يُستبدل أحدها بالآخر ولا تُصحح القيم تلقائيًا عند التعارض.</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F5068"/>
            <w:vAlign w:val="center"/>
            <w:bidi/>
          </w:tcPr>
          <w:p>
            <w:pPr>
              <w:jc w:val="right"/>
              <w:bidi/>
            </w:pPr>
            <w:r>
              <w:rPr>
                <w:b/>
                <w:color w:val="FFFFFF"/>
                <w:sz w:val="15"/>
              </w:rPr>
              <w:t>الملف</w:t>
            </w:r>
          </w:p>
        </w:tc>
        <w:tc>
          <w:tcPr>
            <w:tcW w:type="dxa" w:w="3960"/>
            <w:shd w:fill="0F5068"/>
            <w:vAlign w:val="center"/>
            <w:bidi/>
          </w:tcPr>
          <w:p>
            <w:pPr>
              <w:jc w:val="right"/>
              <w:bidi/>
            </w:pPr>
            <w:r>
              <w:rPr>
                <w:b/>
                <w:color w:val="FFFFFF"/>
                <w:sz w:val="15"/>
              </w:rPr>
              <w:t>الاستخدام</w:t>
            </w:r>
          </w:p>
        </w:tc>
        <w:tc>
          <w:tcPr>
            <w:tcW w:type="dxa" w:w="3816"/>
            <w:shd w:fill="0F5068"/>
            <w:vAlign w:val="center"/>
            <w:bidi/>
          </w:tcPr>
          <w:p>
            <w:pPr>
              <w:jc w:val="right"/>
              <w:bidi/>
            </w:pPr>
            <w:r>
              <w:rPr>
                <w:b/>
                <w:color w:val="FFFFFF"/>
                <w:sz w:val="15"/>
              </w:rPr>
              <w:t>تنبيه</w:t>
            </w:r>
          </w:p>
        </w:tc>
      </w:tr>
      <w:tr>
        <w:tc>
          <w:tcPr>
            <w:tcW w:type="dxa" w:w="2448"/>
            <w:vAlign w:val="center"/>
            <w:bidi/>
          </w:tcPr>
          <w:p>
            <w:pPr>
              <w:spacing w:after="20" w:before="20"/>
              <w:jc w:val="right"/>
              <w:bidi/>
            </w:pPr>
            <w:r>
              <w:rPr>
                <w:rFonts w:ascii="Arial" w:hAnsi="Arial"/>
                <w:sz w:val="15"/>
              </w:rPr>
              <w:t>Models BOM.xlsx</w:t>
            </w:r>
          </w:p>
        </w:tc>
        <w:tc>
          <w:tcPr>
            <w:tcW w:type="dxa" w:w="3960"/>
            <w:vAlign w:val="center"/>
            <w:bidi/>
          </w:tcPr>
          <w:p>
            <w:pPr>
              <w:spacing w:after="20" w:before="20"/>
              <w:jc w:val="right"/>
              <w:bidi/>
            </w:pPr>
            <w:r>
              <w:rPr>
                <w:rFonts w:ascii="Arial" w:hAnsi="Arial"/>
                <w:sz w:val="15"/>
              </w:rPr>
              <w:t>50 ورقة تشمل أوراق الموديلات والخامات وورقة وقت التشغيل المضمنة وبيان المراجعة.</w:t>
            </w:r>
          </w:p>
        </w:tc>
        <w:tc>
          <w:tcPr>
            <w:tcW w:type="dxa" w:w="3816"/>
            <w:vAlign w:val="center"/>
            <w:bidi/>
          </w:tcPr>
          <w:p>
            <w:pPr>
              <w:spacing w:after="20" w:before="20"/>
              <w:jc w:val="right"/>
              <w:bidi/>
            </w:pPr>
            <w:r>
              <w:rPr>
                <w:rFonts w:ascii="Arial" w:hAnsi="Arial"/>
                <w:sz w:val="15"/>
              </w:rPr>
              <w:t>ورقة الأسعار/التكلفة غير ملزمة ولا تنشئ طلبًا لنظام تكاليف.</w:t>
            </w:r>
          </w:p>
        </w:tc>
      </w:tr>
      <w:tr>
        <w:tc>
          <w:tcPr>
            <w:tcW w:type="dxa" w:w="2448"/>
            <w:vAlign w:val="center"/>
            <w:bidi/>
            <w:shd w:fill="F2F7F8"/>
          </w:tcPr>
          <w:p>
            <w:pPr>
              <w:spacing w:after="20" w:before="20"/>
              <w:jc w:val="right"/>
              <w:bidi/>
            </w:pPr>
            <w:r>
              <w:rPr>
                <w:rFonts w:ascii="Arial" w:hAnsi="Arial"/>
                <w:sz w:val="15"/>
              </w:rPr>
              <w:t>توضيح الطبقات والحشو الداخلي.xlsx</w:t>
            </w:r>
          </w:p>
        </w:tc>
        <w:tc>
          <w:tcPr>
            <w:tcW w:type="dxa" w:w="3960"/>
            <w:vAlign w:val="center"/>
            <w:bidi/>
            <w:shd w:fill="F2F7F8"/>
          </w:tcPr>
          <w:p>
            <w:pPr>
              <w:spacing w:after="20" w:before="20"/>
              <w:jc w:val="right"/>
              <w:bidi/>
            </w:pPr>
            <w:r>
              <w:rPr>
                <w:rFonts w:ascii="Arial" w:hAnsi="Arial"/>
                <w:sz w:val="15"/>
              </w:rPr>
              <w:t>ورقة مواصفة مراتب بنطاق A1:L1075؛ توضح طبقات الموديل والمواصفات الفنية.</w:t>
            </w:r>
          </w:p>
        </w:tc>
        <w:tc>
          <w:tcPr>
            <w:tcW w:type="dxa" w:w="3816"/>
            <w:vAlign w:val="center"/>
            <w:bidi/>
            <w:shd w:fill="F2F7F8"/>
          </w:tcPr>
          <w:p>
            <w:pPr>
              <w:spacing w:after="20" w:before="20"/>
              <w:jc w:val="right"/>
              <w:bidi/>
            </w:pPr>
            <w:r>
              <w:rPr>
                <w:rFonts w:ascii="Arial" w:hAnsi="Arial"/>
                <w:sz w:val="15"/>
              </w:rPr>
              <w:t>الوجهان قد يختلفان؛ Pillow Top/حائط/وجه علوي فقط ليست مثل المرتبة المتناظرة.</w:t>
            </w:r>
          </w:p>
        </w:tc>
      </w:tr>
      <w:tr>
        <w:tc>
          <w:tcPr>
            <w:tcW w:type="dxa" w:w="2448"/>
            <w:vAlign w:val="center"/>
            <w:bidi/>
          </w:tcPr>
          <w:p>
            <w:pPr>
              <w:spacing w:after="20" w:before="20"/>
              <w:jc w:val="right"/>
              <w:bidi/>
            </w:pPr>
            <w:r>
              <w:rPr>
                <w:rFonts w:ascii="Arial" w:hAnsi="Arial"/>
                <w:sz w:val="15"/>
              </w:rPr>
              <w:t>كل المواد الخام مصنع السست.xlsx</w:t>
            </w:r>
          </w:p>
        </w:tc>
        <w:tc>
          <w:tcPr>
            <w:tcW w:type="dxa" w:w="3960"/>
            <w:vAlign w:val="center"/>
            <w:bidi/>
          </w:tcPr>
          <w:p>
            <w:pPr>
              <w:spacing w:after="20" w:before="20"/>
              <w:jc w:val="right"/>
              <w:bidi/>
            </w:pPr>
            <w:r>
              <w:rPr>
                <w:rFonts w:ascii="Arial" w:hAnsi="Arial"/>
                <w:sz w:val="15"/>
              </w:rPr>
              <w:t>ورقة Data (A1:P252)، تشمل المادة والرقم القديم والوصف والمجموعة ووحدة القياس وحقول أخرى.</w:t>
            </w:r>
          </w:p>
        </w:tc>
        <w:tc>
          <w:tcPr>
            <w:tcW w:type="dxa" w:w="3816"/>
            <w:vAlign w:val="center"/>
            <w:bidi/>
          </w:tcPr>
          <w:p>
            <w:pPr>
              <w:spacing w:after="20" w:before="20"/>
              <w:jc w:val="right"/>
              <w:bidi/>
            </w:pPr>
            <w:r>
              <w:rPr>
                <w:rFonts w:ascii="Arial" w:hAnsi="Arial"/>
                <w:sz w:val="15"/>
              </w:rPr>
              <w:t>حقول السعر والتقييم لا تدخل نطاق التطبيق الحالي.</w:t>
            </w:r>
          </w:p>
        </w:tc>
      </w:tr>
      <w:tr>
        <w:tc>
          <w:tcPr>
            <w:tcW w:type="dxa" w:w="2448"/>
            <w:vAlign w:val="center"/>
            <w:bidi/>
            <w:shd w:fill="F2F7F8"/>
          </w:tcPr>
          <w:p>
            <w:pPr>
              <w:spacing w:after="20" w:before="20"/>
              <w:jc w:val="right"/>
              <w:bidi/>
            </w:pPr>
            <w:r>
              <w:rPr>
                <w:rFonts w:ascii="Arial" w:hAnsi="Arial"/>
                <w:sz w:val="15"/>
              </w:rPr>
              <w:t>EGYP RM FOR EDRAKY 23 MARCH 2025.xlsx</w:t>
            </w:r>
          </w:p>
        </w:tc>
        <w:tc>
          <w:tcPr>
            <w:tcW w:type="dxa" w:w="3960"/>
            <w:vAlign w:val="center"/>
            <w:bidi/>
            <w:shd w:fill="F2F7F8"/>
          </w:tcPr>
          <w:p>
            <w:pPr>
              <w:spacing w:after="20" w:before="20"/>
              <w:jc w:val="right"/>
              <w:bidi/>
            </w:pPr>
            <w:r>
              <w:rPr>
                <w:rFonts w:ascii="Arial" w:hAnsi="Arial"/>
                <w:sz w:val="15"/>
              </w:rPr>
              <w:t>ثلاث أوراق: SAP KSA RM، و6F01 FOR SAP، و6F02 FOR SAP.</w:t>
            </w:r>
          </w:p>
        </w:tc>
        <w:tc>
          <w:tcPr>
            <w:tcW w:type="dxa" w:w="3816"/>
            <w:vAlign w:val="center"/>
            <w:bidi/>
            <w:shd w:fill="F2F7F8"/>
          </w:tcPr>
          <w:p>
            <w:pPr>
              <w:spacing w:after="20" w:before="20"/>
              <w:jc w:val="right"/>
              <w:bidi/>
            </w:pPr>
            <w:r>
              <w:rPr>
                <w:rFonts w:ascii="Arial" w:hAnsi="Arial"/>
                <w:sz w:val="15"/>
              </w:rPr>
              <w:t>مرجع ربط/تفسير الأكواد فقط؛ لا يغيّر الأكواد الحالية دون موافقة.</w:t>
            </w:r>
          </w:p>
        </w:tc>
      </w:tr>
      <w:tr>
        <w:tc>
          <w:tcPr>
            <w:tcW w:type="dxa" w:w="2448"/>
            <w:vAlign w:val="center"/>
            <w:bidi/>
          </w:tcPr>
          <w:p>
            <w:pPr>
              <w:spacing w:after="20" w:before="20"/>
              <w:jc w:val="right"/>
              <w:bidi/>
            </w:pPr>
            <w:r>
              <w:rPr>
                <w:rFonts w:ascii="Arial" w:hAnsi="Arial"/>
                <w:sz w:val="15"/>
              </w:rPr>
              <w:t>شروط ضمان - منتجات سليب هاي.docx</w:t>
            </w:r>
          </w:p>
        </w:tc>
        <w:tc>
          <w:tcPr>
            <w:tcW w:type="dxa" w:w="3960"/>
            <w:vAlign w:val="center"/>
            <w:bidi/>
          </w:tcPr>
          <w:p>
            <w:pPr>
              <w:spacing w:after="20" w:before="20"/>
              <w:jc w:val="right"/>
              <w:bidi/>
            </w:pPr>
            <w:r>
              <w:rPr>
                <w:rFonts w:ascii="Arial" w:hAnsi="Arial"/>
                <w:sz w:val="15"/>
              </w:rPr>
              <w:t>مصدر نصّي لبنود الضمان والاستخدام والإرجاع والإصلاح.</w:t>
            </w:r>
          </w:p>
        </w:tc>
        <w:tc>
          <w:tcPr>
            <w:tcW w:type="dxa" w:w="3816"/>
            <w:vAlign w:val="center"/>
            <w:bidi/>
          </w:tcPr>
          <w:p>
            <w:pPr>
              <w:spacing w:after="20" w:before="20"/>
              <w:jc w:val="right"/>
              <w:bidi/>
            </w:pPr>
            <w:r>
              <w:rPr>
                <w:rFonts w:ascii="Arial" w:hAnsi="Arial"/>
                <w:sz w:val="15"/>
              </w:rPr>
              <w:t>خاص بمحتوى SH الوارد فيه ولا يعمم على كل العلامات.</w:t>
            </w:r>
          </w:p>
        </w:tc>
      </w:tr>
    </w:tbl>
    <w:p>
      <w:pPr>
        <w:spacing w:after="20"/>
      </w:pPr>
    </w:p>
    <w:p>
      <w:pPr>
        <w:spacing w:after="80"/>
        <w:jc w:val="right"/>
        <w:bidi/>
      </w:pPr>
      <w:r>
        <w:t>كود الخامة 228KN17X78X10: شرح المالك المبدئي أن البادئة قد تشير إلى شكل المادة (2 لوح، 3 رول، 1 بلوك)، وأن 28 كثافة وKN تصنيف لون/سوفت/هارد/HR، وأن 17×78×10 تعني ارتفاع×طول×عرض. دلالة البادئة نفسها غير مؤكدة نهائيًا لأن المالك قال «أعتقد»؛ يجب حفظ الكود الأصلي وعدم البناء على هذا التفسير لإعادة التكويد قبل وجود قاموس موثوق.</w:t>
      </w:r>
    </w:p>
    <w:p>
      <w:pPr>
        <w:pStyle w:val="Heading1"/>
      </w:pPr>
      <w:r>
        <w:t>7. وقت التشغيل — المرجع الحالي</w:t>
      </w:r>
    </w:p>
    <w:p>
      <w:pPr>
        <w:spacing w:after="80"/>
        <w:jc w:val="right"/>
        <w:bidi/>
      </w:pPr>
      <w:r>
        <w:t>ملف `وقت التشغيل.xlsx` هو المصدر المنفصل المعترف به حاليًا. ورقته `وقت التشغيل` تعرض الإنتاج الشهري، إجمالي الإنتاج، وعمود `وقت التشغيل مرتبة / دقيقة`؛ نطاق الورقة A1:N45 ويشمل 41 بند منتج/صنف وصف Total منفصلًا. يوجد أيضًا في صف المصدر 45 رقم 150 في عمود Feb بينما اسم الصنف فارغ؛ هذه حالة معلّقة لا تُربط بموديل تلقائيًا. ورقة وقت التشغيل المضمنة في Models BOM مرجع متقاطع وليست سببًا لاستبدال الملف المنفصل.</w:t>
      </w:r>
    </w:p>
    <w:p>
      <w:pPr>
        <w:pStyle w:val="ListBullet"/>
        <w:spacing w:after="40"/>
        <w:jc w:val="right"/>
        <w:bidi/>
      </w:pPr>
      <w:r>
        <w:t>الزمن الحالي لكل موديل بالدقائق هو إجمالي تقديري يعكس عمليات الأقسام الفعلية؛ لا يمثل زمنًا مفصلًا لكل قسم.</w:t>
      </w:r>
    </w:p>
    <w:p>
      <w:pPr>
        <w:pStyle w:val="ListBullet"/>
        <w:spacing w:after="40"/>
        <w:jc w:val="right"/>
        <w:bidi/>
      </w:pPr>
      <w:r>
        <w:t>التقسيم الفعلي خمسة أقسام؛ SAP يجمع الأقسام الثلاثة الأولى ويحتفظ بالتيب والتغليف كعمليتين.</w:t>
      </w:r>
    </w:p>
    <w:p>
      <w:pPr>
        <w:pStyle w:val="ListBullet"/>
        <w:spacing w:after="40"/>
        <w:jc w:val="right"/>
        <w:bidi/>
      </w:pPr>
      <w:r>
        <w:t>الاحتفاظ بالقيم الحالية دون تغيير، وإتاحة التعديل لكل موديل مستقبلًا مع سجل القيمة السابقة والجديدة والتاريخ والمستخدم والسبب.</w:t>
      </w:r>
    </w:p>
    <w:p>
      <w:pPr>
        <w:pStyle w:val="ListBullet"/>
        <w:spacing w:after="40"/>
        <w:jc w:val="right"/>
        <w:bidi/>
      </w:pPr>
      <w:r>
        <w:t>الأزمنة مبدئية إلى أن تتم مراجعتها ميدانيًا؛ لا تحسب الطاقة الإنتاجية بقسمة الزمن على 10 طاولات قبل توثيق التوازي والقيود.</w:t>
      </w:r>
    </w:p>
    <w:p>
      <w:pPr>
        <w:pStyle w:val="Heading1"/>
      </w:pPr>
      <w:r>
        <w:t>8. الضمان والاستبدال والخصوصية</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0F5068"/>
            <w:vAlign w:val="center"/>
            <w:bidi/>
          </w:tcPr>
          <w:p>
            <w:pPr>
              <w:jc w:val="right"/>
              <w:bidi/>
            </w:pPr>
            <w:r>
              <w:rPr>
                <w:b/>
                <w:color w:val="FFFFFF"/>
                <w:sz w:val="16"/>
              </w:rPr>
              <w:t>الحالة</w:t>
            </w:r>
          </w:p>
        </w:tc>
        <w:tc>
          <w:tcPr>
            <w:tcW w:type="dxa" w:w="7992"/>
            <w:shd w:fill="0F5068"/>
            <w:vAlign w:val="center"/>
            <w:bidi/>
          </w:tcPr>
          <w:p>
            <w:pPr>
              <w:jc w:val="right"/>
              <w:bidi/>
            </w:pPr>
            <w:r>
              <w:rPr>
                <w:b/>
                <w:color w:val="FFFFFF"/>
                <w:sz w:val="16"/>
              </w:rPr>
              <w:t>التفصيل</w:t>
            </w:r>
          </w:p>
        </w:tc>
      </w:tr>
      <w:tr>
        <w:tc>
          <w:tcPr>
            <w:tcW w:type="dxa" w:w="2232"/>
            <w:vAlign w:val="center"/>
            <w:bidi/>
          </w:tcPr>
          <w:p>
            <w:pPr>
              <w:spacing w:after="20" w:before="20"/>
              <w:jc w:val="right"/>
              <w:bidi/>
            </w:pPr>
            <w:r>
              <w:rPr>
                <w:rFonts w:ascii="Arial" w:hAnsi="Arial"/>
                <w:sz w:val="16"/>
              </w:rPr>
              <w:t>المدد الحالية بحسب المالك</w:t>
            </w:r>
          </w:p>
        </w:tc>
        <w:tc>
          <w:tcPr>
            <w:tcW w:type="dxa" w:w="7992"/>
            <w:vAlign w:val="center"/>
            <w:bidi/>
          </w:tcPr>
          <w:p>
            <w:pPr>
              <w:spacing w:after="20" w:before="20"/>
              <w:jc w:val="right"/>
              <w:bidi/>
            </w:pPr>
            <w:r>
              <w:rPr>
                <w:rFonts w:ascii="Arial" w:hAnsi="Arial"/>
                <w:sz w:val="16"/>
              </w:rPr>
              <w:t>كل المراتب بجميع العلامات والموديلات: 10 سنوات. المخدات والخداديات ومراتب التطرية: سنتان.</w:t>
            </w:r>
          </w:p>
        </w:tc>
      </w:tr>
      <w:tr>
        <w:tc>
          <w:tcPr>
            <w:tcW w:type="dxa" w:w="2232"/>
            <w:vAlign w:val="center"/>
            <w:bidi/>
            <w:shd w:fill="F2F7F8"/>
          </w:tcPr>
          <w:p>
            <w:pPr>
              <w:spacing w:after="20" w:before="20"/>
              <w:jc w:val="right"/>
              <w:bidi/>
            </w:pPr>
            <w:r>
              <w:rPr>
                <w:rFonts w:ascii="Arial" w:hAnsi="Arial"/>
                <w:sz w:val="16"/>
              </w:rPr>
              <w:t>التخصيص المستقبلي</w:t>
            </w:r>
          </w:p>
        </w:tc>
        <w:tc>
          <w:tcPr>
            <w:tcW w:type="dxa" w:w="7992"/>
            <w:vAlign w:val="center"/>
            <w:bidi/>
            <w:shd w:fill="F2F7F8"/>
          </w:tcPr>
          <w:p>
            <w:pPr>
              <w:spacing w:after="20" w:before="20"/>
              <w:jc w:val="right"/>
              <w:bidi/>
            </w:pPr>
            <w:r>
              <w:rPr>
                <w:rFonts w:ascii="Arial" w:hAnsi="Arial"/>
                <w:sz w:val="16"/>
              </w:rPr>
              <w:t>سياسة قابلة للتعديل على مستوى الموديل؛ قد تكون بعض موديلات Sleepee/Emareties خمس سنوات وأخرى عشرًا مستقبلًا. أمثلة SH/Comfort ثابتة 10 سنوات احتمالات مستقبلية وليست تغييرًا حاليًا.</w:t>
            </w:r>
          </w:p>
        </w:tc>
      </w:tr>
      <w:tr>
        <w:tc>
          <w:tcPr>
            <w:tcW w:type="dxa" w:w="2232"/>
            <w:vAlign w:val="center"/>
            <w:bidi/>
          </w:tcPr>
          <w:p>
            <w:pPr>
              <w:spacing w:after="20" w:before="20"/>
              <w:jc w:val="right"/>
              <w:bidi/>
            </w:pPr>
            <w:r>
              <w:rPr>
                <w:rFonts w:ascii="Arial" w:hAnsi="Arial"/>
                <w:sz w:val="16"/>
              </w:rPr>
              <w:t>هرمية المحرك</w:t>
            </w:r>
          </w:p>
        </w:tc>
        <w:tc>
          <w:tcPr>
            <w:tcW w:type="dxa" w:w="7992"/>
            <w:vAlign w:val="center"/>
            <w:bidi/>
          </w:tcPr>
          <w:p>
            <w:pPr>
              <w:spacing w:after="20" w:before="20"/>
              <w:jc w:val="right"/>
              <w:bidi/>
            </w:pPr>
            <w:r>
              <w:rPr>
                <w:rFonts w:ascii="Arial" w:hAnsi="Arial"/>
                <w:sz w:val="16"/>
              </w:rPr>
              <w:t>الفئة الافتراضية ثم استثناء العلامة ثم استثناء الموديل، مع أولوية الموديل. النطاق الأصلي يدعم مددًا من 1 إلى 15 سنة.</w:t>
            </w:r>
          </w:p>
        </w:tc>
      </w:tr>
      <w:tr>
        <w:tc>
          <w:tcPr>
            <w:tcW w:type="dxa" w:w="2232"/>
            <w:vAlign w:val="center"/>
            <w:bidi/>
            <w:shd w:fill="F2F7F8"/>
          </w:tcPr>
          <w:p>
            <w:pPr>
              <w:spacing w:after="20" w:before="20"/>
              <w:jc w:val="right"/>
              <w:bidi/>
            </w:pPr>
            <w:r>
              <w:rPr>
                <w:rFonts w:ascii="Arial" w:hAnsi="Arial"/>
                <w:sz w:val="16"/>
              </w:rPr>
              <w:t>حماية Phase 09</w:t>
            </w:r>
          </w:p>
        </w:tc>
        <w:tc>
          <w:tcPr>
            <w:tcW w:type="dxa" w:w="7992"/>
            <w:vAlign w:val="center"/>
            <w:bidi/>
            <w:shd w:fill="F2F7F8"/>
          </w:tcPr>
          <w:p>
            <w:pPr>
              <w:spacing w:after="20" w:before="20"/>
              <w:jc w:val="right"/>
              <w:bidi/>
            </w:pPr>
            <w:r>
              <w:rPr>
                <w:rFonts w:ascii="Arial" w:hAnsi="Arial"/>
                <w:sz w:val="16"/>
              </w:rPr>
              <w:t>مدة وتاريخ نهاية الضمان يظلان لقطة ثابتة عند التفعيل؛ تغيير السياسة لا يغيّر التفعيلات السابقة.</w:t>
            </w:r>
          </w:p>
        </w:tc>
      </w:tr>
      <w:tr>
        <w:tc>
          <w:tcPr>
            <w:tcW w:type="dxa" w:w="2232"/>
            <w:vAlign w:val="center"/>
            <w:bidi/>
          </w:tcPr>
          <w:p>
            <w:pPr>
              <w:spacing w:after="20" w:before="20"/>
              <w:jc w:val="right"/>
              <w:bidi/>
            </w:pPr>
            <w:r>
              <w:rPr>
                <w:rFonts w:ascii="Arial" w:hAnsi="Arial"/>
                <w:sz w:val="16"/>
              </w:rPr>
              <w:t>مستند SH</w:t>
            </w:r>
          </w:p>
        </w:tc>
        <w:tc>
          <w:tcPr>
            <w:tcW w:type="dxa" w:w="7992"/>
            <w:vAlign w:val="center"/>
            <w:bidi/>
          </w:tcPr>
          <w:p>
            <w:pPr>
              <w:spacing w:after="20" w:before="20"/>
              <w:jc w:val="right"/>
              <w:bidi/>
            </w:pPr>
            <w:r>
              <w:rPr>
                <w:rFonts w:ascii="Arial" w:hAnsi="Arial"/>
                <w:sz w:val="16"/>
              </w:rPr>
              <w:t>لا يحتوي جدول مدد لكل موديل. يوجد تعارض في التقليب: كل 3 أشهر في تعليمات الاستخدام وشهر واحد في الاستثناءات؛ لا ينشر نص موحد قبل اعتماد المالك.</w:t>
            </w:r>
          </w:p>
        </w:tc>
      </w:tr>
      <w:tr>
        <w:tc>
          <w:tcPr>
            <w:tcW w:type="dxa" w:w="2232"/>
            <w:vAlign w:val="center"/>
            <w:bidi/>
            <w:shd w:fill="F2F7F8"/>
          </w:tcPr>
          <w:p>
            <w:pPr>
              <w:spacing w:after="20" w:before="20"/>
              <w:jc w:val="right"/>
              <w:bidi/>
            </w:pPr>
            <w:r>
              <w:rPr>
                <w:rFonts w:ascii="Arial" w:hAnsi="Arial"/>
                <w:sz w:val="16"/>
              </w:rPr>
              <w:t>الاستبدال/التعويض</w:t>
            </w:r>
          </w:p>
        </w:tc>
        <w:tc>
          <w:tcPr>
            <w:tcW w:type="dxa" w:w="7992"/>
            <w:vAlign w:val="center"/>
            <w:bidi/>
            <w:shd w:fill="F2F7F8"/>
          </w:tcPr>
          <w:p>
            <w:pPr>
              <w:spacing w:after="20" w:before="20"/>
              <w:jc w:val="right"/>
              <w:bidi/>
            </w:pPr>
            <w:r>
              <w:rPr>
                <w:rFonts w:ascii="Arial" w:hAnsi="Arial"/>
                <w:sz w:val="16"/>
              </w:rPr>
              <w:t>المطلوب مراجعة سياسة الشركة وأحكام قانون حماية المستهلك المصري من مصدر قانوني رسمي/معتمد؛ لا نختلق مددًا أو شروطًا.</w:t>
            </w:r>
          </w:p>
        </w:tc>
      </w:tr>
      <w:tr>
        <w:tc>
          <w:tcPr>
            <w:tcW w:type="dxa" w:w="2232"/>
            <w:vAlign w:val="center"/>
            <w:bidi/>
          </w:tcPr>
          <w:p>
            <w:pPr>
              <w:spacing w:after="20" w:before="20"/>
              <w:jc w:val="right"/>
              <w:bidi/>
            </w:pPr>
            <w:r>
              <w:rPr>
                <w:rFonts w:ascii="Arial" w:hAnsi="Arial"/>
                <w:sz w:val="16"/>
              </w:rPr>
              <w:t>الخصوصية</w:t>
            </w:r>
          </w:p>
        </w:tc>
        <w:tc>
          <w:tcPr>
            <w:tcW w:type="dxa" w:w="7992"/>
            <w:vAlign w:val="center"/>
            <w:bidi/>
          </w:tcPr>
          <w:p>
            <w:pPr>
              <w:spacing w:after="20" w:before="20"/>
              <w:jc w:val="right"/>
              <w:bidi/>
            </w:pPr>
            <w:r>
              <w:rPr>
                <w:rFonts w:ascii="Arial" w:hAnsi="Arial"/>
                <w:sz w:val="16"/>
              </w:rPr>
              <w:t>جمع بيانات العميل بالقدر اللازم لتفعيل الضمان والتحقق منه وإدارة الخدمة؛ عدم إظهار الاسم أو الهاتف أو الهوية أو الفاتورة/المرفقات للعامة.</w:t>
            </w:r>
          </w:p>
        </w:tc>
      </w:tr>
    </w:tbl>
    <w:p>
      <w:pPr>
        <w:spacing w:after="20"/>
      </w:pPr>
    </w:p>
    <w:p>
      <w:pPr>
        <w:pStyle w:val="Heading1"/>
      </w:pPr>
      <w:r>
        <w:t>9. الصلاحيات</w:t>
      </w:r>
    </w:p>
    <w:p>
      <w:pPr>
        <w:spacing w:after="80"/>
        <w:jc w:val="right"/>
        <w:bidi/>
      </w:pPr>
      <w:r>
        <w:t>نية المالك الحالية: Administrator كامل الصلاحيات لجميع الأقسام وإدارة الصلاحيات؛ مستخدمو مدير الإنتاج ومشغل الإنتاج يصلون إلى وظائف مركز الإنتاج والتصنيع؛ نطاق «صلاحيات المبيعات» يشمل خدمة العملاء والضمان والاستبدال والوظائف ذات الصلة.</w:t>
      </w:r>
    </w:p>
    <w:p>
      <w:pPr>
        <w:spacing w:after="80"/>
        <w:jc w:val="right"/>
        <w:bidi/>
      </w:pPr>
      <w:r>
        <w:t>فجوة أسماء مهمة: المرجع الأصلي يسرد `Customer Service User` و`Warranty Manager` و`Read Only User`، بينما ZIP المرحلة 10–18 يستخدم `Customer Service Agent` و`Warranty Officer` و`Service Manager`. لا يُسمح بتغيير أو استبدال أسماء الأدوار تلقائيًا. يجب اعتماد mapping/تعديل رسمي، وتحديد هل «المبيعات» نطاق صلاحية أم اسم دور جديد. كذلك تبقى إدارة Master Data بيد Administrator حسب القاعدة الأصلية.</w:t>
      </w:r>
    </w:p>
    <w:p>
      <w:pPr>
        <w:pStyle w:val="Heading1"/>
      </w:pPr>
      <w:r>
        <w:t>10. الأرقام المسلسلة وQR والملكية</w:t>
      </w:r>
    </w:p>
    <w:p>
      <w:pPr>
        <w:pStyle w:val="ListBullet"/>
        <w:spacing w:after="40"/>
        <w:jc w:val="right"/>
        <w:bidi/>
      </w:pPr>
      <w:r>
        <w:t>الحفاظ على صيغ الأرقام الأصلية: أمر الإنتاج ORD-YYYY-XXXXXX، الدفعة BAT-YYYY-XXXXXX، الرقم SLP-YYYY-XXXXXXXX؛ الرقم المسلسل فريد عالميًا ولا يعاد استخدامه أو تصفيره.</w:t>
      </w:r>
    </w:p>
    <w:p>
      <w:pPr>
        <w:pStyle w:val="ListBullet"/>
        <w:spacing w:after="40"/>
        <w:jc w:val="right"/>
        <w:bidi/>
      </w:pPr>
      <w:r>
        <w:t>طلب إضافة Lost وDestroyed وCancelled وReturned وTransferred. يلزم تحديد أي منها حالة وأيها حدث تاريخي قبل تغييرات قاعدة البيانات.</w:t>
      </w:r>
    </w:p>
    <w:p>
      <w:pPr>
        <w:pStyle w:val="ListBullet"/>
        <w:spacing w:after="40"/>
        <w:jc w:val="right"/>
        <w:bidi/>
      </w:pPr>
      <w:r>
        <w:t>نقل ملكية المنتج يحتفظ بالمنتج والرقم نفسه ولا يغير مدة الضمان أو تاريخه أو حالته ما دام الضمان ساريًا؛ استبدال المنتج بمنتج آخر دورة منفصلة تربط الرقم القديم بالجديد.</w:t>
      </w:r>
    </w:p>
    <w:p>
      <w:pPr>
        <w:pStyle w:val="ListBullet"/>
        <w:spacing w:after="40"/>
        <w:jc w:val="right"/>
        <w:bidi/>
      </w:pPr>
      <w:r>
        <w:t>QR مطلوب لتسهيل التحقق من المنتج والضمان والعناية/الدليل والتواصل وبدء طلب خدمة ضمن الصلاحيات؛ لا توجد بوابة عميل مستقلة حاليًا سوى التحقق العام والتطبيق الإداري.</w:t>
      </w:r>
    </w:p>
    <w:p>
      <w:pPr>
        <w:pStyle w:val="Heading1"/>
      </w:pPr>
      <w:r>
        <w:t>11. الملصقات والطباعة والإشعارات والتقارير</w:t>
      </w:r>
    </w:p>
    <w:p>
      <w:pPr>
        <w:pStyle w:val="ListBullet"/>
        <w:spacing w:after="40"/>
        <w:jc w:val="right"/>
        <w:bidi/>
      </w:pPr>
      <w:r>
        <w:t>لا يوجد ملصق حالي معتمد؛ التصاميم السابقة ليست مرجعًا ملزمًا. الملصقات للتغليف النهائي ويجب عرض التصميم على المالك قبل الاعتماد.</w:t>
      </w:r>
    </w:p>
    <w:p>
      <w:pPr>
        <w:pStyle w:val="ListBullet"/>
        <w:spacing w:after="40"/>
        <w:jc w:val="right"/>
        <w:bidi/>
      </w:pPr>
      <w:r>
        <w:t>Zebra ZD220 عبر USB باستخدام Browser Print؛ لم يكتمل اختبار الطباعة الفعلي. دعم 100×100 و100×80 و100×50 مم وأبعاد مخصصة.</w:t>
      </w:r>
    </w:p>
    <w:p>
      <w:pPr>
        <w:pStyle w:val="ListBullet"/>
        <w:spacing w:after="40"/>
        <w:jc w:val="right"/>
        <w:bidi/>
      </w:pPr>
      <w:r>
        <w:t>الحقول المقترحة: الشعار، العلامة، الموديل، المقاس، الرقم التسلسلي، Code128، QR، مدة الضمان المستمدة من سياسة المنتج، والنص القانوني/التواصل بعد اعتماده.</w:t>
      </w:r>
    </w:p>
    <w:p>
      <w:pPr>
        <w:pStyle w:val="ListBullet"/>
        <w:spacing w:after="40"/>
        <w:jc w:val="right"/>
        <w:bidi/>
      </w:pPr>
      <w:r>
        <w:t>لا تُسجل الطباعة ناجحة إلا بعد إقرار فعلي من Browser Print/الطابعة؛ إعادة الطباعة لا تمسح التاريخ الأصلي.</w:t>
      </w:r>
    </w:p>
    <w:p>
      <w:pPr>
        <w:pStyle w:val="ListBullet"/>
        <w:spacing w:after="40"/>
        <w:jc w:val="right"/>
        <w:bidi/>
      </w:pPr>
      <w:r>
        <w:t>قنوات الإشعار المطلوبة: داخل التطبيق، WhatsApp، والبريد الإلكتروني. مزود WhatsApp/البريد وبيانات الضبط غير محددة؛ لا أسرار في المستودع.</w:t>
      </w:r>
    </w:p>
    <w:p>
      <w:pPr>
        <w:pStyle w:val="ListBullet"/>
        <w:spacing w:after="40"/>
        <w:jc w:val="right"/>
        <w:bidi/>
      </w:pPr>
      <w:r>
        <w:t>التقارير للإنتاج والضمان والخدمة والاستبدال والطباعة والإدارة، مع تصدير CSV/XLSX/JSON/PDF وبيانات منظمة لتسهيل أدوات التحليل الخارجية.</w:t>
      </w:r>
    </w:p>
    <w:p>
      <w:pPr>
        <w:pStyle w:val="Heading1"/>
      </w:pPr>
      <w:r>
        <w:t>12. مراجعة ZIP الفعلية ونتائج التحقق</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0F5068"/>
            <w:vAlign w:val="center"/>
            <w:bidi/>
          </w:tcPr>
          <w:p>
            <w:pPr>
              <w:jc w:val="right"/>
              <w:bidi/>
            </w:pPr>
            <w:r>
              <w:rPr>
                <w:b/>
                <w:color w:val="FFFFFF"/>
                <w:sz w:val="13"/>
              </w:rPr>
              <w:t>الاختبار/العينة</w:t>
            </w:r>
          </w:p>
        </w:tc>
        <w:tc>
          <w:tcPr>
            <w:tcW w:type="dxa" w:w="6264"/>
            <w:shd w:fill="0F5068"/>
            <w:vAlign w:val="center"/>
            <w:bidi/>
          </w:tcPr>
          <w:p>
            <w:pPr>
              <w:jc w:val="right"/>
              <w:bidi/>
            </w:pPr>
            <w:r>
              <w:rPr>
                <w:b/>
                <w:color w:val="FFFFFF"/>
                <w:sz w:val="13"/>
              </w:rPr>
              <w:t>النتيجة الفعلية</w:t>
            </w:r>
          </w:p>
        </w:tc>
        <w:tc>
          <w:tcPr>
            <w:tcW w:type="dxa" w:w="2088"/>
            <w:shd w:fill="0F5068"/>
            <w:vAlign w:val="center"/>
            <w:bidi/>
          </w:tcPr>
          <w:p>
            <w:pPr>
              <w:jc w:val="right"/>
              <w:bidi/>
            </w:pPr>
            <w:r>
              <w:rPr>
                <w:b/>
                <w:color w:val="FFFFFF"/>
                <w:sz w:val="13"/>
              </w:rPr>
              <w:t>التقييم</w:t>
            </w:r>
          </w:p>
        </w:tc>
      </w:tr>
      <w:tr>
        <w:tc>
          <w:tcPr>
            <w:tcW w:type="dxa" w:w="1872"/>
            <w:vAlign w:val="center"/>
            <w:bidi/>
          </w:tcPr>
          <w:p>
            <w:pPr>
              <w:spacing w:after="20" w:before="20"/>
              <w:jc w:val="right"/>
              <w:bidi/>
            </w:pPr>
            <w:r>
              <w:rPr>
                <w:rFonts w:ascii="Arial" w:hAnsi="Arial"/>
                <w:sz w:val="13"/>
              </w:rPr>
              <w:t>ZIP المرحلة 10–18</w:t>
            </w:r>
          </w:p>
        </w:tc>
        <w:tc>
          <w:tcPr>
            <w:tcW w:type="dxa" w:w="6264"/>
            <w:vAlign w:val="center"/>
            <w:bidi/>
          </w:tcPr>
          <w:p>
            <w:pPr>
              <w:spacing w:after="20" w:before="20"/>
              <w:jc w:val="right"/>
              <w:bidi/>
            </w:pPr>
            <w:r>
              <w:rPr>
                <w:rFonts w:ascii="Arial" w:hAnsi="Arial"/>
                <w:sz w:val="13"/>
              </w:rPr>
              <w:t>108 ملفات؛ فيه المصدر، SLEEPEE_PHASE_10_18_UNIFIED_MIGRATION.sql وPHASE_18_FINAL_VALIDATION.sql. لا يوجد schema.sql في الجذر؛ ملفات schema القديمة داخل archive/legacy_sql.</w:t>
            </w:r>
          </w:p>
        </w:tc>
        <w:tc>
          <w:tcPr>
            <w:tcW w:type="dxa" w:w="2088"/>
            <w:vAlign w:val="center"/>
            <w:bidi/>
          </w:tcPr>
          <w:p>
            <w:pPr>
              <w:spacing w:after="20" w:before="20"/>
              <w:jc w:val="right"/>
              <w:bidi/>
            </w:pPr>
            <w:r>
              <w:rPr>
                <w:rFonts w:ascii="Arial" w:hAnsi="Arial"/>
                <w:sz w:val="13"/>
              </w:rPr>
              <w:t>تم فحص المحتويات</w:t>
            </w:r>
          </w:p>
        </w:tc>
      </w:tr>
      <w:tr>
        <w:tc>
          <w:tcPr>
            <w:tcW w:type="dxa" w:w="1872"/>
            <w:vAlign w:val="center"/>
            <w:bidi/>
            <w:shd w:fill="F2F7F8"/>
          </w:tcPr>
          <w:p>
            <w:pPr>
              <w:spacing w:after="20" w:before="20"/>
              <w:jc w:val="right"/>
              <w:bidi/>
            </w:pPr>
            <w:r>
              <w:rPr>
                <w:rFonts w:ascii="Arial" w:hAnsi="Arial"/>
                <w:sz w:val="13"/>
              </w:rPr>
              <w:t>ZIP Phase09 Fixed v3</w:t>
            </w:r>
          </w:p>
        </w:tc>
        <w:tc>
          <w:tcPr>
            <w:tcW w:type="dxa" w:w="6264"/>
            <w:vAlign w:val="center"/>
            <w:bidi/>
            <w:shd w:fill="F2F7F8"/>
          </w:tcPr>
          <w:p>
            <w:pPr>
              <w:spacing w:after="20" w:before="20"/>
              <w:jc w:val="right"/>
              <w:bidi/>
            </w:pPr>
            <w:r>
              <w:rPr>
                <w:rFonts w:ascii="Arial" w:hAnsi="Arial"/>
                <w:sz w:val="13"/>
              </w:rPr>
              <w:t>98 ملفًا؛ فيه schema.sql وsupabase-schema.sql وpackage-lock.json وbun.lock ومواد Phase09؛ لا يحتوي unified Phase10–18 migration أو Phase18 validation.</w:t>
            </w:r>
          </w:p>
        </w:tc>
        <w:tc>
          <w:tcPr>
            <w:tcW w:type="dxa" w:w="2088"/>
            <w:vAlign w:val="center"/>
            <w:bidi/>
            <w:shd w:fill="F2F7F8"/>
          </w:tcPr>
          <w:p>
            <w:pPr>
              <w:spacing w:after="20" w:before="20"/>
              <w:jc w:val="right"/>
              <w:bidi/>
            </w:pPr>
            <w:r>
              <w:rPr>
                <w:rFonts w:ascii="Arial" w:hAnsi="Arial"/>
                <w:sz w:val="13"/>
              </w:rPr>
              <w:t>نسخة مختلفة؛ لا تدمج عشوائيًا</w:t>
            </w:r>
          </w:p>
        </w:tc>
      </w:tr>
      <w:tr>
        <w:tc>
          <w:tcPr>
            <w:tcW w:type="dxa" w:w="1872"/>
            <w:vAlign w:val="center"/>
            <w:bidi/>
          </w:tcPr>
          <w:p>
            <w:pPr>
              <w:spacing w:after="20" w:before="20"/>
              <w:jc w:val="right"/>
              <w:bidi/>
            </w:pPr>
            <w:r>
              <w:rPr>
                <w:rFonts w:ascii="Arial" w:hAnsi="Arial"/>
                <w:sz w:val="13"/>
              </w:rPr>
              <w:t>المصادر المحلية</w:t>
            </w:r>
          </w:p>
        </w:tc>
        <w:tc>
          <w:tcPr>
            <w:tcW w:type="dxa" w:w="6264"/>
            <w:vAlign w:val="center"/>
            <w:bidi/>
          </w:tcPr>
          <w:p>
            <w:pPr>
              <w:spacing w:after="20" w:before="20"/>
              <w:jc w:val="right"/>
              <w:bidi/>
            </w:pPr>
            <w:r>
              <w:rPr>
                <w:rFonts w:ascii="Arial" w:hAnsi="Arial"/>
                <w:sz w:val="13"/>
              </w:rPr>
              <w:t>53 ملف TS/TSX/JS؛ فحص 121 import نسبيًا؛ 0 أهداف import نسبية مفقودة.</w:t>
            </w:r>
          </w:p>
        </w:tc>
        <w:tc>
          <w:tcPr>
            <w:tcW w:type="dxa" w:w="2088"/>
            <w:vAlign w:val="center"/>
            <w:bidi/>
          </w:tcPr>
          <w:p>
            <w:pPr>
              <w:spacing w:after="20" w:before="20"/>
              <w:jc w:val="right"/>
              <w:bidi/>
            </w:pPr>
            <w:r>
              <w:rPr>
                <w:rFonts w:ascii="Arial" w:hAnsi="Arial"/>
                <w:sz w:val="13"/>
              </w:rPr>
              <w:t>PASS — فحص ثابت محدود</w:t>
            </w:r>
          </w:p>
        </w:tc>
      </w:tr>
      <w:tr>
        <w:tc>
          <w:tcPr>
            <w:tcW w:type="dxa" w:w="1872"/>
            <w:vAlign w:val="center"/>
            <w:bidi/>
            <w:shd w:fill="F2F7F8"/>
          </w:tcPr>
          <w:p>
            <w:pPr>
              <w:spacing w:after="20" w:before="20"/>
              <w:jc w:val="right"/>
              <w:bidi/>
            </w:pPr>
            <w:r>
              <w:rPr>
                <w:rFonts w:ascii="Arial" w:hAnsi="Arial"/>
                <w:sz w:val="13"/>
              </w:rPr>
              <w:t>تقنيات محظورة</w:t>
            </w:r>
          </w:p>
        </w:tc>
        <w:tc>
          <w:tcPr>
            <w:tcW w:type="dxa" w:w="6264"/>
            <w:vAlign w:val="center"/>
            <w:bidi/>
            <w:shd w:fill="F2F7F8"/>
          </w:tcPr>
          <w:p>
            <w:pPr>
              <w:spacing w:after="20" w:before="20"/>
              <w:jc w:val="right"/>
              <w:bidi/>
            </w:pPr>
            <w:r>
              <w:rPr>
                <w:rFonts w:ascii="Arial" w:hAnsi="Arial"/>
                <w:sz w:val="13"/>
              </w:rPr>
              <w:t>لم يظهر Firebase/Firestore أو localStorage/sessionStorage/indexedDB في مسح المصدر.</w:t>
            </w:r>
          </w:p>
        </w:tc>
        <w:tc>
          <w:tcPr>
            <w:tcW w:type="dxa" w:w="2088"/>
            <w:vAlign w:val="center"/>
            <w:bidi/>
            <w:shd w:fill="F2F7F8"/>
          </w:tcPr>
          <w:p>
            <w:pPr>
              <w:spacing w:after="20" w:before="20"/>
              <w:jc w:val="right"/>
              <w:bidi/>
            </w:pPr>
            <w:r>
              <w:rPr>
                <w:rFonts w:ascii="Arial" w:hAnsi="Arial"/>
                <w:sz w:val="13"/>
              </w:rPr>
              <w:t>PASS — ضمن نطاق المسح</w:t>
            </w:r>
          </w:p>
        </w:tc>
      </w:tr>
      <w:tr>
        <w:tc>
          <w:tcPr>
            <w:tcW w:type="dxa" w:w="1872"/>
            <w:vAlign w:val="center"/>
            <w:bidi/>
          </w:tcPr>
          <w:p>
            <w:pPr>
              <w:spacing w:after="20" w:before="20"/>
              <w:jc w:val="right"/>
              <w:bidi/>
            </w:pPr>
            <w:r>
              <w:rPr>
                <w:rFonts w:ascii="Arial" w:hAnsi="Arial"/>
                <w:sz w:val="13"/>
              </w:rPr>
              <w:t>TypeScript/Lint</w:t>
            </w:r>
          </w:p>
        </w:tc>
        <w:tc>
          <w:tcPr>
            <w:tcW w:type="dxa" w:w="6264"/>
            <w:vAlign w:val="center"/>
            <w:bidi/>
          </w:tcPr>
          <w:p>
            <w:pPr>
              <w:spacing w:after="20" w:before="20"/>
              <w:jc w:val="right"/>
              <w:bidi/>
            </w:pPr>
            <w:r>
              <w:rPr>
                <w:rFonts w:ascii="Arial" w:hAnsi="Arial"/>
                <w:sz w:val="13"/>
              </w:rPr>
              <w:t>npm run lint فشل لأن vite/client type definitions غير متاحة في البيئة.</w:t>
            </w:r>
          </w:p>
        </w:tc>
        <w:tc>
          <w:tcPr>
            <w:tcW w:type="dxa" w:w="2088"/>
            <w:vAlign w:val="center"/>
            <w:bidi/>
          </w:tcPr>
          <w:p>
            <w:pPr>
              <w:spacing w:after="20" w:before="20"/>
              <w:jc w:val="right"/>
              <w:bidi/>
            </w:pPr>
            <w:r>
              <w:rPr>
                <w:rFonts w:ascii="Arial" w:hAnsi="Arial"/>
                <w:sz w:val="13"/>
              </w:rPr>
              <w:t>NOT VERIFIED</w:t>
            </w:r>
          </w:p>
        </w:tc>
      </w:tr>
      <w:tr>
        <w:tc>
          <w:tcPr>
            <w:tcW w:type="dxa" w:w="1872"/>
            <w:vAlign w:val="center"/>
            <w:bidi/>
            <w:shd w:fill="F2F7F8"/>
          </w:tcPr>
          <w:p>
            <w:pPr>
              <w:spacing w:after="20" w:before="20"/>
              <w:jc w:val="right"/>
              <w:bidi/>
            </w:pPr>
            <w:r>
              <w:rPr>
                <w:rFonts w:ascii="Arial" w:hAnsi="Arial"/>
                <w:sz w:val="13"/>
              </w:rPr>
              <w:t>Vite Build</w:t>
            </w:r>
          </w:p>
        </w:tc>
        <w:tc>
          <w:tcPr>
            <w:tcW w:type="dxa" w:w="6264"/>
            <w:vAlign w:val="center"/>
            <w:bidi/>
            <w:shd w:fill="F2F7F8"/>
          </w:tcPr>
          <w:p>
            <w:pPr>
              <w:spacing w:after="20" w:before="20"/>
              <w:jc w:val="right"/>
              <w:bidi/>
            </w:pPr>
            <w:r>
              <w:rPr>
                <w:rFonts w:ascii="Arial" w:hAnsi="Arial"/>
                <w:sz w:val="13"/>
              </w:rPr>
              <w:t>npm run build فشل لأن أمر vite غير متاح؛ التبعيات لم تكن مثبتة.</w:t>
            </w:r>
          </w:p>
        </w:tc>
        <w:tc>
          <w:tcPr>
            <w:tcW w:type="dxa" w:w="2088"/>
            <w:vAlign w:val="center"/>
            <w:bidi/>
            <w:shd w:fill="F2F7F8"/>
          </w:tcPr>
          <w:p>
            <w:pPr>
              <w:spacing w:after="20" w:before="20"/>
              <w:jc w:val="right"/>
              <w:bidi/>
            </w:pPr>
            <w:r>
              <w:rPr>
                <w:rFonts w:ascii="Arial" w:hAnsi="Arial"/>
                <w:sz w:val="13"/>
              </w:rPr>
              <w:t>NOT VERIFIED</w:t>
            </w:r>
          </w:p>
        </w:tc>
      </w:tr>
      <w:tr>
        <w:tc>
          <w:tcPr>
            <w:tcW w:type="dxa" w:w="1872"/>
            <w:vAlign w:val="center"/>
            <w:bidi/>
          </w:tcPr>
          <w:p>
            <w:pPr>
              <w:spacing w:after="20" w:before="20"/>
              <w:jc w:val="right"/>
              <w:bidi/>
            </w:pPr>
            <w:r>
              <w:rPr>
                <w:rFonts w:ascii="Arial" w:hAnsi="Arial"/>
                <w:sz w:val="13"/>
              </w:rPr>
              <w:t>حزمة التبعيات</w:t>
            </w:r>
          </w:p>
        </w:tc>
        <w:tc>
          <w:tcPr>
            <w:tcW w:type="dxa" w:w="6264"/>
            <w:vAlign w:val="center"/>
            <w:bidi/>
          </w:tcPr>
          <w:p>
            <w:pPr>
              <w:spacing w:after="20" w:before="20"/>
              <w:jc w:val="right"/>
              <w:bidi/>
            </w:pPr>
            <w:r>
              <w:rPr>
                <w:rFonts w:ascii="Arial" w:hAnsi="Arial"/>
                <w:sz w:val="13"/>
              </w:rPr>
              <w:t>لا يوجد lockfile في ZIP 10–18. توجد تبعيات/متغيرات تبدو غير مستخدمة: @google/genai وexpress و@types/express وGEMINI_API_KEY؛ لم يُعثر على import مصدر لها.</w:t>
            </w:r>
          </w:p>
        </w:tc>
        <w:tc>
          <w:tcPr>
            <w:tcW w:type="dxa" w:w="2088"/>
            <w:vAlign w:val="center"/>
            <w:bidi/>
          </w:tcPr>
          <w:p>
            <w:pPr>
              <w:spacing w:after="20" w:before="20"/>
              <w:jc w:val="right"/>
              <w:bidi/>
            </w:pPr>
            <w:r>
              <w:rPr>
                <w:rFonts w:ascii="Arial" w:hAnsi="Arial"/>
                <w:sz w:val="13"/>
              </w:rPr>
              <w:t>مراجعة قبل الإصدار</w:t>
            </w:r>
          </w:p>
        </w:tc>
      </w:tr>
      <w:tr>
        <w:tc>
          <w:tcPr>
            <w:tcW w:type="dxa" w:w="1872"/>
            <w:vAlign w:val="center"/>
            <w:bidi/>
            <w:shd w:fill="F2F7F8"/>
          </w:tcPr>
          <w:p>
            <w:pPr>
              <w:spacing w:after="20" w:before="20"/>
              <w:jc w:val="right"/>
              <w:bidi/>
            </w:pPr>
            <w:r>
              <w:rPr>
                <w:rFonts w:ascii="Arial" w:hAnsi="Arial"/>
                <w:sz w:val="13"/>
              </w:rPr>
              <w:t>وثائق النشر</w:t>
            </w:r>
          </w:p>
        </w:tc>
        <w:tc>
          <w:tcPr>
            <w:tcW w:type="dxa" w:w="6264"/>
            <w:vAlign w:val="center"/>
            <w:bidi/>
            <w:shd w:fill="F2F7F8"/>
          </w:tcPr>
          <w:p>
            <w:pPr>
              <w:spacing w:after="20" w:before="20"/>
              <w:jc w:val="right"/>
              <w:bidi/>
            </w:pPr>
            <w:r>
              <w:rPr>
                <w:rFonts w:ascii="Arial" w:hAnsi="Arial"/>
                <w:sz w:val="13"/>
              </w:rPr>
              <w:t>DEPLOYMENT_CHECKLIST.md يطلب تشغيل schema.sql ويصف الفحوص READY، لكن ZIP لا يحتوي schema.sql في الجذر، وتعليمات النشر الأخرى تمنع تشغيل archived/legacy schema.</w:t>
            </w:r>
          </w:p>
        </w:tc>
        <w:tc>
          <w:tcPr>
            <w:tcW w:type="dxa" w:w="2088"/>
            <w:vAlign w:val="center"/>
            <w:bidi/>
            <w:shd w:fill="F2F7F8"/>
          </w:tcPr>
          <w:p>
            <w:pPr>
              <w:spacing w:after="20" w:before="20"/>
              <w:jc w:val="right"/>
              <w:bidi/>
            </w:pPr>
            <w:r>
              <w:rPr>
                <w:rFonts w:ascii="Arial" w:hAnsi="Arial"/>
                <w:sz w:val="13"/>
              </w:rPr>
              <w:t>تعارض وثائقي حرج</w:t>
            </w:r>
          </w:p>
        </w:tc>
      </w:tr>
      <w:tr>
        <w:tc>
          <w:tcPr>
            <w:tcW w:type="dxa" w:w="1872"/>
            <w:vAlign w:val="center"/>
            <w:bidi/>
          </w:tcPr>
          <w:p>
            <w:pPr>
              <w:spacing w:after="20" w:before="20"/>
              <w:jc w:val="right"/>
              <w:bidi/>
            </w:pPr>
            <w:r>
              <w:rPr>
                <w:rFonts w:ascii="Arial" w:hAnsi="Arial"/>
                <w:sz w:val="13"/>
              </w:rPr>
              <w:t>SQL النشط</w:t>
            </w:r>
          </w:p>
        </w:tc>
        <w:tc>
          <w:tcPr>
            <w:tcW w:type="dxa" w:w="6264"/>
            <w:vAlign w:val="center"/>
            <w:bidi/>
          </w:tcPr>
          <w:p>
            <w:pPr>
              <w:spacing w:after="20" w:before="20"/>
              <w:jc w:val="right"/>
              <w:bidi/>
            </w:pPr>
            <w:r>
              <w:rPr>
                <w:rFonts w:ascii="Arial" w:hAnsi="Arial"/>
                <w:sz w:val="13"/>
              </w:rPr>
              <w:t>لم يجد المسح DROP TABLE أو TRUNCATE أو DELETE FROM أو DROP COLUMN أو DROP SCHEMA/DATABASE؛ توجد عمليات استبدال سياسات RLS وأعمدة/دوال إضافية.</w:t>
            </w:r>
          </w:p>
        </w:tc>
        <w:tc>
          <w:tcPr>
            <w:tcW w:type="dxa" w:w="2088"/>
            <w:vAlign w:val="center"/>
            <w:bidi/>
          </w:tcPr>
          <w:p>
            <w:pPr>
              <w:spacing w:after="20" w:before="20"/>
              <w:jc w:val="right"/>
              <w:bidi/>
            </w:pPr>
            <w:r>
              <w:rPr>
                <w:rFonts w:ascii="Arial" w:hAnsi="Arial"/>
                <w:sz w:val="13"/>
              </w:rPr>
              <w:t>لا حذف جداول ظاهر؛ يلزم اختبار حي</w:t>
            </w:r>
          </w:p>
        </w:tc>
      </w:tr>
      <w:tr>
        <w:tc>
          <w:tcPr>
            <w:tcW w:type="dxa" w:w="1872"/>
            <w:vAlign w:val="center"/>
            <w:bidi/>
            <w:shd w:fill="F2F7F8"/>
          </w:tcPr>
          <w:p>
            <w:pPr>
              <w:spacing w:after="20" w:before="20"/>
              <w:jc w:val="right"/>
              <w:bidi/>
            </w:pPr>
            <w:r>
              <w:rPr>
                <w:rFonts w:ascii="Arial" w:hAnsi="Arial"/>
                <w:sz w:val="13"/>
              </w:rPr>
              <w:t>تعليق migration</w:t>
            </w:r>
          </w:p>
        </w:tc>
        <w:tc>
          <w:tcPr>
            <w:tcW w:type="dxa" w:w="6264"/>
            <w:vAlign w:val="center"/>
            <w:bidi/>
            <w:shd w:fill="F2F7F8"/>
          </w:tcPr>
          <w:p>
            <w:pPr>
              <w:spacing w:after="20" w:before="20"/>
              <w:jc w:val="right"/>
              <w:bidi/>
            </w:pPr>
            <w:r>
              <w:rPr>
                <w:rFonts w:ascii="Arial" w:hAnsi="Arial"/>
                <w:sz w:val="13"/>
              </w:rPr>
              <w:t>يشير إلى ملف PHASE_10_18_UNIFIED_AUDIT_RPC.sql غير موجود كملف منفصل؛ الدالة record_application_event_v2 موجودة في بداية نفس migration.</w:t>
            </w:r>
          </w:p>
        </w:tc>
        <w:tc>
          <w:tcPr>
            <w:tcW w:type="dxa" w:w="2088"/>
            <w:vAlign w:val="center"/>
            <w:bidi/>
            <w:shd w:fill="F2F7F8"/>
          </w:tcPr>
          <w:p>
            <w:pPr>
              <w:spacing w:after="20" w:before="20"/>
              <w:jc w:val="right"/>
              <w:bidi/>
            </w:pPr>
            <w:r>
              <w:rPr>
                <w:rFonts w:ascii="Arial" w:hAnsi="Arial"/>
                <w:sz w:val="13"/>
              </w:rPr>
              <w:t>تعليق قديم</w:t>
            </w:r>
          </w:p>
        </w:tc>
      </w:tr>
      <w:tr>
        <w:tc>
          <w:tcPr>
            <w:tcW w:type="dxa" w:w="1872"/>
            <w:vAlign w:val="center"/>
            <w:bidi/>
          </w:tcPr>
          <w:p>
            <w:pPr>
              <w:spacing w:after="20" w:before="20"/>
              <w:jc w:val="right"/>
              <w:bidi/>
            </w:pPr>
            <w:r>
              <w:rPr>
                <w:rFonts w:ascii="Arial" w:hAnsi="Arial"/>
                <w:sz w:val="13"/>
              </w:rPr>
              <w:t>بوابة الضمان العامة</w:t>
            </w:r>
          </w:p>
        </w:tc>
        <w:tc>
          <w:tcPr>
            <w:tcW w:type="dxa" w:w="6264"/>
            <w:vAlign w:val="center"/>
            <w:bidi/>
          </w:tcPr>
          <w:p>
            <w:pPr>
              <w:spacing w:after="20" w:before="20"/>
              <w:jc w:val="right"/>
              <w:bidi/>
            </w:pPr>
            <w:r>
              <w:rPr>
                <w:rFonts w:ascii="Arial" w:hAnsi="Arial"/>
                <w:sz w:val="13"/>
              </w:rPr>
              <w:t>RPC يعرض بيانات المنتج والضمان دون حقول العميل الشخصية. واجهة PublicPortalView تعرض warranty_start (تاريخ الفاتورة) تحت مفتاح عنوان invoice_no.</w:t>
            </w:r>
          </w:p>
        </w:tc>
        <w:tc>
          <w:tcPr>
            <w:tcW w:type="dxa" w:w="2088"/>
            <w:vAlign w:val="center"/>
            <w:bidi/>
          </w:tcPr>
          <w:p>
            <w:pPr>
              <w:spacing w:after="20" w:before="20"/>
              <w:jc w:val="right"/>
              <w:bidi/>
            </w:pPr>
            <w:r>
              <w:rPr>
                <w:rFonts w:ascii="Arial" w:hAnsi="Arial"/>
                <w:sz w:val="13"/>
              </w:rPr>
              <w:t>تعارض واجهة/تسمية</w:t>
            </w:r>
          </w:p>
        </w:tc>
      </w:tr>
      <w:tr>
        <w:tc>
          <w:tcPr>
            <w:tcW w:type="dxa" w:w="1872"/>
            <w:vAlign w:val="center"/>
            <w:bidi/>
            <w:shd w:fill="F2F7F8"/>
          </w:tcPr>
          <w:p>
            <w:pPr>
              <w:spacing w:after="20" w:before="20"/>
              <w:jc w:val="right"/>
              <w:bidi/>
            </w:pPr>
            <w:r>
              <w:rPr>
                <w:rFonts w:ascii="Arial" w:hAnsi="Arial"/>
                <w:sz w:val="13"/>
              </w:rPr>
              <w:t>الأدوار</w:t>
            </w:r>
          </w:p>
        </w:tc>
        <w:tc>
          <w:tcPr>
            <w:tcW w:type="dxa" w:w="6264"/>
            <w:vAlign w:val="center"/>
            <w:bidi/>
            <w:shd w:fill="F2F7F8"/>
          </w:tcPr>
          <w:p>
            <w:pPr>
              <w:spacing w:after="20" w:before="20"/>
              <w:jc w:val="right"/>
              <w:bidi/>
            </w:pPr>
            <w:r>
              <w:rPr>
                <w:rFonts w:ascii="Arial" w:hAnsi="Arial"/>
                <w:sz w:val="13"/>
              </w:rPr>
              <w:t>الكود وRLS يستخدمان Warranty Officer/Customer Service Agent/Service Manager، وهي مختلفة عن بعض أسماء الأدوار في القسم A الأصلي.</w:t>
            </w:r>
          </w:p>
        </w:tc>
        <w:tc>
          <w:tcPr>
            <w:tcW w:type="dxa" w:w="2088"/>
            <w:vAlign w:val="center"/>
            <w:bidi/>
            <w:shd w:fill="F2F7F8"/>
          </w:tcPr>
          <w:p>
            <w:pPr>
              <w:spacing w:after="20" w:before="20"/>
              <w:jc w:val="right"/>
              <w:bidi/>
            </w:pPr>
            <w:r>
              <w:rPr>
                <w:rFonts w:ascii="Arial" w:hAnsi="Arial"/>
                <w:sz w:val="13"/>
              </w:rPr>
              <w:t>يحتاج amendment/mapping</w:t>
            </w:r>
          </w:p>
        </w:tc>
      </w:tr>
      <w:tr>
        <w:tc>
          <w:tcPr>
            <w:tcW w:type="dxa" w:w="1872"/>
            <w:vAlign w:val="center"/>
            <w:bidi/>
          </w:tcPr>
          <w:p>
            <w:pPr>
              <w:spacing w:after="20" w:before="20"/>
              <w:jc w:val="right"/>
              <w:bidi/>
            </w:pPr>
            <w:r>
              <w:rPr>
                <w:rFonts w:ascii="Arial" w:hAnsi="Arial"/>
                <w:sz w:val="13"/>
              </w:rPr>
              <w:t>البيئة الحية</w:t>
            </w:r>
          </w:p>
        </w:tc>
        <w:tc>
          <w:tcPr>
            <w:tcW w:type="dxa" w:w="6264"/>
            <w:vAlign w:val="center"/>
            <w:bidi/>
          </w:tcPr>
          <w:p>
            <w:pPr>
              <w:spacing w:after="20" w:before="20"/>
              <w:jc w:val="right"/>
              <w:bidi/>
            </w:pPr>
            <w:r>
              <w:rPr>
                <w:rFonts w:ascii="Arial" w:hAnsi="Arial"/>
                <w:sz w:val="13"/>
              </w:rPr>
              <w:t>لم يتم الاتصال بقاعدة Supabase الحية أو تشغيل SQL أو اختبارات RLS/Auth/Storage/Realtime.</w:t>
            </w:r>
          </w:p>
        </w:tc>
        <w:tc>
          <w:tcPr>
            <w:tcW w:type="dxa" w:w="2088"/>
            <w:vAlign w:val="center"/>
            <w:bidi/>
          </w:tcPr>
          <w:p>
            <w:pPr>
              <w:spacing w:after="20" w:before="20"/>
              <w:jc w:val="right"/>
              <w:bidi/>
            </w:pPr>
            <w:r>
              <w:rPr>
                <w:rFonts w:ascii="Arial" w:hAnsi="Arial"/>
                <w:sz w:val="13"/>
              </w:rPr>
              <w:t>NOT VERIFIED</w:t>
            </w:r>
          </w:p>
        </w:tc>
      </w:tr>
    </w:tbl>
    <w:p>
      <w:pPr>
        <w:spacing w:after="20"/>
      </w:pPr>
    </w:p>
    <w:p>
      <w:pPr>
        <w:spacing w:after="80"/>
        <w:jc w:val="right"/>
        <w:bidi/>
      </w:pPr>
      <w:r>
        <w:t>حالة المراجعة التقنية الإجمالية: PARTIALLY COMPLIANT / NOT CERTIFIED IN THIS REVIEW. تقرير Phase 09 المنفصل يسجل اعتمادًا بتاريخ 7 أكتوبر 2026؛ لم تُعد هذه المراجعة تشغيل الاختبارات الحية، لذلك لا تدعي أن حالة Supabase الحالية LIVE-VERIFIED.</w:t>
      </w:r>
    </w:p>
    <w:p>
      <w:pPr>
        <w:pStyle w:val="Heading1"/>
      </w:pPr>
      <w:r>
        <w:t>13. سجل النواقص والقرارات المتبقية</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792"/>
            <w:shd w:fill="0F5068"/>
            <w:vAlign w:val="center"/>
            <w:bidi/>
          </w:tcPr>
          <w:p>
            <w:pPr>
              <w:jc w:val="right"/>
              <w:bidi/>
            </w:pPr>
            <w:r>
              <w:rPr>
                <w:b/>
                <w:color w:val="FFFFFF"/>
                <w:sz w:val="13"/>
              </w:rPr>
              <w:t>ID</w:t>
            </w:r>
          </w:p>
        </w:tc>
        <w:tc>
          <w:tcPr>
            <w:tcW w:type="dxa" w:w="936"/>
            <w:shd w:fill="0F5068"/>
            <w:vAlign w:val="center"/>
            <w:bidi/>
          </w:tcPr>
          <w:p>
            <w:pPr>
              <w:jc w:val="right"/>
              <w:bidi/>
            </w:pPr>
            <w:r>
              <w:rPr>
                <w:b/>
                <w:color w:val="FFFFFF"/>
                <w:sz w:val="13"/>
              </w:rPr>
              <w:t>أولوية</w:t>
            </w:r>
          </w:p>
        </w:tc>
        <w:tc>
          <w:tcPr>
            <w:tcW w:type="dxa" w:w="1800"/>
            <w:shd w:fill="0F5068"/>
            <w:vAlign w:val="center"/>
            <w:bidi/>
          </w:tcPr>
          <w:p>
            <w:pPr>
              <w:jc w:val="right"/>
              <w:bidi/>
            </w:pPr>
            <w:r>
              <w:rPr>
                <w:b/>
                <w:color w:val="FFFFFF"/>
                <w:sz w:val="13"/>
              </w:rPr>
              <w:t>البند</w:t>
            </w:r>
          </w:p>
        </w:tc>
        <w:tc>
          <w:tcPr>
            <w:tcW w:type="dxa" w:w="3744"/>
            <w:shd w:fill="0F5068"/>
            <w:vAlign w:val="center"/>
            <w:bidi/>
          </w:tcPr>
          <w:p>
            <w:pPr>
              <w:jc w:val="right"/>
              <w:bidi/>
            </w:pPr>
            <w:r>
              <w:rPr>
                <w:b/>
                <w:color w:val="FFFFFF"/>
                <w:sz w:val="13"/>
              </w:rPr>
              <w:t>الوضع</w:t>
            </w:r>
          </w:p>
        </w:tc>
        <w:tc>
          <w:tcPr>
            <w:tcW w:type="dxa" w:w="2880"/>
            <w:shd w:fill="0F5068"/>
            <w:vAlign w:val="center"/>
            <w:bidi/>
          </w:tcPr>
          <w:p>
            <w:pPr>
              <w:jc w:val="right"/>
              <w:bidi/>
            </w:pPr>
            <w:r>
              <w:rPr>
                <w:b/>
                <w:color w:val="FFFFFF"/>
                <w:sz w:val="13"/>
              </w:rPr>
              <w:t>الإجراء</w:t>
            </w:r>
          </w:p>
        </w:tc>
      </w:tr>
      <w:tr>
        <w:tc>
          <w:tcPr>
            <w:tcW w:type="dxa" w:w="792"/>
            <w:vAlign w:val="center"/>
            <w:bidi/>
          </w:tcPr>
          <w:p>
            <w:pPr>
              <w:spacing w:after="20" w:before="20"/>
              <w:jc w:val="right"/>
              <w:bidi/>
            </w:pPr>
            <w:r>
              <w:rPr>
                <w:rFonts w:ascii="Arial" w:hAnsi="Arial"/>
                <w:sz w:val="13"/>
              </w:rPr>
              <w:t>O-01</w:t>
            </w:r>
          </w:p>
        </w:tc>
        <w:tc>
          <w:tcPr>
            <w:tcW w:type="dxa" w:w="936"/>
            <w:vAlign w:val="center"/>
            <w:bidi/>
          </w:tcPr>
          <w:p>
            <w:pPr>
              <w:spacing w:after="20" w:before="20"/>
              <w:jc w:val="right"/>
              <w:bidi/>
            </w:pPr>
            <w:r>
              <w:rPr>
                <w:rFonts w:ascii="Arial" w:hAnsi="Arial"/>
                <w:sz w:val="13"/>
              </w:rPr>
              <w:t>حرج</w:t>
            </w:r>
          </w:p>
        </w:tc>
        <w:tc>
          <w:tcPr>
            <w:tcW w:type="dxa" w:w="1800"/>
            <w:vAlign w:val="center"/>
            <w:bidi/>
          </w:tcPr>
          <w:p>
            <w:pPr>
              <w:spacing w:after="20" w:before="20"/>
              <w:jc w:val="right"/>
              <w:bidi/>
            </w:pPr>
            <w:r>
              <w:rPr>
                <w:rFonts w:ascii="Arial" w:hAnsi="Arial"/>
                <w:sz w:val="13"/>
              </w:rPr>
              <w:t>أسماء الأدوار</w:t>
            </w:r>
          </w:p>
        </w:tc>
        <w:tc>
          <w:tcPr>
            <w:tcW w:type="dxa" w:w="3744"/>
            <w:vAlign w:val="center"/>
            <w:bidi/>
          </w:tcPr>
          <w:p>
            <w:pPr>
              <w:spacing w:after="20" w:before="20"/>
              <w:jc w:val="right"/>
              <w:bidi/>
            </w:pPr>
            <w:r>
              <w:rPr>
                <w:rFonts w:ascii="Arial" w:hAnsi="Arial"/>
                <w:sz w:val="13"/>
              </w:rPr>
              <w:t>مطابقة أسماء الأدوار في المرجع مع التنفيذ وقرار صلاحيات المبيعات.</w:t>
            </w:r>
          </w:p>
        </w:tc>
        <w:tc>
          <w:tcPr>
            <w:tcW w:type="dxa" w:w="2880"/>
            <w:vAlign w:val="center"/>
            <w:bidi/>
          </w:tcPr>
          <w:p>
            <w:pPr>
              <w:spacing w:after="20" w:before="20"/>
              <w:jc w:val="right"/>
              <w:bidi/>
            </w:pPr>
            <w:r>
              <w:rPr>
                <w:rFonts w:ascii="Arial" w:hAnsi="Arial"/>
                <w:sz w:val="13"/>
              </w:rPr>
              <w:t>اعتماد mapping أو amendment رسمي قبل أي تعديل Auth/RLS.</w:t>
            </w:r>
          </w:p>
        </w:tc>
      </w:tr>
      <w:tr>
        <w:tc>
          <w:tcPr>
            <w:tcW w:type="dxa" w:w="792"/>
            <w:vAlign w:val="center"/>
            <w:bidi/>
            <w:shd w:fill="F2F7F8"/>
          </w:tcPr>
          <w:p>
            <w:pPr>
              <w:spacing w:after="20" w:before="20"/>
              <w:jc w:val="right"/>
              <w:bidi/>
            </w:pPr>
            <w:r>
              <w:rPr>
                <w:rFonts w:ascii="Arial" w:hAnsi="Arial"/>
                <w:sz w:val="13"/>
              </w:rPr>
              <w:t>O-02</w:t>
            </w:r>
          </w:p>
        </w:tc>
        <w:tc>
          <w:tcPr>
            <w:tcW w:type="dxa" w:w="936"/>
            <w:vAlign w:val="center"/>
            <w:bidi/>
            <w:shd w:fill="F2F7F8"/>
          </w:tcPr>
          <w:p>
            <w:pPr>
              <w:spacing w:after="20" w:before="20"/>
              <w:jc w:val="right"/>
              <w:bidi/>
            </w:pPr>
            <w:r>
              <w:rPr>
                <w:rFonts w:ascii="Arial" w:hAnsi="Arial"/>
                <w:sz w:val="13"/>
              </w:rPr>
              <w:t>عالٍ</w:t>
            </w:r>
          </w:p>
        </w:tc>
        <w:tc>
          <w:tcPr>
            <w:tcW w:type="dxa" w:w="1800"/>
            <w:vAlign w:val="center"/>
            <w:bidi/>
            <w:shd w:fill="F2F7F8"/>
          </w:tcPr>
          <w:p>
            <w:pPr>
              <w:spacing w:after="20" w:before="20"/>
              <w:jc w:val="right"/>
              <w:bidi/>
            </w:pPr>
            <w:r>
              <w:rPr>
                <w:rFonts w:ascii="Arial" w:hAnsi="Arial"/>
                <w:sz w:val="13"/>
              </w:rPr>
              <w:t>بلصة العرض Rrstcalm</w:t>
            </w:r>
          </w:p>
        </w:tc>
        <w:tc>
          <w:tcPr>
            <w:tcW w:type="dxa" w:w="3744"/>
            <w:vAlign w:val="center"/>
            <w:bidi/>
            <w:shd w:fill="F2F7F8"/>
          </w:tcPr>
          <w:p>
            <w:pPr>
              <w:spacing w:after="20" w:before="20"/>
              <w:jc w:val="right"/>
              <w:bidi/>
            </w:pPr>
            <w:r>
              <w:rPr>
                <w:rFonts w:ascii="Arial" w:hAnsi="Arial"/>
                <w:sz w:val="13"/>
              </w:rPr>
              <w:t>الكود 78 سم، والوصف 80 سم، والكمية تبدو متسقة مع قطعتين 80×17×10.</w:t>
            </w:r>
          </w:p>
        </w:tc>
        <w:tc>
          <w:tcPr>
            <w:tcW w:type="dxa" w:w="2880"/>
            <w:vAlign w:val="center"/>
            <w:bidi/>
            <w:shd w:fill="F2F7F8"/>
          </w:tcPr>
          <w:p>
            <w:pPr>
              <w:spacing w:after="20" w:before="20"/>
              <w:jc w:val="right"/>
              <w:bidi/>
            </w:pPr>
            <w:r>
              <w:rPr>
                <w:rFonts w:ascii="Arial" w:hAnsi="Arial"/>
                <w:sz w:val="13"/>
              </w:rPr>
              <w:t>تأكيد البعد الصحيح؛ لا تغيير تلقائي للمصدر.</w:t>
            </w:r>
          </w:p>
        </w:tc>
      </w:tr>
      <w:tr>
        <w:tc>
          <w:tcPr>
            <w:tcW w:type="dxa" w:w="792"/>
            <w:vAlign w:val="center"/>
            <w:bidi/>
          </w:tcPr>
          <w:p>
            <w:pPr>
              <w:spacing w:after="20" w:before="20"/>
              <w:jc w:val="right"/>
              <w:bidi/>
            </w:pPr>
            <w:r>
              <w:rPr>
                <w:rFonts w:ascii="Arial" w:hAnsi="Arial"/>
                <w:sz w:val="13"/>
              </w:rPr>
              <w:t>O-03</w:t>
            </w:r>
          </w:p>
        </w:tc>
        <w:tc>
          <w:tcPr>
            <w:tcW w:type="dxa" w:w="936"/>
            <w:vAlign w:val="center"/>
            <w:bidi/>
          </w:tcPr>
          <w:p>
            <w:pPr>
              <w:spacing w:after="20" w:before="20"/>
              <w:jc w:val="right"/>
              <w:bidi/>
            </w:pPr>
            <w:r>
              <w:rPr>
                <w:rFonts w:ascii="Arial" w:hAnsi="Arial"/>
                <w:sz w:val="13"/>
              </w:rPr>
              <w:t>عالٍ</w:t>
            </w:r>
          </w:p>
        </w:tc>
        <w:tc>
          <w:tcPr>
            <w:tcW w:type="dxa" w:w="1800"/>
            <w:vAlign w:val="center"/>
            <w:bidi/>
          </w:tcPr>
          <w:p>
            <w:pPr>
              <w:spacing w:after="20" w:before="20"/>
              <w:jc w:val="right"/>
              <w:bidi/>
            </w:pPr>
            <w:r>
              <w:rPr>
                <w:rFonts w:ascii="Arial" w:hAnsi="Arial"/>
                <w:sz w:val="13"/>
              </w:rPr>
              <w:t>تعليمات تقليب SH</w:t>
            </w:r>
          </w:p>
        </w:tc>
        <w:tc>
          <w:tcPr>
            <w:tcW w:type="dxa" w:w="3744"/>
            <w:vAlign w:val="center"/>
            <w:bidi/>
          </w:tcPr>
          <w:p>
            <w:pPr>
              <w:spacing w:after="20" w:before="20"/>
              <w:jc w:val="right"/>
              <w:bidi/>
            </w:pPr>
            <w:r>
              <w:rPr>
                <w:rFonts w:ascii="Arial" w:hAnsi="Arial"/>
                <w:sz w:val="13"/>
              </w:rPr>
              <w:t>3 أشهر في تعليمات الاستخدام وشهر واحد في الاستثناءات.</w:t>
            </w:r>
          </w:p>
        </w:tc>
        <w:tc>
          <w:tcPr>
            <w:tcW w:type="dxa" w:w="2880"/>
            <w:vAlign w:val="center"/>
            <w:bidi/>
          </w:tcPr>
          <w:p>
            <w:pPr>
              <w:spacing w:after="20" w:before="20"/>
              <w:jc w:val="right"/>
              <w:bidi/>
            </w:pPr>
            <w:r>
              <w:rPr>
                <w:rFonts w:ascii="Arial" w:hAnsi="Arial"/>
                <w:sz w:val="13"/>
              </w:rPr>
              <w:t>توحيد النص بموافقة المالك قبل النشر.</w:t>
            </w:r>
          </w:p>
        </w:tc>
      </w:tr>
      <w:tr>
        <w:tc>
          <w:tcPr>
            <w:tcW w:type="dxa" w:w="792"/>
            <w:vAlign w:val="center"/>
            <w:bidi/>
            <w:shd w:fill="F2F7F8"/>
          </w:tcPr>
          <w:p>
            <w:pPr>
              <w:spacing w:after="20" w:before="20"/>
              <w:jc w:val="right"/>
              <w:bidi/>
            </w:pPr>
            <w:r>
              <w:rPr>
                <w:rFonts w:ascii="Arial" w:hAnsi="Arial"/>
                <w:sz w:val="13"/>
              </w:rPr>
              <w:t>O-04</w:t>
            </w:r>
          </w:p>
        </w:tc>
        <w:tc>
          <w:tcPr>
            <w:tcW w:type="dxa" w:w="936"/>
            <w:vAlign w:val="center"/>
            <w:bidi/>
            <w:shd w:fill="F2F7F8"/>
          </w:tcPr>
          <w:p>
            <w:pPr>
              <w:spacing w:after="20" w:before="20"/>
              <w:jc w:val="right"/>
              <w:bidi/>
            </w:pPr>
            <w:r>
              <w:rPr>
                <w:rFonts w:ascii="Arial" w:hAnsi="Arial"/>
                <w:sz w:val="13"/>
              </w:rPr>
              <w:t>عالٍ</w:t>
            </w:r>
          </w:p>
        </w:tc>
        <w:tc>
          <w:tcPr>
            <w:tcW w:type="dxa" w:w="1800"/>
            <w:vAlign w:val="center"/>
            <w:bidi/>
            <w:shd w:fill="F2F7F8"/>
          </w:tcPr>
          <w:p>
            <w:pPr>
              <w:spacing w:after="20" w:before="20"/>
              <w:jc w:val="right"/>
              <w:bidi/>
            </w:pPr>
            <w:r>
              <w:rPr>
                <w:rFonts w:ascii="Arial" w:hAnsi="Arial"/>
                <w:sz w:val="13"/>
              </w:rPr>
              <w:t>Routing الميداني</w:t>
            </w:r>
          </w:p>
        </w:tc>
        <w:tc>
          <w:tcPr>
            <w:tcW w:type="dxa" w:w="3744"/>
            <w:vAlign w:val="center"/>
            <w:bidi/>
            <w:shd w:fill="F2F7F8"/>
          </w:tcPr>
          <w:p>
            <w:pPr>
              <w:spacing w:after="20" w:before="20"/>
              <w:jc w:val="right"/>
              <w:bidi/>
            </w:pPr>
            <w:r>
              <w:rPr>
                <w:rFonts w:ascii="Arial" w:hAnsi="Arial"/>
                <w:sz w:val="13"/>
              </w:rPr>
              <w:t>زمن إجمالي للموديل، دون توزيع موثق لكل قسم/ماكينة.</w:t>
            </w:r>
          </w:p>
        </w:tc>
        <w:tc>
          <w:tcPr>
            <w:tcW w:type="dxa" w:w="2880"/>
            <w:vAlign w:val="center"/>
            <w:bidi/>
            <w:shd w:fill="F2F7F8"/>
          </w:tcPr>
          <w:p>
            <w:pPr>
              <w:spacing w:after="20" w:before="20"/>
              <w:jc w:val="right"/>
              <w:bidi/>
            </w:pPr>
            <w:r>
              <w:rPr>
                <w:rFonts w:ascii="Arial" w:hAnsi="Arial"/>
                <w:sz w:val="13"/>
              </w:rPr>
              <w:t>قياس المسارات والأزمنة الفعلية؛ لا توزيع بالتخمين.</w:t>
            </w:r>
          </w:p>
        </w:tc>
      </w:tr>
      <w:tr>
        <w:tc>
          <w:tcPr>
            <w:tcW w:type="dxa" w:w="792"/>
            <w:vAlign w:val="center"/>
            <w:bidi/>
          </w:tcPr>
          <w:p>
            <w:pPr>
              <w:spacing w:after="20" w:before="20"/>
              <w:jc w:val="right"/>
              <w:bidi/>
            </w:pPr>
            <w:r>
              <w:rPr>
                <w:rFonts w:ascii="Arial" w:hAnsi="Arial"/>
                <w:sz w:val="13"/>
              </w:rPr>
              <w:t>O-05</w:t>
            </w:r>
          </w:p>
        </w:tc>
        <w:tc>
          <w:tcPr>
            <w:tcW w:type="dxa" w:w="936"/>
            <w:vAlign w:val="center"/>
            <w:bidi/>
          </w:tcPr>
          <w:p>
            <w:pPr>
              <w:spacing w:after="20" w:before="20"/>
              <w:jc w:val="right"/>
              <w:bidi/>
            </w:pPr>
            <w:r>
              <w:rPr>
                <w:rFonts w:ascii="Arial" w:hAnsi="Arial"/>
                <w:sz w:val="13"/>
              </w:rPr>
              <w:t>عالٍ</w:t>
            </w:r>
          </w:p>
        </w:tc>
        <w:tc>
          <w:tcPr>
            <w:tcW w:type="dxa" w:w="1800"/>
            <w:vAlign w:val="center"/>
            <w:bidi/>
          </w:tcPr>
          <w:p>
            <w:pPr>
              <w:spacing w:after="20" w:before="20"/>
              <w:jc w:val="right"/>
              <w:bidi/>
            </w:pPr>
            <w:r>
              <w:rPr>
                <w:rFonts w:ascii="Arial" w:hAnsi="Arial"/>
                <w:sz w:val="13"/>
              </w:rPr>
              <w:t>سياسة الاستبدال/التعويض</w:t>
            </w:r>
          </w:p>
        </w:tc>
        <w:tc>
          <w:tcPr>
            <w:tcW w:type="dxa" w:w="3744"/>
            <w:vAlign w:val="center"/>
            <w:bidi/>
          </w:tcPr>
          <w:p>
            <w:pPr>
              <w:spacing w:after="20" w:before="20"/>
              <w:jc w:val="right"/>
              <w:bidi/>
            </w:pPr>
            <w:r>
              <w:rPr>
                <w:rFonts w:ascii="Arial" w:hAnsi="Arial"/>
                <w:sz w:val="13"/>
              </w:rPr>
              <w:t>لا يوجد مستند كامل معتمد لجميع العلامات في الجولة الحالية.</w:t>
            </w:r>
          </w:p>
        </w:tc>
        <w:tc>
          <w:tcPr>
            <w:tcW w:type="dxa" w:w="2880"/>
            <w:vAlign w:val="center"/>
            <w:bidi/>
          </w:tcPr>
          <w:p>
            <w:pPr>
              <w:spacing w:after="20" w:before="20"/>
              <w:jc w:val="right"/>
              <w:bidi/>
            </w:pPr>
            <w:r>
              <w:rPr>
                <w:rFonts w:ascii="Arial" w:hAnsi="Arial"/>
                <w:sz w:val="13"/>
              </w:rPr>
              <w:t>مراجعة قانونية/سياسة شركة معتمدة قبل البرمجة.</w:t>
            </w:r>
          </w:p>
        </w:tc>
      </w:tr>
      <w:tr>
        <w:tc>
          <w:tcPr>
            <w:tcW w:type="dxa" w:w="792"/>
            <w:vAlign w:val="center"/>
            <w:bidi/>
            <w:shd w:fill="F2F7F8"/>
          </w:tcPr>
          <w:p>
            <w:pPr>
              <w:spacing w:after="20" w:before="20"/>
              <w:jc w:val="right"/>
              <w:bidi/>
            </w:pPr>
            <w:r>
              <w:rPr>
                <w:rFonts w:ascii="Arial" w:hAnsi="Arial"/>
                <w:sz w:val="13"/>
              </w:rPr>
              <w:t>O-06</w:t>
            </w:r>
          </w:p>
        </w:tc>
        <w:tc>
          <w:tcPr>
            <w:tcW w:type="dxa" w:w="936"/>
            <w:vAlign w:val="center"/>
            <w:bidi/>
            <w:shd w:fill="F2F7F8"/>
          </w:tcPr>
          <w:p>
            <w:pPr>
              <w:spacing w:after="20" w:before="20"/>
              <w:jc w:val="right"/>
              <w:bidi/>
            </w:pPr>
            <w:r>
              <w:rPr>
                <w:rFonts w:ascii="Arial" w:hAnsi="Arial"/>
                <w:sz w:val="13"/>
              </w:rPr>
              <w:t>عالٍ</w:t>
            </w:r>
          </w:p>
        </w:tc>
        <w:tc>
          <w:tcPr>
            <w:tcW w:type="dxa" w:w="1800"/>
            <w:vAlign w:val="center"/>
            <w:bidi/>
            <w:shd w:fill="F2F7F8"/>
          </w:tcPr>
          <w:p>
            <w:pPr>
              <w:spacing w:after="20" w:before="20"/>
              <w:jc w:val="right"/>
              <w:bidi/>
            </w:pPr>
            <w:r>
              <w:rPr>
                <w:rFonts w:ascii="Arial" w:hAnsi="Arial"/>
                <w:sz w:val="13"/>
              </w:rPr>
              <w:t>WhatsApp/البريد</w:t>
            </w:r>
          </w:p>
        </w:tc>
        <w:tc>
          <w:tcPr>
            <w:tcW w:type="dxa" w:w="3744"/>
            <w:vAlign w:val="center"/>
            <w:bidi/>
            <w:shd w:fill="F2F7F8"/>
          </w:tcPr>
          <w:p>
            <w:pPr>
              <w:spacing w:after="20" w:before="20"/>
              <w:jc w:val="right"/>
              <w:bidi/>
            </w:pPr>
            <w:r>
              <w:rPr>
                <w:rFonts w:ascii="Arial" w:hAnsi="Arial"/>
                <w:sz w:val="13"/>
              </w:rPr>
              <w:t>مزود الخدمة وإعداداته غير محددة.</w:t>
            </w:r>
          </w:p>
        </w:tc>
        <w:tc>
          <w:tcPr>
            <w:tcW w:type="dxa" w:w="2880"/>
            <w:vAlign w:val="center"/>
            <w:bidi/>
            <w:shd w:fill="F2F7F8"/>
          </w:tcPr>
          <w:p>
            <w:pPr>
              <w:spacing w:after="20" w:before="20"/>
              <w:jc w:val="right"/>
              <w:bidi/>
            </w:pPr>
            <w:r>
              <w:rPr>
                <w:rFonts w:ascii="Arial" w:hAnsi="Arial"/>
                <w:sz w:val="13"/>
              </w:rPr>
              <w:t>تحديد المزود والإعداد الآمن لاحقًا.</w:t>
            </w:r>
          </w:p>
        </w:tc>
      </w:tr>
      <w:tr>
        <w:tc>
          <w:tcPr>
            <w:tcW w:type="dxa" w:w="792"/>
            <w:vAlign w:val="center"/>
            <w:bidi/>
          </w:tcPr>
          <w:p>
            <w:pPr>
              <w:spacing w:after="20" w:before="20"/>
              <w:jc w:val="right"/>
              <w:bidi/>
            </w:pPr>
            <w:r>
              <w:rPr>
                <w:rFonts w:ascii="Arial" w:hAnsi="Arial"/>
                <w:sz w:val="13"/>
              </w:rPr>
              <w:t>O-07</w:t>
            </w:r>
          </w:p>
        </w:tc>
        <w:tc>
          <w:tcPr>
            <w:tcW w:type="dxa" w:w="936"/>
            <w:vAlign w:val="center"/>
            <w:bidi/>
          </w:tcPr>
          <w:p>
            <w:pPr>
              <w:spacing w:after="20" w:before="20"/>
              <w:jc w:val="right"/>
              <w:bidi/>
            </w:pPr>
            <w:r>
              <w:rPr>
                <w:rFonts w:ascii="Arial" w:hAnsi="Arial"/>
                <w:sz w:val="13"/>
              </w:rPr>
              <w:t>عالٍ</w:t>
            </w:r>
          </w:p>
        </w:tc>
        <w:tc>
          <w:tcPr>
            <w:tcW w:type="dxa" w:w="1800"/>
            <w:vAlign w:val="center"/>
            <w:bidi/>
          </w:tcPr>
          <w:p>
            <w:pPr>
              <w:spacing w:after="20" w:before="20"/>
              <w:jc w:val="right"/>
              <w:bidi/>
            </w:pPr>
            <w:r>
              <w:rPr>
                <w:rFonts w:ascii="Arial" w:hAnsi="Arial"/>
                <w:sz w:val="13"/>
              </w:rPr>
              <w:t>اختبار الطابعة</w:t>
            </w:r>
          </w:p>
        </w:tc>
        <w:tc>
          <w:tcPr>
            <w:tcW w:type="dxa" w:w="3744"/>
            <w:vAlign w:val="center"/>
            <w:bidi/>
          </w:tcPr>
          <w:p>
            <w:pPr>
              <w:spacing w:after="20" w:before="20"/>
              <w:jc w:val="right"/>
              <w:bidi/>
            </w:pPr>
            <w:r>
              <w:rPr>
                <w:rFonts w:ascii="Arial" w:hAnsi="Arial"/>
                <w:sz w:val="13"/>
              </w:rPr>
              <w:t>لم يتم إثبات اختبار مادي ناجح لـ Zebra ZD220/Browser Print.</w:t>
            </w:r>
          </w:p>
        </w:tc>
        <w:tc>
          <w:tcPr>
            <w:tcW w:type="dxa" w:w="2880"/>
            <w:vAlign w:val="center"/>
            <w:bidi/>
          </w:tcPr>
          <w:p>
            <w:pPr>
              <w:spacing w:after="20" w:before="20"/>
              <w:jc w:val="right"/>
              <w:bidi/>
            </w:pPr>
            <w:r>
              <w:rPr>
                <w:rFonts w:ascii="Arial" w:hAnsi="Arial"/>
                <w:sz w:val="13"/>
              </w:rPr>
              <w:t>اختبار الطباعة وقراءة QR/Barcode بعد اعتماد التصميم.</w:t>
            </w:r>
          </w:p>
        </w:tc>
      </w:tr>
      <w:tr>
        <w:tc>
          <w:tcPr>
            <w:tcW w:type="dxa" w:w="792"/>
            <w:vAlign w:val="center"/>
            <w:bidi/>
            <w:shd w:fill="F2F7F8"/>
          </w:tcPr>
          <w:p>
            <w:pPr>
              <w:spacing w:after="20" w:before="20"/>
              <w:jc w:val="right"/>
              <w:bidi/>
            </w:pPr>
            <w:r>
              <w:rPr>
                <w:rFonts w:ascii="Arial" w:hAnsi="Arial"/>
                <w:sz w:val="13"/>
              </w:rPr>
              <w:t>O-08</w:t>
            </w:r>
          </w:p>
        </w:tc>
        <w:tc>
          <w:tcPr>
            <w:tcW w:type="dxa" w:w="936"/>
            <w:vAlign w:val="center"/>
            <w:bidi/>
            <w:shd w:fill="F2F7F8"/>
          </w:tcPr>
          <w:p>
            <w:pPr>
              <w:spacing w:after="20" w:before="20"/>
              <w:jc w:val="right"/>
              <w:bidi/>
            </w:pPr>
            <w:r>
              <w:rPr>
                <w:rFonts w:ascii="Arial" w:hAnsi="Arial"/>
                <w:sz w:val="13"/>
              </w:rPr>
              <w:t>متوسط</w:t>
            </w:r>
          </w:p>
        </w:tc>
        <w:tc>
          <w:tcPr>
            <w:tcW w:type="dxa" w:w="1800"/>
            <w:vAlign w:val="center"/>
            <w:bidi/>
            <w:shd w:fill="F2F7F8"/>
          </w:tcPr>
          <w:p>
            <w:pPr>
              <w:spacing w:after="20" w:before="20"/>
              <w:jc w:val="right"/>
              <w:bidi/>
            </w:pPr>
            <w:r>
              <w:rPr>
                <w:rFonts w:ascii="Arial" w:hAnsi="Arial"/>
                <w:sz w:val="13"/>
              </w:rPr>
              <w:t>قاموس تكويد المواد</w:t>
            </w:r>
          </w:p>
        </w:tc>
        <w:tc>
          <w:tcPr>
            <w:tcW w:type="dxa" w:w="3744"/>
            <w:vAlign w:val="center"/>
            <w:bidi/>
            <w:shd w:fill="F2F7F8"/>
          </w:tcPr>
          <w:p>
            <w:pPr>
              <w:spacing w:after="20" w:before="20"/>
              <w:jc w:val="right"/>
              <w:bidi/>
            </w:pPr>
            <w:r>
              <w:rPr>
                <w:rFonts w:ascii="Arial" w:hAnsi="Arial"/>
                <w:sz w:val="13"/>
              </w:rPr>
              <w:t>تفسير 1/2/3 مبدئي وليس قاموسًا رسميًا.</w:t>
            </w:r>
          </w:p>
        </w:tc>
        <w:tc>
          <w:tcPr>
            <w:tcW w:type="dxa" w:w="2880"/>
            <w:vAlign w:val="center"/>
            <w:bidi/>
            <w:shd w:fill="F2F7F8"/>
          </w:tcPr>
          <w:p>
            <w:pPr>
              <w:spacing w:after="20" w:before="20"/>
              <w:jc w:val="right"/>
              <w:bidi/>
            </w:pPr>
            <w:r>
              <w:rPr>
                <w:rFonts w:ascii="Arial" w:hAnsi="Arial"/>
                <w:sz w:val="13"/>
              </w:rPr>
              <w:t>تأكيد القاموس؛ الإبقاء على الكود المصدر حتى ذلك الوقت.</w:t>
            </w:r>
          </w:p>
        </w:tc>
      </w:tr>
      <w:tr>
        <w:tc>
          <w:tcPr>
            <w:tcW w:type="dxa" w:w="792"/>
            <w:vAlign w:val="center"/>
            <w:bidi/>
          </w:tcPr>
          <w:p>
            <w:pPr>
              <w:spacing w:after="20" w:before="20"/>
              <w:jc w:val="right"/>
              <w:bidi/>
            </w:pPr>
            <w:r>
              <w:rPr>
                <w:rFonts w:ascii="Arial" w:hAnsi="Arial"/>
                <w:sz w:val="13"/>
              </w:rPr>
              <w:t>O-09</w:t>
            </w:r>
          </w:p>
        </w:tc>
        <w:tc>
          <w:tcPr>
            <w:tcW w:type="dxa" w:w="936"/>
            <w:vAlign w:val="center"/>
            <w:bidi/>
          </w:tcPr>
          <w:p>
            <w:pPr>
              <w:spacing w:after="20" w:before="20"/>
              <w:jc w:val="right"/>
              <w:bidi/>
            </w:pPr>
            <w:r>
              <w:rPr>
                <w:rFonts w:ascii="Arial" w:hAnsi="Arial"/>
                <w:sz w:val="13"/>
              </w:rPr>
              <w:t>متوسط</w:t>
            </w:r>
          </w:p>
        </w:tc>
        <w:tc>
          <w:tcPr>
            <w:tcW w:type="dxa" w:w="1800"/>
            <w:vAlign w:val="center"/>
            <w:bidi/>
          </w:tcPr>
          <w:p>
            <w:pPr>
              <w:spacing w:after="20" w:before="20"/>
              <w:jc w:val="right"/>
              <w:bidi/>
            </w:pPr>
            <w:r>
              <w:rPr>
                <w:rFonts w:ascii="Arial" w:hAnsi="Arial"/>
                <w:sz w:val="13"/>
              </w:rPr>
              <w:t>أسماء/أكواد المواد</w:t>
            </w:r>
          </w:p>
        </w:tc>
        <w:tc>
          <w:tcPr>
            <w:tcW w:type="dxa" w:w="3744"/>
            <w:vAlign w:val="center"/>
            <w:bidi/>
          </w:tcPr>
          <w:p>
            <w:pPr>
              <w:spacing w:after="20" w:before="20"/>
              <w:jc w:val="right"/>
              <w:bidi/>
            </w:pPr>
            <w:r>
              <w:rPr>
                <w:rFonts w:ascii="Arial" w:hAnsi="Arial"/>
                <w:sz w:val="13"/>
              </w:rPr>
              <w:t>قد توجد اختلافات بين وصف وكود واسم موديل عبر المصادر.</w:t>
            </w:r>
          </w:p>
        </w:tc>
        <w:tc>
          <w:tcPr>
            <w:tcW w:type="dxa" w:w="2880"/>
            <w:vAlign w:val="center"/>
            <w:bidi/>
          </w:tcPr>
          <w:p>
            <w:pPr>
              <w:spacing w:after="20" w:before="20"/>
              <w:jc w:val="right"/>
              <w:bidi/>
            </w:pPr>
            <w:r>
              <w:rPr>
                <w:rFonts w:ascii="Arial" w:hAnsi="Arial"/>
                <w:sz w:val="13"/>
              </w:rPr>
              <w:t>مراجعة mapping والتكرارات قبل أي import/إعادة تكويد.</w:t>
            </w:r>
          </w:p>
        </w:tc>
      </w:tr>
      <w:tr>
        <w:tc>
          <w:tcPr>
            <w:tcW w:type="dxa" w:w="792"/>
            <w:vAlign w:val="center"/>
            <w:bidi/>
            <w:shd w:fill="F2F7F8"/>
          </w:tcPr>
          <w:p>
            <w:pPr>
              <w:spacing w:after="20" w:before="20"/>
              <w:jc w:val="right"/>
              <w:bidi/>
            </w:pPr>
            <w:r>
              <w:rPr>
                <w:rFonts w:ascii="Arial" w:hAnsi="Arial"/>
                <w:sz w:val="13"/>
              </w:rPr>
              <w:t>O-10</w:t>
            </w:r>
          </w:p>
        </w:tc>
        <w:tc>
          <w:tcPr>
            <w:tcW w:type="dxa" w:w="936"/>
            <w:vAlign w:val="center"/>
            <w:bidi/>
            <w:shd w:fill="F2F7F8"/>
          </w:tcPr>
          <w:p>
            <w:pPr>
              <w:spacing w:after="20" w:before="20"/>
              <w:jc w:val="right"/>
              <w:bidi/>
            </w:pPr>
            <w:r>
              <w:rPr>
                <w:rFonts w:ascii="Arial" w:hAnsi="Arial"/>
                <w:sz w:val="13"/>
              </w:rPr>
              <w:t>متوسط</w:t>
            </w:r>
          </w:p>
        </w:tc>
        <w:tc>
          <w:tcPr>
            <w:tcW w:type="dxa" w:w="1800"/>
            <w:vAlign w:val="center"/>
            <w:bidi/>
            <w:shd w:fill="F2F7F8"/>
          </w:tcPr>
          <w:p>
            <w:pPr>
              <w:spacing w:after="20" w:before="20"/>
              <w:jc w:val="right"/>
              <w:bidi/>
            </w:pPr>
            <w:r>
              <w:rPr>
                <w:rFonts w:ascii="Arial" w:hAnsi="Arial"/>
                <w:sz w:val="13"/>
              </w:rPr>
              <w:t>حالات الرقم المسلسل الجديدة</w:t>
            </w:r>
          </w:p>
        </w:tc>
        <w:tc>
          <w:tcPr>
            <w:tcW w:type="dxa" w:w="3744"/>
            <w:vAlign w:val="center"/>
            <w:bidi/>
            <w:shd w:fill="F2F7F8"/>
          </w:tcPr>
          <w:p>
            <w:pPr>
              <w:spacing w:after="20" w:before="20"/>
              <w:jc w:val="right"/>
              <w:bidi/>
            </w:pPr>
            <w:r>
              <w:rPr>
                <w:rFonts w:ascii="Arial" w:hAnsi="Arial"/>
                <w:sz w:val="13"/>
              </w:rPr>
              <w:t>لم يحسم status مقابل event لـ Lost/Destroyed/Cancelled/Returned/Transferred.</w:t>
            </w:r>
          </w:p>
        </w:tc>
        <w:tc>
          <w:tcPr>
            <w:tcW w:type="dxa" w:w="2880"/>
            <w:vAlign w:val="center"/>
            <w:bidi/>
            <w:shd w:fill="F2F7F8"/>
          </w:tcPr>
          <w:p>
            <w:pPr>
              <w:spacing w:after="20" w:before="20"/>
              <w:jc w:val="right"/>
              <w:bidi/>
            </w:pPr>
            <w:r>
              <w:rPr>
                <w:rFonts w:ascii="Arial" w:hAnsi="Arial"/>
                <w:sz w:val="13"/>
              </w:rPr>
              <w:t>اعتماد انتقالات الحالة والأحداث وآثار التدقيق.</w:t>
            </w:r>
          </w:p>
        </w:tc>
      </w:tr>
      <w:tr>
        <w:tc>
          <w:tcPr>
            <w:tcW w:type="dxa" w:w="792"/>
            <w:vAlign w:val="center"/>
            <w:bidi/>
          </w:tcPr>
          <w:p>
            <w:pPr>
              <w:spacing w:after="20" w:before="20"/>
              <w:jc w:val="right"/>
              <w:bidi/>
            </w:pPr>
            <w:r>
              <w:rPr>
                <w:rFonts w:ascii="Arial" w:hAnsi="Arial"/>
                <w:sz w:val="13"/>
              </w:rPr>
              <w:t>O-11</w:t>
            </w:r>
          </w:p>
        </w:tc>
        <w:tc>
          <w:tcPr>
            <w:tcW w:type="dxa" w:w="936"/>
            <w:vAlign w:val="center"/>
            <w:bidi/>
          </w:tcPr>
          <w:p>
            <w:pPr>
              <w:spacing w:after="20" w:before="20"/>
              <w:jc w:val="right"/>
              <w:bidi/>
            </w:pPr>
            <w:r>
              <w:rPr>
                <w:rFonts w:ascii="Arial" w:hAnsi="Arial"/>
                <w:sz w:val="13"/>
              </w:rPr>
              <w:t>متوسط</w:t>
            </w:r>
          </w:p>
        </w:tc>
        <w:tc>
          <w:tcPr>
            <w:tcW w:type="dxa" w:w="1800"/>
            <w:vAlign w:val="center"/>
            <w:bidi/>
          </w:tcPr>
          <w:p>
            <w:pPr>
              <w:spacing w:after="20" w:before="20"/>
              <w:jc w:val="right"/>
              <w:bidi/>
            </w:pPr>
            <w:r>
              <w:rPr>
                <w:rFonts w:ascii="Arial" w:hAnsi="Arial"/>
                <w:sz w:val="13"/>
              </w:rPr>
              <w:t>Workflow خدمة العملاء</w:t>
            </w:r>
          </w:p>
        </w:tc>
        <w:tc>
          <w:tcPr>
            <w:tcW w:type="dxa" w:w="3744"/>
            <w:vAlign w:val="center"/>
            <w:bidi/>
          </w:tcPr>
          <w:p>
            <w:pPr>
              <w:spacing w:after="20" w:before="20"/>
              <w:jc w:val="right"/>
              <w:bidi/>
            </w:pPr>
            <w:r>
              <w:rPr>
                <w:rFonts w:ascii="Arial" w:hAnsi="Arial"/>
                <w:sz w:val="13"/>
              </w:rPr>
              <w:t>الدورة المقترحة لم تعتمد نهائيًا.</w:t>
            </w:r>
          </w:p>
        </w:tc>
        <w:tc>
          <w:tcPr>
            <w:tcW w:type="dxa" w:w="2880"/>
            <w:vAlign w:val="center"/>
            <w:bidi/>
          </w:tcPr>
          <w:p>
            <w:pPr>
              <w:spacing w:after="20" w:before="20"/>
              <w:jc w:val="right"/>
              <w:bidi/>
            </w:pPr>
            <w:r>
              <w:rPr>
                <w:rFonts w:ascii="Arial" w:hAnsi="Arial"/>
                <w:sz w:val="13"/>
              </w:rPr>
              <w:t>اعتماد الحالات والانتقالات ومتطلبات الإغلاق.</w:t>
            </w:r>
          </w:p>
        </w:tc>
      </w:tr>
      <w:tr>
        <w:tc>
          <w:tcPr>
            <w:tcW w:type="dxa" w:w="792"/>
            <w:vAlign w:val="center"/>
            <w:bidi/>
            <w:shd w:fill="F2F7F8"/>
          </w:tcPr>
          <w:p>
            <w:pPr>
              <w:spacing w:after="20" w:before="20"/>
              <w:jc w:val="right"/>
              <w:bidi/>
            </w:pPr>
            <w:r>
              <w:rPr>
                <w:rFonts w:ascii="Arial" w:hAnsi="Arial"/>
                <w:sz w:val="13"/>
              </w:rPr>
              <w:t>O-12</w:t>
            </w:r>
          </w:p>
        </w:tc>
        <w:tc>
          <w:tcPr>
            <w:tcW w:type="dxa" w:w="936"/>
            <w:vAlign w:val="center"/>
            <w:bidi/>
            <w:shd w:fill="F2F7F8"/>
          </w:tcPr>
          <w:p>
            <w:pPr>
              <w:spacing w:after="20" w:before="20"/>
              <w:jc w:val="right"/>
              <w:bidi/>
            </w:pPr>
            <w:r>
              <w:rPr>
                <w:rFonts w:ascii="Arial" w:hAnsi="Arial"/>
                <w:sz w:val="13"/>
              </w:rPr>
              <w:t>متوسط</w:t>
            </w:r>
          </w:p>
        </w:tc>
        <w:tc>
          <w:tcPr>
            <w:tcW w:type="dxa" w:w="1800"/>
            <w:vAlign w:val="center"/>
            <w:bidi/>
            <w:shd w:fill="F2F7F8"/>
          </w:tcPr>
          <w:p>
            <w:pPr>
              <w:spacing w:after="20" w:before="20"/>
              <w:jc w:val="right"/>
              <w:bidi/>
            </w:pPr>
            <w:r>
              <w:rPr>
                <w:rFonts w:ascii="Arial" w:hAnsi="Arial"/>
                <w:sz w:val="13"/>
              </w:rPr>
              <w:t>تصميم الملصق والنص</w:t>
            </w:r>
          </w:p>
        </w:tc>
        <w:tc>
          <w:tcPr>
            <w:tcW w:type="dxa" w:w="3744"/>
            <w:vAlign w:val="center"/>
            <w:bidi/>
            <w:shd w:fill="F2F7F8"/>
          </w:tcPr>
          <w:p>
            <w:pPr>
              <w:spacing w:after="20" w:before="20"/>
              <w:jc w:val="right"/>
              <w:bidi/>
            </w:pPr>
            <w:r>
              <w:rPr>
                <w:rFonts w:ascii="Arial" w:hAnsi="Arial"/>
                <w:sz w:val="13"/>
              </w:rPr>
              <w:t>لا تصميم أو صياغة قانونية نهائية معتمدة.</w:t>
            </w:r>
          </w:p>
        </w:tc>
        <w:tc>
          <w:tcPr>
            <w:tcW w:type="dxa" w:w="2880"/>
            <w:vAlign w:val="center"/>
            <w:bidi/>
            <w:shd w:fill="F2F7F8"/>
          </w:tcPr>
          <w:p>
            <w:pPr>
              <w:spacing w:after="20" w:before="20"/>
              <w:jc w:val="right"/>
              <w:bidi/>
            </w:pPr>
            <w:r>
              <w:rPr>
                <w:rFonts w:ascii="Arial" w:hAnsi="Arial"/>
                <w:sz w:val="13"/>
              </w:rPr>
              <w:t>عرض تصميم ومحتوى ثم اعتماد قبل الطباعة.</w:t>
            </w:r>
          </w:p>
        </w:tc>
      </w:tr>
      <w:tr>
        <w:tc>
          <w:tcPr>
            <w:tcW w:type="dxa" w:w="792"/>
            <w:vAlign w:val="center"/>
            <w:bidi/>
          </w:tcPr>
          <w:p>
            <w:pPr>
              <w:spacing w:after="20" w:before="20"/>
              <w:jc w:val="right"/>
              <w:bidi/>
            </w:pPr>
            <w:r>
              <w:rPr>
                <w:rFonts w:ascii="Arial" w:hAnsi="Arial"/>
                <w:sz w:val="13"/>
              </w:rPr>
              <w:t>O-13</w:t>
            </w:r>
          </w:p>
        </w:tc>
        <w:tc>
          <w:tcPr>
            <w:tcW w:type="dxa" w:w="936"/>
            <w:vAlign w:val="center"/>
            <w:bidi/>
          </w:tcPr>
          <w:p>
            <w:pPr>
              <w:spacing w:after="20" w:before="20"/>
              <w:jc w:val="right"/>
              <w:bidi/>
            </w:pPr>
            <w:r>
              <w:rPr>
                <w:rFonts w:ascii="Arial" w:hAnsi="Arial"/>
                <w:sz w:val="13"/>
              </w:rPr>
              <w:t>حرج</w:t>
            </w:r>
          </w:p>
        </w:tc>
        <w:tc>
          <w:tcPr>
            <w:tcW w:type="dxa" w:w="1800"/>
            <w:vAlign w:val="center"/>
            <w:bidi/>
          </w:tcPr>
          <w:p>
            <w:pPr>
              <w:spacing w:after="20" w:before="20"/>
              <w:jc w:val="right"/>
              <w:bidi/>
            </w:pPr>
            <w:r>
              <w:rPr>
                <w:rFonts w:ascii="Arial" w:hAnsi="Arial"/>
                <w:sz w:val="13"/>
              </w:rPr>
              <w:t>البناء ووثائق النشر</w:t>
            </w:r>
          </w:p>
        </w:tc>
        <w:tc>
          <w:tcPr>
            <w:tcW w:type="dxa" w:w="3744"/>
            <w:vAlign w:val="center"/>
            <w:bidi/>
          </w:tcPr>
          <w:p>
            <w:pPr>
              <w:spacing w:after="20" w:before="20"/>
              <w:jc w:val="right"/>
              <w:bidi/>
            </w:pPr>
            <w:r>
              <w:rPr>
                <w:rFonts w:ascii="Arial" w:hAnsi="Arial"/>
                <w:sz w:val="13"/>
              </w:rPr>
              <w:t>لا lockfile في ZIP 10–18؛ build/lint غير متحققين؛ تناقض بخصوص schema.sql.</w:t>
            </w:r>
          </w:p>
        </w:tc>
        <w:tc>
          <w:tcPr>
            <w:tcW w:type="dxa" w:w="2880"/>
            <w:vAlign w:val="center"/>
            <w:bidi/>
          </w:tcPr>
          <w:p>
            <w:pPr>
              <w:spacing w:after="20" w:before="20"/>
              <w:jc w:val="right"/>
              <w:bidi/>
            </w:pPr>
            <w:r>
              <w:rPr>
                <w:rFonts w:ascii="Arial" w:hAnsi="Arial"/>
                <w:sz w:val="13"/>
              </w:rPr>
              <w:t>اختيار baseline وتوحيد الوثائق وتثبيت التبعيات وتشغيل build.</w:t>
            </w:r>
          </w:p>
        </w:tc>
      </w:tr>
      <w:tr>
        <w:tc>
          <w:tcPr>
            <w:tcW w:type="dxa" w:w="792"/>
            <w:vAlign w:val="center"/>
            <w:bidi/>
            <w:shd w:fill="F2F7F8"/>
          </w:tcPr>
          <w:p>
            <w:pPr>
              <w:spacing w:after="20" w:before="20"/>
              <w:jc w:val="right"/>
              <w:bidi/>
            </w:pPr>
            <w:r>
              <w:rPr>
                <w:rFonts w:ascii="Arial" w:hAnsi="Arial"/>
                <w:sz w:val="13"/>
              </w:rPr>
              <w:t>O-14</w:t>
            </w:r>
          </w:p>
        </w:tc>
        <w:tc>
          <w:tcPr>
            <w:tcW w:type="dxa" w:w="936"/>
            <w:vAlign w:val="center"/>
            <w:bidi/>
            <w:shd w:fill="F2F7F8"/>
          </w:tcPr>
          <w:p>
            <w:pPr>
              <w:spacing w:after="20" w:before="20"/>
              <w:jc w:val="right"/>
              <w:bidi/>
            </w:pPr>
            <w:r>
              <w:rPr>
                <w:rFonts w:ascii="Arial" w:hAnsi="Arial"/>
                <w:sz w:val="13"/>
              </w:rPr>
              <w:t>متوسط</w:t>
            </w:r>
          </w:p>
        </w:tc>
        <w:tc>
          <w:tcPr>
            <w:tcW w:type="dxa" w:w="1800"/>
            <w:vAlign w:val="center"/>
            <w:bidi/>
            <w:shd w:fill="F2F7F8"/>
          </w:tcPr>
          <w:p>
            <w:pPr>
              <w:spacing w:after="20" w:before="20"/>
              <w:jc w:val="right"/>
              <w:bidi/>
            </w:pPr>
            <w:r>
              <w:rPr>
                <w:rFonts w:ascii="Arial" w:hAnsi="Arial"/>
                <w:sz w:val="13"/>
              </w:rPr>
              <w:t>واجهة التحقق العامة</w:t>
            </w:r>
          </w:p>
        </w:tc>
        <w:tc>
          <w:tcPr>
            <w:tcW w:type="dxa" w:w="3744"/>
            <w:vAlign w:val="center"/>
            <w:bidi/>
            <w:shd w:fill="F2F7F8"/>
          </w:tcPr>
          <w:p>
            <w:pPr>
              <w:spacing w:after="20" w:before="20"/>
              <w:jc w:val="right"/>
              <w:bidi/>
            </w:pPr>
            <w:r>
              <w:rPr>
                <w:rFonts w:ascii="Arial" w:hAnsi="Arial"/>
                <w:sz w:val="13"/>
              </w:rPr>
              <w:t>تاريخ الفاتورة يظهر تحت عنوان رقم الفاتورة.</w:t>
            </w:r>
          </w:p>
        </w:tc>
        <w:tc>
          <w:tcPr>
            <w:tcW w:type="dxa" w:w="2880"/>
            <w:vAlign w:val="center"/>
            <w:bidi/>
            <w:shd w:fill="F2F7F8"/>
          </w:tcPr>
          <w:p>
            <w:pPr>
              <w:spacing w:after="20" w:before="20"/>
              <w:jc w:val="right"/>
              <w:bidi/>
            </w:pPr>
            <w:r>
              <w:rPr>
                <w:rFonts w:ascii="Arial" w:hAnsi="Arial"/>
                <w:sz w:val="13"/>
              </w:rPr>
              <w:t>تصحيح التسمية/الربط ضمن تعديل معتمد.</w:t>
            </w:r>
          </w:p>
        </w:tc>
      </w:tr>
      <w:tr>
        <w:tc>
          <w:tcPr>
            <w:tcW w:type="dxa" w:w="792"/>
            <w:vAlign w:val="center"/>
            <w:bidi/>
          </w:tcPr>
          <w:p>
            <w:pPr>
              <w:spacing w:after="20" w:before="20"/>
              <w:jc w:val="right"/>
              <w:bidi/>
            </w:pPr>
            <w:r>
              <w:rPr>
                <w:rFonts w:ascii="Arial" w:hAnsi="Arial"/>
                <w:sz w:val="13"/>
              </w:rPr>
              <w:t>O-15</w:t>
            </w:r>
          </w:p>
        </w:tc>
        <w:tc>
          <w:tcPr>
            <w:tcW w:type="dxa" w:w="936"/>
            <w:vAlign w:val="center"/>
            <w:bidi/>
          </w:tcPr>
          <w:p>
            <w:pPr>
              <w:spacing w:after="20" w:before="20"/>
              <w:jc w:val="right"/>
              <w:bidi/>
            </w:pPr>
            <w:r>
              <w:rPr>
                <w:rFonts w:ascii="Arial" w:hAnsi="Arial"/>
                <w:sz w:val="13"/>
              </w:rPr>
              <w:t>متوسط</w:t>
            </w:r>
          </w:p>
        </w:tc>
        <w:tc>
          <w:tcPr>
            <w:tcW w:type="dxa" w:w="1800"/>
            <w:vAlign w:val="center"/>
            <w:bidi/>
          </w:tcPr>
          <w:p>
            <w:pPr>
              <w:spacing w:after="20" w:before="20"/>
              <w:jc w:val="right"/>
              <w:bidi/>
            </w:pPr>
            <w:r>
              <w:rPr>
                <w:rFonts w:ascii="Arial" w:hAnsi="Arial"/>
                <w:sz w:val="13"/>
              </w:rPr>
              <w:t>تبعيات زائدة محتملة</w:t>
            </w:r>
          </w:p>
        </w:tc>
        <w:tc>
          <w:tcPr>
            <w:tcW w:type="dxa" w:w="3744"/>
            <w:vAlign w:val="center"/>
            <w:bidi/>
          </w:tcPr>
          <w:p>
            <w:pPr>
              <w:spacing w:after="20" w:before="20"/>
              <w:jc w:val="right"/>
              <w:bidi/>
            </w:pPr>
            <w:r>
              <w:rPr>
                <w:rFonts w:ascii="Arial" w:hAnsi="Arial"/>
                <w:sz w:val="13"/>
              </w:rPr>
              <w:t>GenAI/Express/GEMINI_API_KEY بلا imports مصدر ظاهرة في المسح.</w:t>
            </w:r>
          </w:p>
        </w:tc>
        <w:tc>
          <w:tcPr>
            <w:tcW w:type="dxa" w:w="2880"/>
            <w:vAlign w:val="center"/>
            <w:bidi/>
          </w:tcPr>
          <w:p>
            <w:pPr>
              <w:spacing w:after="20" w:before="20"/>
              <w:jc w:val="right"/>
              <w:bidi/>
            </w:pPr>
            <w:r>
              <w:rPr>
                <w:rFonts w:ascii="Arial" w:hAnsi="Arial"/>
                <w:sz w:val="13"/>
              </w:rPr>
              <w:t>تحقق وإزالة فقط ضمن cleanup معتمد.</w:t>
            </w:r>
          </w:p>
        </w:tc>
      </w:tr>
      <w:tr>
        <w:tc>
          <w:tcPr>
            <w:tcW w:type="dxa" w:w="792"/>
            <w:vAlign w:val="center"/>
            <w:bidi/>
            <w:shd w:fill="F2F7F8"/>
          </w:tcPr>
          <w:p>
            <w:pPr>
              <w:spacing w:after="20" w:before="20"/>
              <w:jc w:val="right"/>
              <w:bidi/>
            </w:pPr>
            <w:r>
              <w:rPr>
                <w:rFonts w:ascii="Arial" w:hAnsi="Arial"/>
                <w:sz w:val="13"/>
              </w:rPr>
              <w:t>O-16</w:t>
            </w:r>
          </w:p>
        </w:tc>
        <w:tc>
          <w:tcPr>
            <w:tcW w:type="dxa" w:w="936"/>
            <w:vAlign w:val="center"/>
            <w:bidi/>
            <w:shd w:fill="F2F7F8"/>
          </w:tcPr>
          <w:p>
            <w:pPr>
              <w:spacing w:after="20" w:before="20"/>
              <w:jc w:val="right"/>
              <w:bidi/>
            </w:pPr>
            <w:r>
              <w:rPr>
                <w:rFonts w:ascii="Arial" w:hAnsi="Arial"/>
                <w:sz w:val="13"/>
              </w:rPr>
              <w:t>متوسط</w:t>
            </w:r>
          </w:p>
        </w:tc>
        <w:tc>
          <w:tcPr>
            <w:tcW w:type="dxa" w:w="1800"/>
            <w:vAlign w:val="center"/>
            <w:bidi/>
            <w:shd w:fill="F2F7F8"/>
          </w:tcPr>
          <w:p>
            <w:pPr>
              <w:spacing w:after="20" w:before="20"/>
              <w:jc w:val="right"/>
              <w:bidi/>
            </w:pPr>
            <w:r>
              <w:rPr>
                <w:rFonts w:ascii="Arial" w:hAnsi="Arial"/>
                <w:sz w:val="13"/>
              </w:rPr>
              <w:t>Phase 19</w:t>
            </w:r>
          </w:p>
        </w:tc>
        <w:tc>
          <w:tcPr>
            <w:tcW w:type="dxa" w:w="3744"/>
            <w:vAlign w:val="center"/>
            <w:bidi/>
            <w:shd w:fill="F2F7F8"/>
          </w:tcPr>
          <w:p>
            <w:pPr>
              <w:spacing w:after="20" w:before="20"/>
              <w:jc w:val="right"/>
              <w:bidi/>
            </w:pPr>
            <w:r>
              <w:rPr>
                <w:rFonts w:ascii="Arial" w:hAnsi="Arial"/>
                <w:sz w:val="13"/>
              </w:rPr>
              <w:t>ZIP المرفق يغطي 10–18 وليس 10–19.</w:t>
            </w:r>
          </w:p>
        </w:tc>
        <w:tc>
          <w:tcPr>
            <w:tcW w:type="dxa" w:w="2880"/>
            <w:vAlign w:val="center"/>
            <w:bidi/>
            <w:shd w:fill="F2F7F8"/>
          </w:tcPr>
          <w:p>
            <w:pPr>
              <w:spacing w:after="20" w:before="20"/>
              <w:jc w:val="right"/>
              <w:bidi/>
            </w:pPr>
            <w:r>
              <w:rPr>
                <w:rFonts w:ascii="Arial" w:hAnsi="Arial"/>
                <w:sz w:val="13"/>
              </w:rPr>
              <w:t>تحديد نطاق Phase 19 وعدم وصف الحزمة خطأً.</w:t>
            </w:r>
          </w:p>
        </w:tc>
      </w:tr>
      <w:tr>
        <w:tc>
          <w:tcPr>
            <w:tcW w:type="dxa" w:w="792"/>
            <w:vAlign w:val="center"/>
            <w:bidi/>
          </w:tcPr>
          <w:p>
            <w:pPr>
              <w:spacing w:after="20" w:before="20"/>
              <w:jc w:val="right"/>
              <w:bidi/>
            </w:pPr>
            <w:r>
              <w:rPr>
                <w:rFonts w:ascii="Arial" w:hAnsi="Arial"/>
                <w:sz w:val="13"/>
              </w:rPr>
              <w:t>O-17</w:t>
            </w:r>
          </w:p>
        </w:tc>
        <w:tc>
          <w:tcPr>
            <w:tcW w:type="dxa" w:w="936"/>
            <w:vAlign w:val="center"/>
            <w:bidi/>
          </w:tcPr>
          <w:p>
            <w:pPr>
              <w:spacing w:after="20" w:before="20"/>
              <w:jc w:val="right"/>
              <w:bidi/>
            </w:pPr>
            <w:r>
              <w:rPr>
                <w:rFonts w:ascii="Arial" w:hAnsi="Arial"/>
                <w:sz w:val="13"/>
              </w:rPr>
              <w:t>حرج</w:t>
            </w:r>
          </w:p>
        </w:tc>
        <w:tc>
          <w:tcPr>
            <w:tcW w:type="dxa" w:w="1800"/>
            <w:vAlign w:val="center"/>
            <w:bidi/>
          </w:tcPr>
          <w:p>
            <w:pPr>
              <w:spacing w:after="20" w:before="20"/>
              <w:jc w:val="right"/>
              <w:bidi/>
            </w:pPr>
            <w:r>
              <w:rPr>
                <w:rFonts w:ascii="Arial" w:hAnsi="Arial"/>
                <w:sz w:val="13"/>
              </w:rPr>
              <w:t>مخطط Supabase الحي</w:t>
            </w:r>
          </w:p>
        </w:tc>
        <w:tc>
          <w:tcPr>
            <w:tcW w:type="dxa" w:w="3744"/>
            <w:vAlign w:val="center"/>
            <w:bidi/>
          </w:tcPr>
          <w:p>
            <w:pPr>
              <w:spacing w:after="20" w:before="20"/>
              <w:jc w:val="right"/>
              <w:bidi/>
            </w:pPr>
            <w:r>
              <w:rPr>
                <w:rFonts w:ascii="Arial" w:hAnsi="Arial"/>
                <w:sz w:val="13"/>
              </w:rPr>
              <w:t>لم تُراجع قاعدة Supabase/Auth/RLS/RPC/Storage/Realtime على البيئة الحية.</w:t>
            </w:r>
          </w:p>
        </w:tc>
        <w:tc>
          <w:tcPr>
            <w:tcW w:type="dxa" w:w="2880"/>
            <w:vAlign w:val="center"/>
            <w:bidi/>
          </w:tcPr>
          <w:p>
            <w:pPr>
              <w:spacing w:after="20" w:before="20"/>
              <w:jc w:val="right"/>
              <w:bidi/>
            </w:pPr>
            <w:r>
              <w:rPr>
                <w:rFonts w:ascii="Arial" w:hAnsi="Arial"/>
                <w:sz w:val="13"/>
              </w:rPr>
              <w:t>فحص حي ونسخة احتياطية قبل أي migration.</w:t>
            </w:r>
          </w:p>
        </w:tc>
      </w:tr>
      <w:tr>
        <w:tc>
          <w:tcPr>
            <w:tcW w:type="dxa" w:w="792"/>
            <w:vAlign w:val="center"/>
            <w:bidi/>
            <w:shd w:fill="F2F7F8"/>
          </w:tcPr>
          <w:p>
            <w:pPr>
              <w:spacing w:after="20" w:before="20"/>
              <w:jc w:val="right"/>
              <w:bidi/>
            </w:pPr>
            <w:r>
              <w:rPr>
                <w:rFonts w:ascii="Arial" w:hAnsi="Arial"/>
                <w:sz w:val="13"/>
              </w:rPr>
              <w:t>O-18</w:t>
            </w:r>
          </w:p>
        </w:tc>
        <w:tc>
          <w:tcPr>
            <w:tcW w:type="dxa" w:w="936"/>
            <w:vAlign w:val="center"/>
            <w:bidi/>
            <w:shd w:fill="F2F7F8"/>
          </w:tcPr>
          <w:p>
            <w:pPr>
              <w:spacing w:after="20" w:before="20"/>
              <w:jc w:val="right"/>
              <w:bidi/>
            </w:pPr>
            <w:r>
              <w:rPr>
                <w:rFonts w:ascii="Arial" w:hAnsi="Arial"/>
                <w:sz w:val="13"/>
              </w:rPr>
              <w:t>عالٍ</w:t>
            </w:r>
          </w:p>
        </w:tc>
        <w:tc>
          <w:tcPr>
            <w:tcW w:type="dxa" w:w="1800"/>
            <w:vAlign w:val="center"/>
            <w:bidi/>
            <w:shd w:fill="F2F7F8"/>
          </w:tcPr>
          <w:p>
            <w:pPr>
              <w:spacing w:after="20" w:before="20"/>
              <w:jc w:val="right"/>
              <w:bidi/>
            </w:pPr>
            <w:r>
              <w:rPr>
                <w:rFonts w:ascii="Arial" w:hAnsi="Arial"/>
                <w:sz w:val="13"/>
              </w:rPr>
              <w:t>صف وقت التشغيل 45</w:t>
            </w:r>
          </w:p>
        </w:tc>
        <w:tc>
          <w:tcPr>
            <w:tcW w:type="dxa" w:w="3744"/>
            <w:vAlign w:val="center"/>
            <w:bidi/>
            <w:shd w:fill="F2F7F8"/>
          </w:tcPr>
          <w:p>
            <w:pPr>
              <w:spacing w:after="20" w:before="20"/>
              <w:jc w:val="right"/>
              <w:bidi/>
            </w:pPr>
            <w:r>
              <w:rPr>
                <w:rFonts w:ascii="Arial" w:hAnsi="Arial"/>
                <w:sz w:val="13"/>
              </w:rPr>
              <w:t>يوجد الرقم 150 في عمود Feb دون اسم صنف.</w:t>
            </w:r>
          </w:p>
        </w:tc>
        <w:tc>
          <w:tcPr>
            <w:tcW w:type="dxa" w:w="2880"/>
            <w:vAlign w:val="center"/>
            <w:bidi/>
            <w:shd w:fill="F2F7F8"/>
          </w:tcPr>
          <w:p>
            <w:pPr>
              <w:spacing w:after="20" w:before="20"/>
              <w:jc w:val="right"/>
              <w:bidi/>
            </w:pPr>
            <w:r>
              <w:rPr>
                <w:rFonts w:ascii="Arial" w:hAnsi="Arial"/>
                <w:sz w:val="13"/>
              </w:rPr>
              <w:t>تحديد مصدر الرقم؛ عدم ربطه بموديل تلقائيًا.</w:t>
            </w:r>
          </w:p>
        </w:tc>
      </w:tr>
      <w:tr>
        <w:tc>
          <w:tcPr>
            <w:tcW w:type="dxa" w:w="792"/>
            <w:vAlign w:val="center"/>
            <w:bidi/>
          </w:tcPr>
          <w:p>
            <w:pPr>
              <w:spacing w:after="20" w:before="20"/>
              <w:jc w:val="right"/>
              <w:bidi/>
            </w:pPr>
            <w:r>
              <w:rPr>
                <w:rFonts w:ascii="Arial" w:hAnsi="Arial"/>
                <w:sz w:val="13"/>
              </w:rPr>
              <w:t>O-19</w:t>
            </w:r>
          </w:p>
        </w:tc>
        <w:tc>
          <w:tcPr>
            <w:tcW w:type="dxa" w:w="936"/>
            <w:vAlign w:val="center"/>
            <w:bidi/>
          </w:tcPr>
          <w:p>
            <w:pPr>
              <w:spacing w:after="20" w:before="20"/>
              <w:jc w:val="right"/>
              <w:bidi/>
            </w:pPr>
            <w:r>
              <w:rPr>
                <w:rFonts w:ascii="Arial" w:hAnsi="Arial"/>
                <w:sz w:val="13"/>
              </w:rPr>
              <w:t>متوسط</w:t>
            </w:r>
          </w:p>
        </w:tc>
        <w:tc>
          <w:tcPr>
            <w:tcW w:type="dxa" w:w="1800"/>
            <w:vAlign w:val="center"/>
            <w:bidi/>
          </w:tcPr>
          <w:p>
            <w:pPr>
              <w:spacing w:after="20" w:before="20"/>
              <w:jc w:val="right"/>
              <w:bidi/>
            </w:pPr>
            <w:r>
              <w:rPr>
                <w:rFonts w:ascii="Arial" w:hAnsi="Arial"/>
                <w:sz w:val="13"/>
              </w:rPr>
              <w:t>تهجئة الاسم القانوني في مصدر فني</w:t>
            </w:r>
          </w:p>
        </w:tc>
        <w:tc>
          <w:tcPr>
            <w:tcW w:type="dxa" w:w="3744"/>
            <w:vAlign w:val="center"/>
            <w:bidi/>
          </w:tcPr>
          <w:p>
            <w:pPr>
              <w:spacing w:after="20" w:before="20"/>
              <w:jc w:val="right"/>
              <w:bidi/>
            </w:pPr>
            <w:r>
              <w:rPr>
                <w:rFonts w:ascii="Arial" w:hAnsi="Arial"/>
                <w:sz w:val="13"/>
              </w:rPr>
              <w:t>ورقة الطبقات تكتب «السست» بينما الاسم القانوني في SSoT «السوست».</w:t>
            </w:r>
          </w:p>
        </w:tc>
        <w:tc>
          <w:tcPr>
            <w:tcW w:type="dxa" w:w="2880"/>
            <w:vAlign w:val="center"/>
            <w:bidi/>
          </w:tcPr>
          <w:p>
            <w:pPr>
              <w:spacing w:after="20" w:before="20"/>
              <w:jc w:val="right"/>
              <w:bidi/>
            </w:pPr>
            <w:r>
              <w:rPr>
                <w:rFonts w:ascii="Arial" w:hAnsi="Arial"/>
                <w:sz w:val="13"/>
              </w:rPr>
              <w:t>الحفاظ على اسم SSoT؛ مراجعة تهجئة المصدر قبل استيراد بيانات رئيسية.</w:t>
            </w:r>
          </w:p>
        </w:tc>
      </w:tr>
    </w:tbl>
    <w:p>
      <w:pPr>
        <w:spacing w:after="20"/>
      </w:pPr>
    </w:p>
    <w:p>
      <w:r>
        <w:br w:type="page"/>
      </w:r>
    </w:p>
    <w:p>
      <w:pPr>
        <w:pStyle w:val="Heading1"/>
      </w:pPr>
      <w:r>
        <w:t>14. بوابات التنفيذ الآمنة</w:t>
      </w:r>
    </w:p>
    <w:p>
      <w:pPr>
        <w:pStyle w:val="ListNumber"/>
        <w:spacing w:after="40"/>
        <w:jc w:val="right"/>
        <w:bidi/>
      </w:pPr>
      <w:r>
        <w:t>اعتماد ملحق التحديثات وحسم القرارات الحرجة، خصوصًا خريطة الأدوار وتعارض Rrstcalm.</w:t>
      </w:r>
    </w:p>
    <w:p>
      <w:pPr>
        <w:pStyle w:val="ListNumber"/>
        <w:spacing w:after="40"/>
        <w:jc w:val="right"/>
        <w:bidi/>
      </w:pPr>
      <w:r>
        <w:t>مطابقة مستودع GitHub الحالي مع المرجع والـ ZIPين؛ اختيار مصدر أساس واحد، وعدم دمج الملفات بالنسخ العشوائي.</w:t>
      </w:r>
    </w:p>
    <w:p>
      <w:pPr>
        <w:pStyle w:val="ListNumber"/>
        <w:spacing w:after="40"/>
        <w:jc w:val="right"/>
        <w:bidi/>
      </w:pPr>
      <w:r>
        <w:t>فحص مخطط Supabase الحي وAuth/RLS/RPC/Storage/Realtime، وتصدير نسخة احتياطية قبل أي migration.</w:t>
      </w:r>
    </w:p>
    <w:p>
      <w:pPr>
        <w:pStyle w:val="ListNumber"/>
        <w:spacing w:after="40"/>
        <w:jc w:val="right"/>
        <w:bidi/>
      </w:pPr>
      <w:r>
        <w:t>تصحيح وثائق النشر المتعارضة، توثيق lockfile، ومعالجة خريطة الحقول في صفحة التحقق ضمن تعديل معتمد.</w:t>
      </w:r>
    </w:p>
    <w:p>
      <w:pPr>
        <w:pStyle w:val="ListNumber"/>
        <w:spacing w:after="40"/>
        <w:jc w:val="right"/>
        <w:bidi/>
      </w:pPr>
      <w:r>
        <w:t>تفصيل واعتماد Routing الموديلات، وتكويد الخامات، ومسارات حالات الرقم التسلسلي، وسياسة الاستبدال، ومصمم الملصق، ومزودي الإشعارات.</w:t>
      </w:r>
    </w:p>
    <w:p>
      <w:pPr>
        <w:pStyle w:val="ListNumber"/>
        <w:spacing w:after="40"/>
        <w:jc w:val="right"/>
        <w:bidi/>
      </w:pPr>
      <w:r>
        <w:t>تنفيذ migrations إضافية فقط بعد المراجعة والموافقة، مع اختبارات انحدار لضمان Phase 09 وRLS/RPC والخصوصية.</w:t>
      </w:r>
    </w:p>
    <w:p>
      <w:pPr>
        <w:pStyle w:val="ListNumber"/>
        <w:spacing w:after="40"/>
        <w:jc w:val="right"/>
        <w:bidi/>
      </w:pPr>
      <w:r>
        <w:t>نجاح clean install وlint/build والاختبارات المتاحة واختبار الطابعة الفعلية قبل أي إعلان اعتماد نهائي.</w:t>
      </w:r>
    </w:p>
    <w:p>
      <w:pPr>
        <w:pStyle w:val="Heading1"/>
      </w:pPr>
      <w:r>
        <w:t>الخلاصة وحالة هذه الوثيقة</w:t>
      </w:r>
    </w:p>
    <w:p>
      <w:pPr>
        <w:spacing w:after="80"/>
        <w:jc w:val="right"/>
        <w:bidi/>
      </w:pPr>
      <w:r>
        <w:t>تم إغلاق مرحلة تجميع الملاحظات وإعداد هذه المراجعة الموحدة. لم يتم تعديل أي كود أو ZIP أو مستودع GitHub أو قاعدة بيانات. هذه الوثيقة ليست بديلًا عن المرجع الأصلي وليست اعتمادًا للبدء في التنفيذ. الحالة الحالية للتنفيذ التقني: PARTIALLY COMPLIANT / NOT CERTIFIED IN THIS REVIEW، إلى حين إغلاق النواقص والتحقق من البيئة الحية.</w:t>
      </w:r>
    </w:p>
    <w:p>
      <w:pPr>
        <w:pStyle w:val="Heading2"/>
      </w:pPr>
      <w:r>
        <w:t>قرارات المالك اللازمة قبل خطة التنفيذ</w:t>
      </w:r>
    </w:p>
    <w:p>
      <w:pPr>
        <w:pStyle w:val="ListBullet"/>
        <w:spacing w:after="40"/>
        <w:jc w:val="right"/>
        <w:bidi/>
      </w:pPr>
      <w:r>
        <w:t>اعتماد أسماء/خريطة الأدوار التي ستُستخدم في Auth وRLS دون كسر أسماء المرجع الأصلي.</w:t>
      </w:r>
    </w:p>
    <w:p>
      <w:pPr>
        <w:pStyle w:val="ListBullet"/>
        <w:spacing w:after="40"/>
        <w:jc w:val="right"/>
        <w:bidi/>
      </w:pPr>
      <w:r>
        <w:t>حسم طول بلصة العرض في Rrstcalm: 78 سم أم 80 سم.</w:t>
      </w:r>
    </w:p>
    <w:p>
      <w:pPr>
        <w:pStyle w:val="ListBullet"/>
        <w:spacing w:after="40"/>
        <w:jc w:val="right"/>
        <w:bidi/>
      </w:pPr>
      <w:r>
        <w:t>اعتماد صياغة تقليب المرتبة في مستند SH: كل شهر أم كل ثلاثة أشهر.</w:t>
      </w:r>
    </w:p>
    <w:p>
      <w:pPr>
        <w:pStyle w:val="ListBullet"/>
        <w:spacing w:after="40"/>
        <w:jc w:val="right"/>
        <w:bidi/>
      </w:pPr>
      <w:r>
        <w:t>تحديد ما إذا كانت Phase 19 ضمن النطاق القادم، مع أن ZIP المرفق يغطي Phase 10–18 فقط.</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973"/>
        <w:sz w:val="16"/>
      </w:rPr>
      <w:t xml:space="preserve">صفحة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973"/>
        <w:sz w:val="16"/>
      </w:rPr>
      <w:t>SLEEPEE  |  مرجعية التحديثات وسجل المراجعة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0D506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864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s="Arial"/>
      <w:b/>
      <w:color w:val="0F37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