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bidi w:val="1"/>
      </w:pPr>
      <w:r>
        <w:rPr>
          <w:rFonts w:ascii="Noto Sans Arabic" w:hAnsi="Noto Sans Arabic" w:eastAsia="Noto Sans Arabic" w:cs="Noto Sans Arabic"/>
          <w:b/>
          <w:color w:val="0F6B78"/>
          <w:sz w:val="38"/>
        </w:rPr>
        <w:t>SLEEPEE</w:t>
      </w:r>
    </w:p>
    <w:p>
      <w:pPr>
        <w:jc w:val="center"/>
        <w:bidi w:val="1"/>
      </w:pPr>
      <w:r>
        <w:rPr>
          <w:rFonts w:ascii="Noto Sans Arabic" w:hAnsi="Noto Sans Arabic" w:eastAsia="Noto Sans Arabic" w:cs="Noto Sans Arabic"/>
          <w:b/>
          <w:color w:val="17365D"/>
          <w:sz w:val="46"/>
        </w:rPr>
        <w:t>المخطط التشغيلي للمنصة</w:t>
      </w:r>
    </w:p>
    <w:p>
      <w:pPr>
        <w:jc w:val="center"/>
        <w:bidi w:val="1"/>
      </w:pPr>
      <w:r>
        <w:rPr>
          <w:rFonts w:ascii="Noto Sans Arabic" w:hAnsi="Noto Sans Arabic" w:eastAsia="Noto Sans Arabic" w:cs="Noto Sans Arabic"/>
          <w:b/>
          <w:color w:val="666666"/>
          <w:sz w:val="22"/>
        </w:rPr>
        <w:t>Sleepee Manufacturing, Warranty &amp; Customer Service Platform</w:t>
      </w:r>
    </w:p>
    <w:p/>
    <w:tbl>
      <w:tblPr>
        <w:tblW w:type="auto" w:w="0"/>
        <w:jc w:val="center"/>
        <w:tblLayout w:type="fixed"/>
        <w:tblLook w:firstColumn="1" w:firstRow="1" w:lastColumn="0" w:lastRow="0" w:noHBand="0" w:noVBand="1" w:val="04A0"/>
      </w:tblPr>
      <w:tblGrid>
        <w:gridCol w:w="2232"/>
        <w:gridCol w:w="8064"/>
      </w:tblGrid>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معرّف الوثيقة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SLEEPEE-OBP-001</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الإصدار</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الحالة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مسودة للمراجعة — غير معتمدة للتنفيذ</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المرجعية الحاكمة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Sleepee_Single_Source_Of_Truth_v1.0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تاريخ الإعداد</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10 أكتوبر 2026</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صلاحية التنفيذ</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لا تمنح هذه المسودة موافقة على تعديل الكود أو GitHub أو Supabase.</w:t>
            </w:r>
          </w:p>
        </w:tc>
      </w:tr>
    </w:tbl>
    <w:p/>
    <w:p>
      <w:pPr>
        <w:spacing w:before="400"/>
        <w:jc w:val="center"/>
        <w:bidi w:val="1"/>
      </w:pPr>
      <w:r>
        <w:rPr>
          <w:rFonts w:ascii="Noto Sans Arabic" w:hAnsi="Noto Sans Arabic" w:eastAsia="Noto Sans Arabic" w:cs="Noto Sans Arabic"/>
          <w:b/>
          <w:color w:val="9C0006"/>
          <w:sz w:val="20"/>
        </w:rPr>
        <w:t>وثيقة تكميلية مستقلة — لا تستبدل المرجعية الأصلية ولا تعدّلها</w:t>
      </w:r>
    </w:p>
    <w:p>
      <w:r>
        <w:br w:type="page"/>
      </w:r>
    </w:p>
    <w:p>
      <w:pPr>
        <w:pStyle w:val="Heading1"/>
        <w:jc w:val="right"/>
        <w:bidi w:val="1"/>
      </w:pPr>
      <w:r>
        <w:rPr>
          <w:rFonts w:ascii="Noto Sans Arabic" w:hAnsi="Noto Sans Arabic" w:eastAsia="Noto Sans Arabic" w:cs="Noto Sans Arabic"/>
          <w:b/>
          <w:color w:val="17365D"/>
          <w:sz w:val="32"/>
        </w:rPr>
        <w:t>1. الغرض وحالة الوثيقة</w:t>
      </w:r>
    </w:p>
    <w:p>
      <w:pPr>
        <w:jc w:val="right"/>
        <w:bidi w:val="1"/>
      </w:pPr>
      <w:r>
        <w:rPr>
          <w:rFonts w:ascii="Noto Sans Arabic" w:hAnsi="Noto Sans Arabic" w:eastAsia="Noto Sans Arabic" w:cs="Noto Sans Arabic"/>
          <w:sz w:val="20"/>
        </w:rPr>
        <w:t>تجمع هذه الوثيقة نموذج التشغيل المستهدف واحتياجات تجربة المستخدم المسترجعة من المحادثة القديمة، وتربطها بالمرجعية الأصلية وملحق المراجعة. وهي مسودة تنظيمية لا تمثل اعتمادًا نهائيًا للنطاق أو إذنًا بالتنفيذ.</w:t>
      </w:r>
    </w:p>
    <w:tbl>
      <w:tblPr>
        <w:tblW w:type="auto" w:w="0"/>
        <w:tblLook w:firstColumn="1" w:firstRow="1" w:lastColumn="0" w:lastRow="0" w:noHBand="0" w:noVBand="1" w:val="04A0"/>
      </w:tblPr>
      <w:tblGrid>
        <w:gridCol w:w="10224"/>
      </w:tblGrid>
      <w:tr>
        <w:tc>
          <w:tcPr>
            <w:tcW w:type="dxa" w:w="10224"/>
            <w:shd w:fill="FCE4D6"/>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ترتيب السلطة — </w:t>
            </w:r>
            <w:r>
              <w:rPr>
                <w:rFonts w:ascii="Noto Sans Arabic" w:hAnsi="Noto Sans Arabic" w:eastAsia="Noto Sans Arabic" w:cs="Noto Sans Arabic"/>
                <w:sz w:val="19"/>
              </w:rPr>
              <w:t>المرجعية الأصلية Sleepee_Single_Source_Of_Truth_v1.0 أولًا؛ ثم قيود التقنية والنطاق؛ ثم توضيحات المالك الموثقة كتعديل منفصل عند تغيير/توسيع المرجعية؛ ثم ملفات التنفيذ كأدلة فقط.</w:t>
            </w:r>
          </w:p>
        </w:tc>
      </w:tr>
    </w:tbl>
    <w:p/>
    <w:p>
      <w:pPr>
        <w:pStyle w:val="Heading1"/>
        <w:jc w:val="right"/>
        <w:bidi w:val="1"/>
      </w:pPr>
      <w:r>
        <w:rPr>
          <w:rFonts w:ascii="Noto Sans Arabic" w:hAnsi="Noto Sans Arabic" w:eastAsia="Noto Sans Arabic" w:cs="Noto Sans Arabic"/>
          <w:b/>
          <w:color w:val="17365D"/>
          <w:sz w:val="32"/>
        </w:rPr>
        <w:t>2. قواعد غير قابلة للتجاوز</w:t>
      </w:r>
    </w:p>
    <w:p>
      <w:pPr>
        <w:pStyle w:val="ListBullet"/>
        <w:ind w:right="288" w:left="72"/>
        <w:jc w:val="right"/>
        <w:bidi w:val="1"/>
      </w:pPr>
      <w:r>
        <w:rPr>
          <w:rFonts w:ascii="Noto Sans Arabic" w:hAnsi="Noto Sans Arabic" w:eastAsia="Noto Sans Arabic" w:cs="Noto Sans Arabic"/>
          <w:sz w:val="19"/>
        </w:rPr>
        <w:t>لا حذف لمتطلبات أو إعادة تسمية للعلامات والموديلات والفئات والأدوار ومسارات العمل وأرقامها دون موافقة صريحة.</w:t>
      </w:r>
    </w:p>
    <w:p>
      <w:pPr>
        <w:pStyle w:val="ListBullet"/>
        <w:ind w:right="288" w:left="72"/>
        <w:jc w:val="right"/>
        <w:bidi w:val="1"/>
      </w:pPr>
      <w:r>
        <w:rPr>
          <w:rFonts w:ascii="Noto Sans Arabic" w:hAnsi="Noto Sans Arabic" w:eastAsia="Noto Sans Arabic" w:cs="Noto Sans Arabic"/>
          <w:sz w:val="19"/>
        </w:rPr>
        <w:t>التقنية: React + TypeScript + Vite؛ Supabase PostgreSQL وAuth وRLS وStorage وRPC وRealtime فقط.</w:t>
      </w:r>
    </w:p>
    <w:p>
      <w:pPr>
        <w:pStyle w:val="ListBullet"/>
        <w:ind w:right="288" w:left="72"/>
        <w:jc w:val="right"/>
        <w:bidi w:val="1"/>
      </w:pPr>
      <w:r>
        <w:rPr>
          <w:rFonts w:ascii="Noto Sans Arabic" w:hAnsi="Noto Sans Arabic" w:eastAsia="Noto Sans Arabic" w:cs="Noto Sans Arabic"/>
          <w:sz w:val="19"/>
        </w:rPr>
        <w:t>ممنوع Firebase/Firestore أو قواعد بيانات بديلة أو LocalStorage/IndexedDB كمخزن أساسي أو mock/static/in-memory data كمصدر تشغيلي.</w:t>
      </w:r>
    </w:p>
    <w:p>
      <w:pPr>
        <w:pStyle w:val="ListBullet"/>
        <w:ind w:right="288" w:left="72"/>
        <w:jc w:val="right"/>
        <w:bidi w:val="1"/>
      </w:pPr>
      <w:r>
        <w:rPr>
          <w:rFonts w:ascii="Noto Sans Arabic" w:hAnsi="Noto Sans Arabic" w:eastAsia="Noto Sans Arabic" w:cs="Noto Sans Arabic"/>
          <w:sz w:val="19"/>
        </w:rPr>
        <w:t>لا إضافة ERP أو CRM أو محاسبة/تكاليف كنظام مستقل أو HR/Payroll أو مشتريات أو Warehouse ERP أو Vendor Portal أو POS أو E-Commerce.</w:t>
      </w:r>
    </w:p>
    <w:p>
      <w:pPr>
        <w:pStyle w:val="ListBullet"/>
        <w:ind w:right="288" w:left="72"/>
        <w:jc w:val="right"/>
        <w:bidi w:val="1"/>
      </w:pPr>
      <w:r>
        <w:rPr>
          <w:rFonts w:ascii="Noto Sans Arabic" w:hAnsi="Noto Sans Arabic" w:eastAsia="Noto Sans Arabic" w:cs="Noto Sans Arabic"/>
          <w:sz w:val="19"/>
        </w:rPr>
        <w:t>لا reset أو drop/recreate لمشروع Supabase الحالي؛ لا migration قبل المقارنة والنسخة الاحتياطية والموافقة.</w:t>
      </w:r>
    </w:p>
    <w:p>
      <w:pPr>
        <w:pStyle w:val="ListBullet"/>
        <w:ind w:right="288" w:left="72"/>
        <w:jc w:val="right"/>
        <w:bidi w:val="1"/>
      </w:pPr>
      <w:r>
        <w:rPr>
          <w:rFonts w:ascii="Noto Sans Arabic" w:hAnsi="Noto Sans Arabic" w:eastAsia="Noto Sans Arabic" w:cs="Noto Sans Arabic"/>
          <w:sz w:val="19"/>
        </w:rPr>
        <w:t>لا شهادة لمرحلة أو ميزة أو بيئة حية دون دليل تحقق فعلي؛ يجب التمييز بين CODE-VERIFIED وDATABASE-VERIFIED وLIVE-VERIFIED وNOT VERIFIED.</w:t>
      </w:r>
    </w:p>
    <w:p>
      <w:pPr>
        <w:pStyle w:val="Heading1"/>
        <w:jc w:val="right"/>
        <w:bidi w:val="1"/>
      </w:pPr>
      <w:r>
        <w:rPr>
          <w:rFonts w:ascii="Noto Sans Arabic" w:hAnsi="Noto Sans Arabic" w:eastAsia="Noto Sans Arabic" w:cs="Noto Sans Arabic"/>
          <w:b/>
          <w:color w:val="17365D"/>
          <w:sz w:val="32"/>
        </w:rPr>
        <w:t>3. الهوية والاتجاه العام</w:t>
      </w:r>
    </w:p>
    <w:p>
      <w:pPr>
        <w:jc w:val="right"/>
        <w:bidi w:val="1"/>
      </w:pPr>
      <w:r>
        <w:rPr>
          <w:rFonts w:ascii="Noto Sans Arabic" w:hAnsi="Noto Sans Arabic" w:eastAsia="Noto Sans Arabic" w:cs="Noto Sans Arabic"/>
          <w:sz w:val="20"/>
        </w:rPr>
        <w:t>المشروع منصة تشغيل موحدة للإنتاج والتسلسل والطباعة والضمان وخدمة العملاء والاستبدال والتقارير والإدارة. الأولوية لواجهة سطح المكتب باللغة العربية RTL، مع دعم الإنجليزية، وهوية Apple Glass White وتجربة صناعية واضحة.</w:t>
      </w:r>
    </w:p>
    <w:tbl>
      <w:tblPr>
        <w:tblW w:type="auto" w:w="0"/>
        <w:jc w:val="center"/>
        <w:tblLayout w:type="fixed"/>
        <w:tblLook w:firstColumn="1" w:firstRow="1" w:lastColumn="0" w:lastRow="0" w:noHBand="0" w:noVBand="1" w:val="04A0"/>
        <w:bidiVisual/>
      </w:tblPr>
      <w:tblGrid>
        <w:gridCol w:w="2232"/>
        <w:gridCol w:w="7992"/>
      </w:tblGrid>
      <w:tr>
        <w:trPr>
          <w:tblHeader w:val="true"/>
        </w:trPr>
        <w:tc>
          <w:tcPr>
            <w:tcW w:type="dxa" w:w="22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8"/>
              </w:rPr>
              <w:t>البند</w:t>
            </w:r>
          </w:p>
        </w:tc>
        <w:tc>
          <w:tcPr>
            <w:tcW w:type="dxa" w:w="799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8"/>
              </w:rPr>
              <w:t>المعلومة الحاكمة</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الاسم العربي</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الشركة العربية لصناعة مراتب السوست والإسفنج</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الاسم الإنجليزي</w:t>
            </w:r>
          </w:p>
        </w:tc>
        <w:tc>
          <w:tcPr>
            <w:tcW w:type="dxa" w:w="79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Arabian Spring &amp; Foam Mattresses Mfg. Company LTD</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الخط الساخن</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19707</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البريد</w:t>
            </w:r>
          </w:p>
        </w:tc>
        <w:tc>
          <w:tcPr>
            <w:tcW w:type="dxa" w:w="79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Online@sleephigh.com</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الموقع</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https://sleephigh.com/ar</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العنوان</w:t>
            </w:r>
          </w:p>
        </w:tc>
        <w:tc>
          <w:tcPr>
            <w:tcW w:type="dxa" w:w="79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6th October City, Industrial Zone 2, Daewoo Street, Plot 145-146</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WhatsApp</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8"/>
              </w:rPr>
              <w:t>رقم/مزود الإرسال غير معتمد في وثائق المشروع الحالية؛ لا يُخترع أو ينشر قبل التأكيد.</w:t>
            </w:r>
          </w:p>
        </w:tc>
      </w:tr>
    </w:tbl>
    <w:p/>
    <w:p>
      <w:pPr>
        <w:pStyle w:val="Heading1"/>
        <w:jc w:val="right"/>
        <w:bidi w:val="1"/>
      </w:pPr>
      <w:r>
        <w:rPr>
          <w:rFonts w:ascii="Noto Sans Arabic" w:hAnsi="Noto Sans Arabic" w:eastAsia="Noto Sans Arabic" w:cs="Noto Sans Arabic"/>
          <w:b/>
          <w:color w:val="17365D"/>
          <w:sz w:val="32"/>
        </w:rPr>
        <w:t>4. هيكل الواجهة المعتمد مبدئيًا</w:t>
      </w:r>
    </w:p>
    <w:p>
      <w:pPr>
        <w:jc w:val="right"/>
        <w:bidi w:val="1"/>
      </w:pPr>
      <w:r>
        <w:rPr>
          <w:rFonts w:ascii="Noto Sans Arabic" w:hAnsi="Noto Sans Arabic" w:eastAsia="Noto Sans Arabic" w:cs="Noto Sans Arabic"/>
          <w:sz w:val="20"/>
        </w:rPr>
        <w:t>هيكل التنقل المستهدف وفق ملحق المراجعة: لوحة رئيسية، وأربعة مراكز رئيسية، وصفحة تحقق عامة. تبقى الوحدات Modular داخليًا، ولا تتحول كل وحدة تقنية تلقائيًا إلى مركز رئيسي في القائمة.</w:t>
      </w:r>
    </w:p>
    <w:tbl>
      <w:tblPr>
        <w:tblW w:type="auto" w:w="0"/>
        <w:jc w:val="center"/>
        <w:tblLayout w:type="fixed"/>
        <w:tblLook w:firstColumn="1" w:firstRow="1" w:lastColumn="0" w:lastRow="0" w:noHBand="0" w:noVBand="1" w:val="04A0"/>
        <w:bidiVisual/>
      </w:tblPr>
      <w:tblGrid>
        <w:gridCol w:w="2376"/>
        <w:gridCol w:w="7848"/>
      </w:tblGrid>
      <w:tr>
        <w:trPr>
          <w:tblHeader w:val="true"/>
        </w:trPr>
        <w:tc>
          <w:tcPr>
            <w:tcW w:type="dxa" w:w="237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7"/>
              </w:rPr>
              <w:t>المركز/المسار</w:t>
            </w:r>
          </w:p>
        </w:tc>
        <w:tc>
          <w:tcPr>
            <w:tcW w:type="dxa" w:w="784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7"/>
              </w:rPr>
              <w:t>النطاق الوظيفي المقصود</w:t>
            </w:r>
          </w:p>
        </w:tc>
      </w:tr>
      <w:tr>
        <w:tc>
          <w:tcPr>
            <w:tcW w:type="dxa" w:w="237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الرئيسية / Dashboard</w:t>
            </w:r>
          </w:p>
        </w:tc>
        <w:tc>
          <w:tcPr>
            <w:tcW w:type="dxa" w:w="784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مؤشرات حية من البيانات الفعلية، ملخص الإنتاج والطباعة وحالات الخدمة والتنبيهات.</w:t>
            </w:r>
          </w:p>
        </w:tc>
      </w:tr>
      <w:tr>
        <w:tc>
          <w:tcPr>
            <w:tcW w:type="dxa" w:w="237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الإنتاج والتصنيع</w:t>
            </w:r>
          </w:p>
        </w:tc>
        <w:tc>
          <w:tcPr>
            <w:tcW w:type="dxa" w:w="784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بيانات المنتجات وهندستها، BOM، Routing، إصدارات الإنتاج، التخطيط، الأوامر، الدفعات، الأرقام التسلسلية، تصميم الملصقات والطباعة.</w:t>
            </w:r>
          </w:p>
        </w:tc>
      </w:tr>
      <w:tr>
        <w:tc>
          <w:tcPr>
            <w:tcW w:type="dxa" w:w="237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الضمان وخدمة العملاء</w:t>
            </w:r>
          </w:p>
        </w:tc>
        <w:tc>
          <w:tcPr>
            <w:tcW w:type="dxa" w:w="784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العميل والمنتج والرقم التسلسلي والضمان وحالات الخدمة والإصلاح والاستبدال والتعويض ونقل الملكية والمرفقات والتاريخ.</w:t>
            </w:r>
          </w:p>
        </w:tc>
      </w:tr>
      <w:tr>
        <w:tc>
          <w:tcPr>
            <w:tcW w:type="dxa" w:w="237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التقارير والتحليلات</w:t>
            </w:r>
          </w:p>
        </w:tc>
        <w:tc>
          <w:tcPr>
            <w:tcW w:type="dxa" w:w="784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تقارير الإنتاج والضمان والخدمة والاستبدال والطباعة والإدارة، والتصدير والبيانات المنظمة.</w:t>
            </w:r>
          </w:p>
        </w:tc>
      </w:tr>
      <w:tr>
        <w:tc>
          <w:tcPr>
            <w:tcW w:type="dxa" w:w="237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الإدارة</w:t>
            </w:r>
          </w:p>
        </w:tc>
        <w:tc>
          <w:tcPr>
            <w:tcW w:type="dxa" w:w="784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المستخدمون والصلاحيات والإعدادات والبيانات الرئيسية وإدارة الإصدارات والقوالب وسجلات التدقيق.</w:t>
            </w:r>
          </w:p>
        </w:tc>
      </w:tr>
      <w:tr>
        <w:tc>
          <w:tcPr>
            <w:tcW w:type="dxa" w:w="237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/verify العام</w:t>
            </w:r>
          </w:p>
        </w:tc>
        <w:tc>
          <w:tcPr>
            <w:tcW w:type="dxa" w:w="784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7"/>
              </w:rPr>
              <w:t>تحقق عام محدود بالمعلومات الضرورية عن المنتج/الضمان؛ لا بيانات شخصية.</w:t>
            </w:r>
          </w:p>
        </w:tc>
      </w:tr>
    </w:tbl>
    <w:p/>
    <w:tbl>
      <w:tblPr>
        <w:tblW w:type="auto" w:w="0"/>
        <w:tblLook w:firstColumn="1" w:firstRow="1" w:lastColumn="0" w:lastRow="0" w:noHBand="0" w:noVBand="1" w:val="04A0"/>
      </w:tblPr>
      <w:tblGrid>
        <w:gridCol w:w="10224"/>
      </w:tblGrid>
      <w:tr>
        <w:tc>
          <w:tcPr>
            <w:tcW w:type="dxa" w:w="10224"/>
            <w:shd w:fill="FCE4D6"/>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قرار يحتاج اعتمادًا — </w:t>
            </w:r>
            <w:r>
              <w:rPr>
                <w:rFonts w:ascii="Noto Sans Arabic" w:hAnsi="Noto Sans Arabic" w:eastAsia="Noto Sans Arabic" w:cs="Noto Sans Arabic"/>
                <w:sz w:val="19"/>
              </w:rPr>
              <w:t>في النقاش السابق ظهرت أسماء مراكز إضافية مثل BOM Center وPrinter Center وProduct Center وReplacement Center. التصميم المقترح أن تكون مناطق/صفحات فرعية داخل المراكز الأربعة، ما لم يعتمد المالك تعديلًا رسميًا لهيكل التنقل.</w:t>
            </w:r>
          </w:p>
        </w:tc>
      </w:tr>
    </w:tbl>
    <w:p/>
    <w:p>
      <w:pPr>
        <w:pStyle w:val="Heading1"/>
        <w:jc w:val="right"/>
        <w:bidi w:val="1"/>
      </w:pPr>
      <w:r>
        <w:rPr>
          <w:rFonts w:ascii="Noto Sans Arabic" w:hAnsi="Noto Sans Arabic" w:eastAsia="Noto Sans Arabic" w:cs="Noto Sans Arabic"/>
          <w:b/>
          <w:color w:val="17365D"/>
          <w:sz w:val="32"/>
        </w:rPr>
        <w:t>5. معيار تجربة مركز التشغيل</w:t>
      </w:r>
    </w:p>
    <w:p>
      <w:pPr>
        <w:jc w:val="right"/>
        <w:bidi w:val="1"/>
      </w:pPr>
      <w:r>
        <w:rPr>
          <w:rFonts w:ascii="Noto Sans Arabic" w:hAnsi="Noto Sans Arabic" w:eastAsia="Noto Sans Arabic" w:cs="Noto Sans Arabic"/>
          <w:sz w:val="20"/>
        </w:rPr>
        <w:t>يجب ألا تكون الصفحة الافتراضية مجرد جدول CRUD. يبدأ كل مركز بملخص عملي، وحالات تستلزم تدخلًا، وإجراءات سريعة، وعمليات حديثة، وبحث، ثم التفاصيل والجدول عند الحاجة.</w:t>
      </w:r>
    </w:p>
    <w:p>
      <w:pPr>
        <w:pStyle w:val="ListBullet"/>
        <w:ind w:right="288" w:left="72"/>
        <w:jc w:val="right"/>
        <w:bidi w:val="1"/>
      </w:pPr>
      <w:r>
        <w:rPr>
          <w:rFonts w:ascii="Noto Sans Arabic" w:hAnsi="Noto Sans Arabic" w:eastAsia="Noto Sans Arabic" w:cs="Noto Sans Arabic"/>
          <w:sz w:val="19"/>
        </w:rPr>
        <w:t>Header: الشعار الرسمي، اسم النظام، المستخدم والأدوار، مركز إشعارات، الوضع الليلي/النهاري، التحكم بالحجم، البحث، إعدادات الحساب.</w:t>
      </w:r>
    </w:p>
    <w:p>
      <w:pPr>
        <w:pStyle w:val="ListBullet"/>
        <w:ind w:right="288" w:left="72"/>
        <w:jc w:val="right"/>
        <w:bidi w:val="1"/>
      </w:pPr>
      <w:r>
        <w:rPr>
          <w:rFonts w:ascii="Noto Sans Arabic" w:hAnsi="Noto Sans Arabic" w:eastAsia="Noto Sans Arabic" w:cs="Noto Sans Arabic"/>
          <w:sz w:val="19"/>
        </w:rPr>
        <w:t>Footer: سياسة الضمان والخصوصية والتواصل والعنوان والحقوق وسنة النظام، مع عدم نشر بيانات تواصل غير مؤكدة.</w:t>
      </w:r>
    </w:p>
    <w:p>
      <w:pPr>
        <w:pStyle w:val="ListBullet"/>
        <w:ind w:right="288" w:left="72"/>
        <w:jc w:val="right"/>
        <w:bidi w:val="1"/>
      </w:pPr>
      <w:r>
        <w:rPr>
          <w:rFonts w:ascii="Noto Sans Arabic" w:hAnsi="Noto Sans Arabic" w:eastAsia="Noto Sans Arabic" w:cs="Noto Sans Arabic"/>
          <w:sz w:val="19"/>
        </w:rPr>
        <w:t>Role-based home/dashboard: تخصيص المحتوى حسب الدور الفعلي دون اختراع صلاحيات جديدة.</w:t>
      </w:r>
    </w:p>
    <w:p>
      <w:pPr>
        <w:pStyle w:val="ListBullet"/>
        <w:ind w:right="288" w:left="72"/>
        <w:jc w:val="right"/>
        <w:bidi w:val="1"/>
      </w:pPr>
      <w:r>
        <w:rPr>
          <w:rFonts w:ascii="Noto Sans Arabic" w:hAnsi="Noto Sans Arabic" w:eastAsia="Noto Sans Arabic" w:cs="Noto Sans Arabic"/>
          <w:sz w:val="19"/>
        </w:rPr>
        <w:t>Global search: أرقام التسلسل والدفعات وأوامر الإنتاج والعميل والهاتف والفاتورة والضمان وحالة الخدمة ضمن الصلاحيات.</w:t>
      </w:r>
    </w:p>
    <w:p>
      <w:pPr>
        <w:pStyle w:val="ListBullet"/>
        <w:ind w:right="288" w:left="72"/>
        <w:jc w:val="right"/>
        <w:bidi w:val="1"/>
      </w:pPr>
      <w:r>
        <w:rPr>
          <w:rFonts w:ascii="Noto Sans Arabic" w:hAnsi="Noto Sans Arabic" w:eastAsia="Noto Sans Arabic" w:cs="Noto Sans Arabic"/>
          <w:sz w:val="19"/>
        </w:rPr>
        <w:t>Quick actions: تقتصر على إجراءات مسموحة في حالة السجل الحالية، وتمنع تجاوز الموافقات أو انتقالات الحالة.</w:t>
      </w:r>
    </w:p>
    <w:p>
      <w:pPr>
        <w:pStyle w:val="ListBullet"/>
        <w:ind w:right="288" w:left="72"/>
        <w:jc w:val="right"/>
        <w:bidi w:val="1"/>
      </w:pPr>
      <w:r>
        <w:rPr>
          <w:rFonts w:ascii="Noto Sans Arabic" w:hAnsi="Noto Sans Arabic" w:eastAsia="Noto Sans Arabic" w:cs="Noto Sans Arabic"/>
          <w:sz w:val="19"/>
        </w:rPr>
        <w:t>Notification Center: إشعارات داخل التطبيق مطلوبة؛ WhatsApp والبريد يعتمدان على مزود وإعدادات معتمدة لم تُحدد بعد.</w:t>
      </w:r>
    </w:p>
    <w:p>
      <w:pPr>
        <w:pStyle w:val="ListBullet"/>
        <w:ind w:right="288" w:left="72"/>
        <w:jc w:val="right"/>
        <w:bidi w:val="1"/>
      </w:pPr>
      <w:r>
        <w:rPr>
          <w:rFonts w:ascii="Noto Sans Arabic" w:hAnsi="Noto Sans Arabic" w:eastAsia="Noto Sans Arabic" w:cs="Noto Sans Arabic"/>
          <w:sz w:val="19"/>
        </w:rPr>
        <w:t>Barcode/QR-first: دعم الماسح كمدخل لوحة مفاتيح حيث يلائم تدفق العمل، دون اشتراط إدخال الرقم التسلسلي يدويًا.</w:t>
      </w:r>
    </w:p>
    <w:p>
      <w:pPr>
        <w:pStyle w:val="Heading1"/>
        <w:jc w:val="right"/>
        <w:bidi w:val="1"/>
      </w:pPr>
      <w:r>
        <w:rPr>
          <w:rFonts w:ascii="Noto Sans Arabic" w:hAnsi="Noto Sans Arabic" w:eastAsia="Noto Sans Arabic" w:cs="Noto Sans Arabic"/>
          <w:b/>
          <w:color w:val="17365D"/>
          <w:sz w:val="32"/>
        </w:rPr>
        <w:t>6. مركز الإنتاج والتصنيع — تجربة المستخدم المستهدفة</w:t>
      </w:r>
    </w:p>
    <w:p>
      <w:pPr>
        <w:pStyle w:val="Heading2"/>
        <w:jc w:val="right"/>
        <w:bidi w:val="1"/>
      </w:pPr>
      <w:r>
        <w:rPr>
          <w:rFonts w:ascii="Noto Sans Arabic" w:hAnsi="Noto Sans Arabic" w:eastAsia="Noto Sans Arabic" w:cs="Noto Sans Arabic"/>
          <w:b/>
          <w:color w:val="0F6B78"/>
          <w:sz w:val="24"/>
        </w:rPr>
        <w:t>6.1 وضعا التشغيل المسترجعان</w:t>
      </w:r>
    </w:p>
    <w:tbl>
      <w:tblPr>
        <w:tblW w:type="auto" w:w="0"/>
        <w:jc w:val="center"/>
        <w:tblLayout w:type="fixed"/>
        <w:tblLook w:firstColumn="1" w:firstRow="1" w:lastColumn="0" w:lastRow="0" w:noHBand="0" w:noVBand="1" w:val="04A0"/>
        <w:bidiVisual/>
      </w:tblPr>
      <w:tblGrid>
        <w:gridCol w:w="2232"/>
        <w:gridCol w:w="4896"/>
        <w:gridCol w:w="3096"/>
      </w:tblGrid>
      <w:tr>
        <w:trPr>
          <w:tblHeader w:val="true"/>
        </w:trPr>
        <w:tc>
          <w:tcPr>
            <w:tcW w:type="dxa" w:w="22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الوضع</w:t>
            </w:r>
          </w:p>
        </w:tc>
        <w:tc>
          <w:tcPr>
            <w:tcW w:type="dxa" w:w="489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المسار المرشح</w:t>
            </w:r>
          </w:p>
        </w:tc>
        <w:tc>
          <w:tcPr>
            <w:tcW w:type="dxa" w:w="309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حالة الاعتماد</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Quick Production</w:t>
            </w:r>
          </w:p>
        </w:tc>
        <w:tc>
          <w:tcPr>
            <w:tcW w:type="dxa" w:w="489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اختيار منتج ومقاس وكمية → إنشاء أمر إنتاج → إنشاء دفعة → توليد الأرقام التسلسلية → إنشاء Print Jobs → مركز الطباعة.</w:t>
            </w:r>
          </w:p>
        </w:tc>
        <w:tc>
          <w:tcPr>
            <w:tcW w:type="dxa" w:w="309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متطلب مسترجع من المحادثة؛ يحتاج تفصيل شروط كل انتقال قبل التنفيذ.</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Manual / Advanced Production Wizard</w:t>
            </w:r>
          </w:p>
        </w:tc>
        <w:tc>
          <w:tcPr>
            <w:tcW w:type="dxa" w:w="489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أمر إنتاج → مراجعة/اختيار BOM وإصداره → Routing/Production Version → دفعة → أرقام تسلسلية → قالب → طباعة → إكمال.</w:t>
            </w:r>
          </w:p>
        </w:tc>
        <w:tc>
          <w:tcPr>
            <w:tcW w:type="dxa" w:w="309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متطلب مسترجع؛ مخطط التصميم والتفاصيل لم تعتمد بعد.</w:t>
            </w:r>
          </w:p>
        </w:tc>
      </w:tr>
    </w:tbl>
    <w:p/>
    <w:p>
      <w:pPr>
        <w:jc w:val="right"/>
        <w:bidi w:val="1"/>
      </w:pPr>
      <w:r>
        <w:rPr>
          <w:rFonts w:ascii="Noto Sans Arabic" w:hAnsi="Noto Sans Arabic" w:eastAsia="Noto Sans Arabic" w:cs="Noto Sans Arabic"/>
          <w:sz w:val="20"/>
        </w:rPr>
        <w:t>Auto Progression مقترح عند نجاح التحقق من شروط المرحلة. يجب السماح بالرجوع للمراجعة دون إخفاء السجل التاريخي، ويجب أن تكون شروط الانتقال صريحة لا مجرد انتقال واجهة.</w:t>
      </w:r>
    </w:p>
    <w:p>
      <w:pPr>
        <w:pStyle w:val="Heading2"/>
        <w:jc w:val="right"/>
        <w:bidi w:val="1"/>
      </w:pPr>
      <w:r>
        <w:rPr>
          <w:rFonts w:ascii="Noto Sans Arabic" w:hAnsi="Noto Sans Arabic" w:eastAsia="Noto Sans Arabic" w:cs="Noto Sans Arabic"/>
          <w:b/>
          <w:color w:val="0F6B78"/>
          <w:sz w:val="24"/>
        </w:rPr>
        <w:t>6.2 الدمج الظاهر والفصل الداخلي</w:t>
      </w:r>
    </w:p>
    <w:p>
      <w:pPr>
        <w:jc w:val="right"/>
        <w:bidi w:val="1"/>
      </w:pPr>
      <w:r>
        <w:rPr>
          <w:rFonts w:ascii="Noto Sans Arabic" w:hAnsi="Noto Sans Arabic" w:eastAsia="Noto Sans Arabic" w:cs="Noto Sans Arabic"/>
          <w:sz w:val="20"/>
        </w:rPr>
        <w:t>تظهر وظائف الإنتاج والتسلسل والطباعة وتصميم الملصقات كتدفق واحد داخل مركز الإنتاج، بينما تبقى الخدمات البرمجية ومسؤولياتها مفصولة داخليًا. وكذلك تجمع وظائف الضمان وخدمة العملاء والاستبدال في مركز تجربة عميل واحد دون دمج الجداول في كيان واحد.</w:t>
      </w:r>
    </w:p>
    <w:p>
      <w:pPr>
        <w:pStyle w:val="Heading1"/>
        <w:jc w:val="right"/>
        <w:bidi w:val="1"/>
      </w:pPr>
      <w:r>
        <w:rPr>
          <w:rFonts w:ascii="Noto Sans Arabic" w:hAnsi="Noto Sans Arabic" w:eastAsia="Noto Sans Arabic" w:cs="Noto Sans Arabic"/>
          <w:b/>
          <w:color w:val="17365D"/>
          <w:sz w:val="32"/>
        </w:rPr>
        <w:t>7. التقارير والتحليلات وجودة البيانات</w:t>
      </w:r>
    </w:p>
    <w:p>
      <w:pPr>
        <w:pStyle w:val="ListBullet"/>
        <w:ind w:right="288" w:left="72"/>
        <w:jc w:val="right"/>
        <w:bidi w:val="1"/>
      </w:pPr>
      <w:r>
        <w:rPr>
          <w:rFonts w:ascii="Noto Sans Arabic" w:hAnsi="Noto Sans Arabic" w:eastAsia="Noto Sans Arabic" w:cs="Noto Sans Arabic"/>
          <w:sz w:val="19"/>
        </w:rPr>
        <w:t>مخرجات تشغيلية قابلة للتتبع: كميات مخططة ومنفذة، تقدم الأوامر، حالات الدفعات والأرقام والطباعة، وحالات الضمان والخدمة والاستبدال.</w:t>
      </w:r>
    </w:p>
    <w:p>
      <w:pPr>
        <w:pStyle w:val="ListBullet"/>
        <w:ind w:right="288" w:left="72"/>
        <w:jc w:val="right"/>
        <w:bidi w:val="1"/>
      </w:pPr>
      <w:r>
        <w:rPr>
          <w:rFonts w:ascii="Noto Sans Arabic" w:hAnsi="Noto Sans Arabic" w:eastAsia="Noto Sans Arabic" w:cs="Noto Sans Arabic"/>
          <w:sz w:val="19"/>
        </w:rPr>
        <w:t>تصدير CSV وXLSX وJSON وPDF بحسب التقرير، وبيانات منظمة/موثقة للتكامل التحليلي الخارجي. لا وعد بتكامل مباشر مع كل أداة قبل تحديد واختبار النطاق.</w:t>
      </w:r>
    </w:p>
    <w:p>
      <w:pPr>
        <w:pStyle w:val="ListBullet"/>
        <w:ind w:right="288" w:left="72"/>
        <w:jc w:val="right"/>
        <w:bidi w:val="1"/>
      </w:pPr>
      <w:r>
        <w:rPr>
          <w:rFonts w:ascii="Noto Sans Arabic" w:hAnsi="Noto Sans Arabic" w:eastAsia="Noto Sans Arabic" w:cs="Noto Sans Arabic"/>
          <w:sz w:val="19"/>
        </w:rPr>
        <w:t>Data Quality checks مرشحة: منتج بلا BOM، موديل بلا مقاس/تركيب، منتج فعال بلا Routing، Serial بلا Batch، Batch بلا أمر إنتاج، Print Job بلا قالب، بيانات ناقصة أو تكرارات تستحق المراجعة.</w:t>
      </w:r>
    </w:p>
    <w:p>
      <w:pPr>
        <w:pStyle w:val="ListBullet"/>
        <w:ind w:right="288" w:left="72"/>
        <w:jc w:val="right"/>
        <w:bidi w:val="1"/>
      </w:pPr>
      <w:r>
        <w:rPr>
          <w:rFonts w:ascii="Noto Sans Arabic" w:hAnsi="Noto Sans Arabic" w:eastAsia="Noto Sans Arabic" w:cs="Noto Sans Arabic"/>
          <w:sz w:val="19"/>
        </w:rPr>
        <w:t>Saved datasets مفهومة وواضحة المصدر؛ لا تستخدم أي عينة ثابتة أو سجلات تجريبية كمصدر تشغيلي.</w:t>
      </w:r>
    </w:p>
    <w:p>
      <w:pPr>
        <w:pStyle w:val="ListBullet"/>
        <w:ind w:right="288" w:left="72"/>
        <w:jc w:val="right"/>
        <w:bidi w:val="1"/>
      </w:pPr>
      <w:r>
        <w:rPr>
          <w:rFonts w:ascii="Noto Sans Arabic" w:hAnsi="Noto Sans Arabic" w:eastAsia="Noto Sans Arabic" w:cs="Noto Sans Arabic"/>
          <w:sz w:val="19"/>
        </w:rPr>
        <w:t>Genealogy يربط Serial بالمنتج ونسخة BOM/Routing وأمر الإنتاج والدفعة والطباعة ثم البيع/الضمان والخدمة والاستبدال، بقدر ما تسمح به البيانات الفعلية.</w:t>
      </w:r>
    </w:p>
    <w:p>
      <w:pPr>
        <w:pStyle w:val="Heading1"/>
        <w:jc w:val="right"/>
        <w:bidi w:val="1"/>
      </w:pPr>
      <w:r>
        <w:rPr>
          <w:rFonts w:ascii="Noto Sans Arabic" w:hAnsi="Noto Sans Arabic" w:eastAsia="Noto Sans Arabic" w:cs="Noto Sans Arabic"/>
          <w:b/>
          <w:color w:val="17365D"/>
          <w:sz w:val="32"/>
        </w:rPr>
        <w:t>8. الإدارة والصلاحيات</w:t>
      </w:r>
    </w:p>
    <w:p>
      <w:pPr>
        <w:jc w:val="right"/>
        <w:bidi w:val="1"/>
      </w:pPr>
      <w:r>
        <w:rPr>
          <w:rFonts w:ascii="Noto Sans Arabic" w:hAnsi="Noto Sans Arabic" w:eastAsia="Noto Sans Arabic" w:cs="Noto Sans Arabic"/>
          <w:sz w:val="20"/>
        </w:rPr>
        <w:t>أسماء الأدوار الأصلية: Administrator، Production Manager، Production Operator، Printing Operator، Customer Service User، Warranty Manager، Read Only User. التنفيذ في ZIP يستخدم بدائل لبعض الأسماء؛ لا تغير أو RLS قبل اعتماد Role Mapping رسمي. تفضيل المالك أن يحمل الموظف أكثر من دور يسجل كمتطلب يحتاج مطابقة مع المخطط والسياسات الحالية.</w:t>
      </w:r>
    </w:p>
    <w:p>
      <w:pPr>
        <w:pStyle w:val="Heading1"/>
        <w:jc w:val="right"/>
        <w:bidi w:val="1"/>
      </w:pPr>
      <w:r>
        <w:rPr>
          <w:rFonts w:ascii="Noto Sans Arabic" w:hAnsi="Noto Sans Arabic" w:eastAsia="Noto Sans Arabic" w:cs="Noto Sans Arabic"/>
          <w:b/>
          <w:color w:val="17365D"/>
          <w:sz w:val="32"/>
        </w:rPr>
        <w:t>9. الإشعارات والأصول والملفات</w:t>
      </w:r>
    </w:p>
    <w:p>
      <w:pPr>
        <w:pStyle w:val="ListBullet"/>
        <w:ind w:right="288" w:left="72"/>
        <w:jc w:val="right"/>
        <w:bidi w:val="1"/>
      </w:pPr>
      <w:r>
        <w:rPr>
          <w:rFonts w:ascii="Noto Sans Arabic" w:hAnsi="Noto Sans Arabic" w:eastAsia="Noto Sans Arabic" w:cs="Noto Sans Arabic"/>
          <w:sz w:val="19"/>
        </w:rPr>
        <w:t>أصول الشعار والصور والعلامات والرموز في Supabase Storage، مع صلاحيات واضحة وعدم استخدام صور وهمية كمصدر تشغيلي.</w:t>
      </w:r>
    </w:p>
    <w:p>
      <w:pPr>
        <w:pStyle w:val="ListBullet"/>
        <w:ind w:right="288" w:left="72"/>
        <w:jc w:val="right"/>
        <w:bidi w:val="1"/>
      </w:pPr>
      <w:r>
        <w:rPr>
          <w:rFonts w:ascii="Noto Sans Arabic" w:hAnsi="Noto Sans Arabic" w:eastAsia="Noto Sans Arabic" w:cs="Noto Sans Arabic"/>
          <w:sz w:val="19"/>
        </w:rPr>
        <w:t>دلاء التخزين الأصلية: labels وservice وwarranty؛ يجب مراجعة الحالة الحية والسياسات قبل التغيير.</w:t>
      </w:r>
    </w:p>
    <w:p>
      <w:pPr>
        <w:pStyle w:val="ListBullet"/>
        <w:ind w:right="288" w:left="72"/>
        <w:jc w:val="right"/>
        <w:bidi w:val="1"/>
      </w:pPr>
      <w:r>
        <w:rPr>
          <w:rFonts w:ascii="Noto Sans Arabic" w:hAnsi="Noto Sans Arabic" w:eastAsia="Noto Sans Arabic" w:cs="Noto Sans Arabic"/>
          <w:sz w:val="19"/>
        </w:rPr>
        <w:t>الروابط/الملفات الخاصة لا تصبح عامة افتراضيًا؛ فصل ملفات الخدمة والفواتير والمرفقات عن المعلومات العامة.</w:t>
      </w:r>
    </w:p>
    <w:p>
      <w:pPr>
        <w:pStyle w:val="ListBullet"/>
        <w:ind w:right="288" w:left="72"/>
        <w:jc w:val="right"/>
        <w:bidi w:val="1"/>
      </w:pPr>
      <w:r>
        <w:rPr>
          <w:rFonts w:ascii="Noto Sans Arabic" w:hAnsi="Noto Sans Arabic" w:eastAsia="Noto Sans Arabic" w:cs="Noto Sans Arabic"/>
          <w:sz w:val="19"/>
        </w:rPr>
        <w:t>WhatsApp والبريد: لا مزود ولا أسرار في المستودع قبل قرار منفصل.</w:t>
      </w:r>
    </w:p>
    <w:p>
      <w:pPr>
        <w:pStyle w:val="Heading1"/>
        <w:jc w:val="right"/>
        <w:bidi w:val="1"/>
      </w:pPr>
      <w:r>
        <w:rPr>
          <w:rFonts w:ascii="Noto Sans Arabic" w:hAnsi="Noto Sans Arabic" w:eastAsia="Noto Sans Arabic" w:cs="Noto Sans Arabic"/>
          <w:b/>
          <w:color w:val="17365D"/>
          <w:sz w:val="32"/>
        </w:rPr>
        <w:t>10. خارطة الطريق وحوكمة الإصدارات</w:t>
      </w:r>
    </w:p>
    <w:tbl>
      <w:tblPr>
        <w:tblW w:type="auto" w:w="0"/>
        <w:jc w:val="center"/>
        <w:tblLayout w:type="fixed"/>
        <w:tblLook w:firstColumn="1" w:firstRow="1" w:lastColumn="0" w:lastRow="0" w:noHBand="0" w:noVBand="1" w:val="04A0"/>
        <w:bidiVisual/>
      </w:tblPr>
      <w:tblGrid>
        <w:gridCol w:w="2592"/>
        <w:gridCol w:w="7632"/>
      </w:tblGrid>
      <w:tr>
        <w:trPr>
          <w:tblHeader w:val="true"/>
        </w:trPr>
        <w:tc>
          <w:tcPr>
            <w:tcW w:type="dxa" w:w="259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البوابة</w:t>
            </w:r>
          </w:p>
        </w:tc>
        <w:tc>
          <w:tcPr>
            <w:tcW w:type="dxa" w:w="76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المطلوب قبل الانتقال</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1 — Baseline</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اعتماد هذا السجل كمسودة، ومطابقة كل تعديل مع SSoT الأصلية، وإغلاق التعارضات الحرجة.</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2 — Repository/DB Audit</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اختيار المستودع الصحيح؛ جرد الكود؛ فحص Supabase الحية قراءة فقط؛ نسخة احتياطية قبل أي migration.</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3 — Detailed Design</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اعتماد Product/BOM/Routing/Production Version، الأدوار، انتقالات الحالات، القوالب، نصوص الضمان والتعويض.</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4 — Implementation</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تعديلات صغيرة تدريجية في المستودع والمشروع الحاليين؛ build/lint/tests بعد كل مرحلة.</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5 — Physical Validation</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اختبار Zebra/Browser Print والباركود/QR وسيناريو تشغيل واقعي عند توفر بيئة المصنع.</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Gate 6 — Release</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موافقة المالك، سجل اختبار، migrations مراجعة، ZIP إصدار وبصمة، ونسخة احتياطية موثقة.</w:t>
            </w:r>
          </w:p>
        </w:tc>
      </w:tr>
    </w:tbl>
    <w:p/>
    <w:p>
      <w:pPr>
        <w:pStyle w:val="Heading1"/>
        <w:jc w:val="right"/>
        <w:bidi w:val="1"/>
      </w:pPr>
      <w:r>
        <w:rPr>
          <w:rFonts w:ascii="Noto Sans Arabic" w:hAnsi="Noto Sans Arabic" w:eastAsia="Noto Sans Arabic" w:cs="Noto Sans Arabic"/>
          <w:b/>
          <w:color w:val="17365D"/>
          <w:sz w:val="32"/>
        </w:rPr>
        <w:t>11. أفكار مستقبلية لا تؤخر خط الأساس</w:t>
      </w:r>
    </w:p>
    <w:p>
      <w:pPr>
        <w:pStyle w:val="ListBullet"/>
        <w:ind w:right="288" w:left="72"/>
        <w:jc w:val="right"/>
        <w:bidi w:val="1"/>
      </w:pPr>
      <w:r>
        <w:rPr>
          <w:rFonts w:ascii="Noto Sans Arabic" w:hAnsi="Noto Sans Arabic" w:eastAsia="Noto Sans Arabic" w:cs="Noto Sans Arabic"/>
          <w:sz w:val="19"/>
        </w:rPr>
        <w:t>تحليل شكاوى بالذكاء الاصطناعي وتنبؤ بالأعطال.</w:t>
      </w:r>
    </w:p>
    <w:p>
      <w:pPr>
        <w:pStyle w:val="ListBullet"/>
        <w:ind w:right="288" w:left="72"/>
        <w:jc w:val="right"/>
        <w:bidi w:val="1"/>
      </w:pPr>
      <w:r>
        <w:rPr>
          <w:rFonts w:ascii="Noto Sans Arabic" w:hAnsi="Noto Sans Arabic" w:eastAsia="Noto Sans Arabic" w:cs="Noto Sans Arabic"/>
          <w:sz w:val="19"/>
        </w:rPr>
        <w:t>تحليلات SLA متقدمة وجدولة/تنبؤ إنتاج متقدم.</w:t>
      </w:r>
    </w:p>
    <w:p>
      <w:pPr>
        <w:pStyle w:val="ListBullet"/>
        <w:ind w:right="288" w:left="72"/>
        <w:jc w:val="right"/>
        <w:bidi w:val="1"/>
      </w:pPr>
      <w:r>
        <w:rPr>
          <w:rFonts w:ascii="Noto Sans Arabic" w:hAnsi="Noto Sans Arabic" w:eastAsia="Noto Sans Arabic" w:cs="Noto Sans Arabic"/>
          <w:sz w:val="19"/>
        </w:rPr>
        <w:t>أتمتة WhatsApp بعد اعتماد المزود والرسائل.</w:t>
      </w:r>
    </w:p>
    <w:p>
      <w:pPr>
        <w:pStyle w:val="ListBullet"/>
        <w:ind w:right="288" w:left="72"/>
        <w:jc w:val="right"/>
        <w:bidi w:val="1"/>
      </w:pPr>
      <w:r>
        <w:rPr>
          <w:rFonts w:ascii="Noto Sans Arabic" w:hAnsi="Noto Sans Arabic" w:eastAsia="Noto Sans Arabic" w:cs="Noto Sans Arabic"/>
          <w:sz w:val="19"/>
        </w:rPr>
        <w:t>تجربة PWA/وضع مشغل الهاتف وتحسين متقدم للقوالب.</w:t>
      </w:r>
    </w:p>
    <w:p>
      <w:pPr>
        <w:pStyle w:val="Heading1"/>
        <w:jc w:val="right"/>
        <w:bidi w:val="1"/>
      </w:pPr>
      <w:r>
        <w:rPr>
          <w:rFonts w:ascii="Noto Sans Arabic" w:hAnsi="Noto Sans Arabic" w:eastAsia="Noto Sans Arabic" w:cs="Noto Sans Arabic"/>
          <w:b/>
          <w:color w:val="17365D"/>
          <w:sz w:val="32"/>
        </w:rPr>
        <w:t>12. النطاق المستبعد</w:t>
      </w:r>
    </w:p>
    <w:p>
      <w:pPr>
        <w:jc w:val="right"/>
        <w:bidi w:val="1"/>
      </w:pPr>
      <w:r>
        <w:rPr>
          <w:rFonts w:ascii="Noto Sans Arabic" w:hAnsi="Noto Sans Arabic" w:eastAsia="Noto Sans Arabic" w:cs="Noto Sans Arabic"/>
          <w:sz w:val="20"/>
        </w:rPr>
        <w:t>المحاسبة والقيود وGeneral Ledger ونظام ERP/CRM والمشتريات وHR والرواتب ونظام المخازن الكامل وPOS والتجارة الإلكترونية خارج النطاق. التعويض إن اعتمد يكون سجل حالة تشغيلية مرتبطًا بالخدمة/الاستبدال، لا وحدة محاسبية.</w:t>
      </w:r>
    </w:p>
    <w:p>
      <w:pPr>
        <w:pStyle w:val="Heading1"/>
        <w:jc w:val="right"/>
        <w:bidi w:val="1"/>
      </w:pPr>
      <w:r>
        <w:rPr>
          <w:rFonts w:ascii="Noto Sans Arabic" w:hAnsi="Noto Sans Arabic" w:eastAsia="Noto Sans Arabic" w:cs="Noto Sans Arabic"/>
          <w:b/>
          <w:color w:val="17365D"/>
          <w:sz w:val="32"/>
        </w:rPr>
        <w:t>13. حالة الوثيقة</w:t>
      </w:r>
    </w:p>
    <w:tbl>
      <w:tblPr>
        <w:tblW w:type="auto" w:w="0"/>
        <w:tblLook w:firstColumn="1" w:firstRow="1" w:lastColumn="0" w:lastRow="0" w:noHBand="0" w:noVBand="1" w:val="04A0"/>
      </w:tblPr>
      <w:tblGrid>
        <w:gridCol w:w="10224"/>
      </w:tblGrid>
      <w:tr>
        <w:tc>
          <w:tcPr>
            <w:tcW w:type="dxa" w:w="10224"/>
            <w:shd w:fill="F4CCCC"/>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الحالة — </w:t>
            </w:r>
            <w:r>
              <w:rPr>
                <w:rFonts w:ascii="Noto Sans Arabic" w:hAnsi="Noto Sans Arabic" w:eastAsia="Noto Sans Arabic" w:cs="Noto Sans Arabic"/>
                <w:sz w:val="19"/>
              </w:rPr>
              <w:t>DRAFT — لم يعتمد المالك هذه الوثيقة بعد. لا تعديل للكود أو GitHub أو Supabase بناءً عليها وحدها. أي تغيير يمدد المرجعية الأساسية يوثق في Amendment مستقل ذي إصدار.</w:t>
            </w:r>
          </w:p>
        </w:tc>
      </w:tr>
    </w:tbl>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666666"/>
        <w:sz w:val="16"/>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0F6B78"/>
        <w:sz w:val="16"/>
      </w:rPr>
      <w:t>SLEEPEE  |  المرجع التنفيذي قيد المراجعة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Arabic" w:hAnsi="Noto Sans Arabic" w:cs="Noto Sans Arab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Arabic" w:hAnsi="Noto Sans Arabic" w:cs="Noto Sans Arabic"/>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Arabic" w:hAnsi="Noto Sans Arabic" w:cs="Noto Sans Arabic"/>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Arabic" w:hAnsi="Noto Sans Arabic" w:cs="Noto Sans Arabic"/>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