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Viedoc.Data quality KPIs</w:t>
      </w:r>
    </w:p>
    <w:p>
      <w:pPr/>
      <w:r>
        <w:t xml:space="preserve">Oct 28, 2026</w:t>
      </w:r>
      <w:r>
        <w:t xml:space="preserve"> · </w:t>
      </w:r>
      <w:r>
        <w:t xml:space="preserve">@Phuong Chu</w:t>
      </w:r>
    </w:p>
    <w:p>
      <w:pPr/>
      <w:r>
        <w:t xml:space="preserve">KPIs, test strategy and gaps for a Viedoc.Data quality dashboard.</w:t>
      </w:r>
    </w:p>
    <w:p>
      <w:pPr>
        <w:pStyle w:val="Heading2"/>
      </w:pPr>
      <w:r>
        <w:t xml:space="preserve">Committed KPIs</w:t>
      </w:r>
    </w:p>
    <w:p>
      <w:pPr/>
      <w:r>
        <w:t xml:space="preserve">The KPIs we have agreed to track on the dashboard.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6"/>
        <w:gridCol w:w="909"/>
        <w:gridCol w:w="1873"/>
        <w:gridCol w:w="1068"/>
        <w:gridCol w:w="4204"/>
      </w:tblGrid>
      <w:tr>
        <w:trPr>
          <w:tblHeader/>
        </w:trPr>
        <w:tc>
          <w:tcPr>
            <w:tcW w:w="1306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1873" w:type="dxa"/>
            <w:shd w:val="clear" w:color="auto" w:fill="F2F2F2"/>
          </w:tcPr>
          <w:p>
            <w:pPr/>
            <w:r>
              <w:t xml:space="preserve">Data source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Review cadence</w:t>
            </w:r>
          </w:p>
        </w:tc>
        <w:tc>
          <w:tcPr>
            <w:tcW w:w="4204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End-to-end test run duration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873" w:type="dxa"/>
          </w:tcPr>
          <w:p>
            <w:pPr/>
            <w:r>
              <w:t xml:space="preserve">QA end-to-end test runs (</w:t>
            </w:r>
            <w:r>
              <w:rPr>
                <w:rStyle w:val="CodeChar"/>
              </w:rPr>
              <w:t xml:space="preserve">Viedoc.Data.Testing</w:t>
            </w:r>
            <w:r>
              <w:t xml:space="preserve">)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4204" w:type="dxa"/>
          </w:tcPr>
          <w:p>
            <w:pPr/>
            <w:r>
              <w:t xml:space="preserve">QA end-to-end suite only: it is slow, costs LLM tokens and decides how often it can run. Dev suites (</w:t>
            </w:r>
            <w:r>
              <w:rPr>
                <w:rStyle w:val="CodeChar"/>
              </w:rPr>
              <w:t xml:space="preserve">SystemTests</w:t>
            </w:r>
            <w:r>
              <w:t xml:space="preserve">, </w:t>
            </w:r>
            <w:r>
              <w:rPr>
                <w:rStyle w:val="CodeChar"/>
              </w:rPr>
              <w:t xml:space="preserve">AcceptanceTests</w:t>
            </w:r>
            <w:r>
              <w:t xml:space="preserve">) are not tracked here: their run time is the dev team's concern.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Dev test count per suite + skipped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873" w:type="dxa"/>
          </w:tcPr>
          <w:p>
            <w:pPr/>
            <w:r>
              <w:t xml:space="preserve">ADO test results of the </w:t>
            </w:r>
            <w:r>
              <w:rPr>
                <w:rStyle w:val="CodeChar"/>
              </w:rPr>
              <w:t xml:space="preserve">build-validation.yml</w:t>
            </w:r>
            <w:r>
              <w:t xml:space="preserve"> runs on main (published per test project)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4204" w:type="dxa"/>
          </w:tcPr>
          <w:p>
            <w:pPr/>
            <w:r>
              <w:t xml:space="preserve">Catches dev tests that are deleted or skipped while the build stays green; AC coverage only watches the acceptance tests. Baseline on main, 2026-10-29: about 2,950 unit, 66 integration, 136 system, 116 acceptance, 17 convention .NET tests and 63 vitest cases; 1 skipped. Watch the trend, not the absolute number.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Open bugs by severity and age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873" w:type="dxa"/>
          </w:tcPr>
          <w:p>
            <w:pPr/>
            <w:r>
              <w:t xml:space="preserve">ADO query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4204" w:type="dxa"/>
          </w:tcPr>
          <w:p>
            <w:pPr/>
          </w:p>
        </w:tc>
      </w:tr>
      <w:tr>
        <w:tc>
          <w:tcPr>
            <w:tcW w:w="1306" w:type="dxa"/>
          </w:tcPr>
          <w:p>
            <w:pPr/>
            <w:r>
              <w:t xml:space="preserve">Data freshness: Viedoc action to MCP-readable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873" w:type="dxa"/>
          </w:tcPr>
          <w:p>
            <w:pPr/>
            <w:r>
              <w:t xml:space="preserve">App Insights metric </w:t>
            </w:r>
            <w:r>
              <w:rPr>
                <w:rStyle w:val="CodeChar"/>
              </w:rPr>
              <w:t xml:space="preserve">app.marten.projection.business.latency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4204" w:type="dxa"/>
          </w:tcPr>
          <w:p>
            <w:pPr/>
            <w:r>
              <w:t xml:space="preserve">Today it stops when the event is stored. The async read models the API reads (</w:t>
            </w:r>
            <w:r>
              <w:rPr>
                <w:rStyle w:val="CodeChar"/>
              </w:rPr>
              <w:t xml:space="preserve">FormReadModel</w:t>
            </w:r>
            <w:r>
              <w:t xml:space="preserve">, </w:t>
            </w:r>
            <w:r>
              <w:rPr>
                <w:rStyle w:val="CodeChar"/>
              </w:rPr>
              <w:t xml:space="preserve">ItemReadModel</w:t>
            </w:r>
            <w:r>
              <w:t xml:space="preserve">, </w:t>
            </w:r>
            <w:r>
              <w:rPr>
                <w:rStyle w:val="CodeChar"/>
              </w:rPr>
              <w:t xml:space="preserve">EventReadModel</w:t>
            </w:r>
            <w:r>
              <w:t xml:space="preserve">, </w:t>
            </w:r>
            <w:r>
              <w:rPr>
                <w:rStyle w:val="CodeChar"/>
              </w:rPr>
              <w:t xml:space="preserve">QueryReadModel</w:t>
            </w:r>
            <w:r>
              <w:t xml:space="preserve">) are not measured yet.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Failed or skipped events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873" w:type="dxa"/>
          </w:tcPr>
          <w:p>
            <w:pPr/>
            <w:r>
              <w:t xml:space="preserve">App Insights counters </w:t>
            </w:r>
            <w:r>
              <w:rPr>
                <w:rStyle w:val="CodeChar"/>
              </w:rPr>
              <w:t xml:space="preserve">processor.events.duplicate_skipped</w:t>
            </w:r>
            <w:r>
              <w:t xml:space="preserve">, </w:t>
            </w:r>
            <w:r>
              <w:rPr>
                <w:rStyle w:val="CodeChar"/>
              </w:rPr>
              <w:t xml:space="preserve">cdc.harvester.errors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4204" w:type="dxa"/>
          </w:tcPr>
          <w:p>
            <w:pPr/>
            <w:r>
              <w:t xml:space="preserve">No counter for failed events yet</w:t>
            </w:r>
          </w:p>
        </w:tc>
      </w:tr>
      <w:tr>
        <w:tc>
          <w:tcPr>
            <w:tcW w:w="1306" w:type="dxa"/>
          </w:tcPr>
          <w:p>
            <w:pPr/>
            <w:r>
              <w:t xml:space="preserve">AC coverage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873" w:type="dxa"/>
          </w:tcPr>
          <w:p>
            <w:pPr/>
            <w:r>
              <w:t xml:space="preserve">Requirement / AcceptanceCriterion test traits + each PBI's Acceptance Criteria field in ADO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4204" w:type="dxa"/>
          </w:tcPr>
          <w:p>
            <w:pPr/>
            <w:r>
              <w:t xml:space="preserve">Source is </w:t>
            </w:r>
            <w:r>
              <w:rPr>
                <w:rStyle w:val="CodeChar"/>
              </w:rPr>
              <w:t xml:space="preserve">Viedoc.Data.AcceptanceTests</w:t>
            </w:r>
            <w:r>
              <w:t xml:space="preserve">: track whether every AC has a test, not how fast they run. Also catches deleted or skipped dev tests. Needs the AC coverage script (Gaps). Today only PBIs 105523, 105540 and 105701 have acceptance tests.</w:t>
            </w:r>
          </w:p>
        </w:tc>
      </w:tr>
    </w:tbl>
    <w:p>
      <w:pPr>
        <w:pStyle w:val="Heading2"/>
      </w:pPr>
      <w:r>
        <w:t xml:space="preserve">Test strategy</w:t>
      </w:r>
    </w:p>
    <w:p>
      <w:pPr/>
      <w:r>
        <w:t xml:space="preserve">Every acceptance criterion is covered by the dev team's automated tests in the Viedoc.Data repo (target: 100% AC coverage). The QA end-to-end suite does not re-test ACs; it covers only what needs a real LLM and real data, so it stays small and runs rarely.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7"/>
        <w:gridCol w:w="4920"/>
        <w:gridCol w:w="1723"/>
      </w:tblGrid>
      <w:tr>
        <w:trPr>
          <w:tblHeader/>
        </w:trPr>
        <w:tc>
          <w:tcPr>
            <w:tcW w:w="2717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1723" w:type="dxa"/>
            <w:shd w:val="clear" w:color="auto" w:fill="F2F2F2"/>
          </w:tcPr>
          <w:p>
            <w:pPr/>
            <w:r>
              <w:t xml:space="preserve">Runs</w:t>
            </w:r>
          </w:p>
        </w:tc>
      </w:tr>
      <w:tr>
        <w:tc>
          <w:tcPr>
            <w:tcW w:w="2717" w:type="dxa"/>
          </w:tcPr>
          <w:p>
            <w:pPr/>
            <w:r>
              <w:t xml:space="preserve">Dev tests: unit, integration, system, acceptance (Viedoc.Data repo)</w:t>
            </w:r>
          </w:p>
        </w:tc>
        <w:tc>
          <w:tcPr>
            <w:tcW w:w="4920" w:type="dxa"/>
          </w:tcPr>
          <w:p>
            <w:pPr/>
            <w:r>
              <w:t xml:space="preserve">Every AC. Tool data: counts, filters, rankings, per-site totals. Access: missing role, missing </w:t>
            </w:r>
            <w:r>
              <w:rPr>
                <w:rStyle w:val="CodeChar"/>
              </w:rPr>
              <w:t xml:space="preserve">ViewMetrics</w:t>
            </w:r>
            <w:r>
              <w:t xml:space="preserve">, sites out of scope. Data edge cases: deleted, hidden, Training, timezone, empty values, zero denominators. CDC to Processor sync.</w:t>
            </w:r>
          </w:p>
        </w:tc>
        <w:tc>
          <w:tcPr>
            <w:tcW w:w="1723" w:type="dxa"/>
          </w:tcPr>
          <w:p>
            <w:pPr/>
            <w:r>
              <w:t xml:space="preserve">Every PR and every deploy</w:t>
            </w:r>
          </w:p>
        </w:tc>
      </w:tr>
      <w:tr>
        <w:tc>
          <w:tcPr>
            <w:tcW w:w="2717" w:type="dxa"/>
          </w:tcPr>
          <w:p>
            <w:pPr/>
            <w:r>
              <w:t xml:space="preserve">QA end-to-end suite, short set: about 20–30 questions (Viedoc.Data.Testing)</w:t>
            </w:r>
          </w:p>
        </w:tc>
        <w:tc>
          <w:tcPr>
            <w:tcW w:w="4920" w:type="dxa"/>
          </w:tcPr>
          <w:p>
            <w:pPr/>
            <w:r>
              <w:t xml:space="preserve">The bot picks the right tool and arguments from a natural question; for each AC phrased as "user can ask …", 1–2 questions proving the bot reaches that tool</w:t>
            </w:r>
          </w:p>
        </w:tc>
        <w:tc>
          <w:tcPr>
            <w:tcW w:w="1723" w:type="dxa"/>
          </w:tcPr>
          <w:p>
            <w:pPr/>
            <w:r>
              <w:t xml:space="preserve">Nightly, or after each dev1 deploy</w:t>
            </w:r>
          </w:p>
        </w:tc>
      </w:tr>
      <w:tr>
        <w:tc>
          <w:tcPr>
            <w:tcW w:w="2717" w:type="dxa"/>
          </w:tcPr>
          <w:p>
            <w:pPr/>
            <w:r>
              <w:t xml:space="preserve">QA end-to-end suite, full set</w:t>
            </w:r>
          </w:p>
        </w:tc>
        <w:tc>
          <w:tcPr>
            <w:tcW w:w="4920" w:type="dxa"/>
          </w:tcPr>
          <w:p>
            <w:pPr/>
            <w:r>
              <w:t xml:space="preserve">Paraphrases, answer wording (no wrong sums, nothing invented), end-to-end on dev1 with real login, tokens, data and freshness, red-team (prompt injection, out-of-scope asks)</w:t>
            </w:r>
          </w:p>
        </w:tc>
        <w:tc>
          <w:tcPr>
            <w:tcW w:w="1723" w:type="dxa"/>
          </w:tcPr>
          <w:p>
            <w:pPr/>
            <w:r>
              <w:t xml:space="preserve">Weekly, and required before each release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An acceptance test calls the MCP tool directly, so a green test proves the tool returns the right data, not that the bot uses it.</w:t>
      </w:r>
    </w:p>
    <w:p>
      <w:pPr>
        <w:pStyle w:val="ListParagraph"/>
        <w:numPr>
          <w:ilvl w:val="0"/>
          <w:numId w:val="2"/>
        </w:numPr>
      </w:pPr>
      <w:r>
        <w:t xml:space="preserve">The bot is not deterministic: a scheduled end-to-end fail counts only when the same question fails 3 times out of 3, which is why the short set stays small.</w:t>
      </w:r>
    </w:p>
    <w:p>
      <w:pPr>
        <w:pStyle w:val="ListParagraph"/>
        <w:numPr>
          <w:ilvl w:val="0"/>
          <w:numId w:val="2"/>
        </w:numPr>
      </w:pPr>
      <w:r>
        <w:t xml:space="preserve">Moving tests down a layer is dev work and needs the dev team's agreement; it fits TBI </w:t>
      </w:r>
      <w:hyperlink r:id="rId3" w:history="1">
        <w:r>
          <w:rPr>
            <w:rStyle w:val="Hyperlink"/>
          </w:rPr>
          <w:t xml:space="preserve">107801 — Shift Left Testing</w:t>
        </w:r>
      </w:hyperlink>
      <w:r>
        <w:t xml:space="preserve">.</w:t>
      </w:r>
    </w:p>
    <w:p>
      <w:pPr>
        <w:pStyle w:val="Heading2"/>
      </w:pPr>
      <w:r>
        <w:t xml:space="preserve">Test types</w:t>
      </w:r>
    </w:p>
    <w:p>
      <w:pPr/>
      <w:r>
        <w:t xml:space="preserve">Seven kinds of suites, each answering a different question. All dev suites live in the Viedoc.Data repo and run in every PR build, in memory or on containers with stubs; only the QA suite runs on a real environment through a real chatbot. Test counts are </w:t>
      </w:r>
      <w:r>
        <w:rPr>
          <w:rStyle w:val="CodeChar"/>
        </w:rPr>
        <w:t xml:space="preserve">[Fact]</w:t>
      </w:r>
      <w:r>
        <w:t xml:space="preserve">/</w:t>
      </w:r>
      <w:r>
        <w:rPr>
          <w:rStyle w:val="CodeChar"/>
        </w:rPr>
        <w:t xml:space="preserve">[Theory]</w:t>
      </w:r>
      <w:r>
        <w:t xml:space="preserve"> methods on main on 2026-10-29 (a theory runs several cases).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3"/>
        <w:gridCol w:w="915"/>
        <w:gridCol w:w="3335"/>
        <w:gridCol w:w="1735"/>
        <w:gridCol w:w="1312"/>
      </w:tblGrid>
      <w:tr>
        <w:trPr>
          <w:tblHeader/>
        </w:trPr>
        <w:tc>
          <w:tcPr>
            <w:tcW w:w="2063" w:type="dxa"/>
            <w:shd w:val="clear" w:color="auto" w:fill="F2F2F2"/>
          </w:tcPr>
          <w:p>
            <w:pPr/>
            <w:r>
              <w:t xml:space="preserve">Suite</w:t>
            </w:r>
          </w:p>
        </w:tc>
        <w:tc>
          <w:tcPr>
            <w:tcW w:w="915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3335" w:type="dxa"/>
            <w:shd w:val="clear" w:color="auto" w:fill="F2F2F2"/>
          </w:tcPr>
          <w:p>
            <w:pPr/>
            <w:r>
              <w:t xml:space="preserve">Question it answers</w:t>
            </w:r>
          </w:p>
        </w:tc>
        <w:tc>
          <w:tcPr>
            <w:tcW w:w="1735" w:type="dxa"/>
            <w:shd w:val="clear" w:color="auto" w:fill="F2F2F2"/>
          </w:tcPr>
          <w:p>
            <w:pPr/>
            <w:r>
              <w:t xml:space="preserve">Runs against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t xml:space="preserve">Calls the MCP how</w:t>
            </w:r>
          </w:p>
        </w:tc>
      </w:tr>
      <w:tr>
        <w:tc>
          <w:tcPr>
            <w:tcW w:w="2063" w:type="dxa"/>
          </w:tcPr>
          <w:p>
            <w:pPr/>
            <w:r>
              <w:t xml:space="preserve">Unit tests: 9 projects, about 2,950 tests (</w:t>
            </w:r>
            <w:r>
              <w:rPr>
                <w:rStyle w:val="CodeChar"/>
              </w:rPr>
              <w:t xml:space="preserve">Platform.Processor</w:t>
            </w:r>
            <w:r>
              <w:t xml:space="preserve"> 914, </w:t>
            </w:r>
            <w:r>
              <w:rPr>
                <w:rStyle w:val="CodeChar"/>
              </w:rPr>
              <w:t xml:space="preserve">Cdc.Orchestrator</w:t>
            </w:r>
            <w:r>
              <w:t xml:space="preserve"> 875, </w:t>
            </w:r>
            <w:r>
              <w:rPr>
                <w:rStyle w:val="CodeChar"/>
              </w:rPr>
              <w:t xml:space="preserve">Platform.Api</w:t>
            </w:r>
            <w:r>
              <w:t xml:space="preserve"> 535, </w:t>
            </w:r>
            <w:r>
              <w:rPr>
                <w:rStyle w:val="CodeChar"/>
              </w:rPr>
              <w:t xml:space="preserve">Mcp.Api</w:t>
            </w:r>
            <w:r>
              <w:t xml:space="preserve"> 410, </w:t>
            </w:r>
            <w:r>
              <w:rPr>
                <w:rStyle w:val="CodeChar"/>
              </w:rPr>
              <w:t xml:space="preserve">Cdc.Api</w:t>
            </w:r>
            <w:r>
              <w:t xml:space="preserve"> 81, </w:t>
            </w:r>
            <w:r>
              <w:rPr>
                <w:rStyle w:val="CodeChar"/>
              </w:rPr>
              <w:t xml:space="preserve">Cockpit.Bff</w:t>
            </w:r>
            <w:r>
              <w:t xml:space="preserve"> 60, </w:t>
            </w:r>
            <w:r>
              <w:rPr>
                <w:rStyle w:val="CodeChar"/>
              </w:rPr>
              <w:t xml:space="preserve">Mcp.Auth</w:t>
            </w:r>
            <w:r>
              <w:t xml:space="preserve"> 46, </w:t>
            </w:r>
            <w:r>
              <w:rPr>
                <w:rStyle w:val="CodeChar"/>
              </w:rPr>
              <w:t xml:space="preserve">Shared</w:t>
            </w:r>
            <w:r>
              <w:t xml:space="preserve"> 25, </w:t>
            </w:r>
            <w:r>
              <w:rPr>
                <w:rStyle w:val="CodeChar"/>
              </w:rPr>
              <w:t xml:space="preserve">Resources</w:t>
            </w:r>
            <w:r>
              <w:t xml:space="preserve"> 11)</w:t>
            </w:r>
          </w:p>
        </w:tc>
        <w:tc>
          <w:tcPr>
            <w:tcW w:w="915" w:type="dxa"/>
          </w:tcPr>
          <w:p>
            <w:pPr/>
            <w:r>
              <w:t xml:space="preserve">Dev</w:t>
            </w:r>
          </w:p>
        </w:tc>
        <w:tc>
          <w:tcPr>
            <w:tcW w:w="3335" w:type="dxa"/>
          </w:tcPr>
          <w:p>
            <w:pPr/>
            <w:r>
              <w:t xml:space="preserve">Does each class or component of one service behave as coded?</w:t>
            </w:r>
          </w:p>
        </w:tc>
        <w:tc>
          <w:tcPr>
            <w:tcW w:w="1735" w:type="dxa"/>
          </w:tcPr>
          <w:p>
            <w:pPr/>
            <w:r>
              <w:t xml:space="preserve">Mostly in memory with mocks; a few start a test web host or a container</w:t>
            </w:r>
          </w:p>
        </w:tc>
        <w:tc>
          <w:tcPr>
            <w:tcW w:w="1312" w:type="dxa"/>
          </w:tcPr>
          <w:p>
            <w:pPr/>
            <w:r>
              <w:t xml:space="preserve">Only the Mcp projects, in process; no LLM</w:t>
            </w:r>
          </w:p>
        </w:tc>
      </w:tr>
      <w:tr>
        <w:tc>
          <w:tcPr>
            <w:tcW w:w="2063" w:type="dxa"/>
          </w:tcPr>
          <w:p>
            <w:pPr/>
            <w:r>
              <w:t xml:space="preserve">Convention tests: </w:t>
            </w:r>
            <w:r>
              <w:rPr>
                <w:rStyle w:val="CodeChar"/>
              </w:rPr>
              <w:t xml:space="preserve">Viedoc.Data.Conventions.Tests</w:t>
            </w:r>
            <w:r>
              <w:t xml:space="preserve"> (17)</w:t>
            </w:r>
          </w:p>
        </w:tc>
        <w:tc>
          <w:tcPr>
            <w:tcW w:w="915" w:type="dxa"/>
          </w:tcPr>
          <w:p>
            <w:pPr/>
            <w:r>
              <w:t xml:space="preserve">Dev</w:t>
            </w:r>
          </w:p>
        </w:tc>
        <w:tc>
          <w:tcPr>
            <w:tcW w:w="3335" w:type="dxa"/>
          </w:tcPr>
          <w:p>
            <w:pPr/>
            <w:r>
              <w:t xml:space="preserve">Does the code follow the team's rules? Architecture layering, code style, event type aliases, harvester names, metric catalog</w:t>
            </w:r>
          </w:p>
        </w:tc>
        <w:tc>
          <w:tcPr>
            <w:tcW w:w="1735" w:type="dxa"/>
          </w:tcPr>
          <w:p>
            <w:pPr/>
            <w:r>
              <w:t xml:space="preserve">The source code and compiled assemblies only</w:t>
            </w:r>
          </w:p>
        </w:tc>
        <w:tc>
          <w:tcPr>
            <w:tcW w:w="1312" w:type="dxa"/>
          </w:tcPr>
          <w:p>
            <w:pPr/>
            <w:r>
              <w:t xml:space="preserve">Not at all</w:t>
            </w:r>
          </w:p>
        </w:tc>
      </w:tr>
      <w:tr>
        <w:tc>
          <w:tcPr>
            <w:tcW w:w="2063" w:type="dxa"/>
          </w:tcPr>
          <w:p>
            <w:pPr/>
            <w:r>
              <w:t xml:space="preserve">Integration tests: </w:t>
            </w:r>
            <w:r>
              <w:rPr>
                <w:rStyle w:val="CodeChar"/>
              </w:rPr>
              <w:t xml:space="preserve">Viedoc.Data.Platform.Api.IntegrationTests</w:t>
            </w:r>
            <w:r>
              <w:t xml:space="preserve"> (66)</w:t>
            </w:r>
          </w:p>
        </w:tc>
        <w:tc>
          <w:tcPr>
            <w:tcW w:w="915" w:type="dxa"/>
          </w:tcPr>
          <w:p>
            <w:pPr/>
            <w:r>
              <w:t xml:space="preserve">Dev</w:t>
            </w:r>
          </w:p>
        </w:tc>
        <w:tc>
          <w:tcPr>
            <w:tcW w:w="3335" w:type="dxa"/>
          </w:tcPr>
          <w:p>
            <w:pPr/>
            <w:r>
              <w:t xml:space="preserve">Do the Platform API queries (study, site, subject, design, queries, event/form/item) translate into working database queries?</w:t>
            </w:r>
          </w:p>
        </w:tc>
        <w:tc>
          <w:tcPr>
            <w:tcW w:w="1735" w:type="dxa"/>
          </w:tcPr>
          <w:p>
            <w:pPr/>
            <w:r>
              <w:t xml:space="preserve">A real Postgres event store with read models stored by the test</w:t>
            </w:r>
          </w:p>
        </w:tc>
        <w:tc>
          <w:tcPr>
            <w:tcW w:w="1312" w:type="dxa"/>
          </w:tcPr>
          <w:p>
            <w:pPr/>
            <w:r>
              <w:t xml:space="preserve">Not at all</w:t>
            </w:r>
          </w:p>
        </w:tc>
      </w:tr>
      <w:tr>
        <w:tc>
          <w:tcPr>
            <w:tcW w:w="2063" w:type="dxa"/>
          </w:tcPr>
          <w:p>
            <w:pPr/>
            <w:r>
              <w:t xml:space="preserve">Cockpit web tests: vitest </w:t>
            </w:r>
            <w:r>
              <w:rPr>
                <w:rStyle w:val="CodeChar"/>
              </w:rPr>
              <w:t xml:space="preserve">cockpit-web</w:t>
            </w:r>
            <w:r>
              <w:t xml:space="preserve"> (63)</w:t>
            </w:r>
          </w:p>
        </w:tc>
        <w:tc>
          <w:tcPr>
            <w:tcW w:w="915" w:type="dxa"/>
          </w:tcPr>
          <w:p>
            <w:pPr/>
            <w:r>
              <w:t xml:space="preserve">Dev</w:t>
            </w:r>
          </w:p>
        </w:tc>
        <w:tc>
          <w:tcPr>
            <w:tcW w:w="3335" w:type="dxa"/>
          </w:tcPr>
          <w:p>
            <w:pPr/>
            <w:r>
              <w:t xml:space="preserve">Does the Cockpit admin UI (harvest locks, managed studies, studies) behave as coded?</w:t>
            </w:r>
          </w:p>
        </w:tc>
        <w:tc>
          <w:tcPr>
            <w:tcW w:w="1735" w:type="dxa"/>
          </w:tcPr>
          <w:p>
            <w:pPr/>
            <w:r>
              <w:t xml:space="preserve">Node test runner, no live backend</w:t>
            </w:r>
          </w:p>
        </w:tc>
        <w:tc>
          <w:tcPr>
            <w:tcW w:w="1312" w:type="dxa"/>
          </w:tcPr>
          <w:p>
            <w:pPr/>
            <w:r>
              <w:t xml:space="preserve">Not at all</w:t>
            </w:r>
          </w:p>
        </w:tc>
      </w:tr>
      <w:tr>
        <w:tc>
          <w:tcPr>
            <w:tcW w:w="2063" w:type="dxa"/>
          </w:tcPr>
          <w:p>
            <w:pPr/>
            <w:r>
              <w:t xml:space="preserve">System tests: </w:t>
            </w:r>
            <w:r>
              <w:rPr>
                <w:rStyle w:val="CodeChar"/>
              </w:rPr>
              <w:t xml:space="preserve">Viedoc.Data.SystemTests</w:t>
            </w:r>
            <w:r>
              <w:t xml:space="preserve"> (136)</w:t>
            </w:r>
          </w:p>
        </w:tc>
        <w:tc>
          <w:tcPr>
            <w:tcW w:w="915" w:type="dxa"/>
          </w:tcPr>
          <w:p>
            <w:pPr/>
            <w:r>
              <w:t xml:space="preserve">Dev</w:t>
            </w:r>
          </w:p>
        </w:tc>
        <w:tc>
          <w:tcPr>
            <w:tcW w:w="3335" w:type="dxa"/>
          </w:tcPr>
          <w:p>
            <w:pPr/>
            <w:r>
              <w:t xml:space="preserve">Does the data pipeline work end to end? CDC → EventHub → Processor → Marten, event ordering and dedup, query translation, Internal API over gRPC</w:t>
            </w:r>
          </w:p>
        </w:tc>
        <w:tc>
          <w:tcPr>
            <w:tcW w:w="1735" w:type="dxa"/>
          </w:tcPr>
          <w:p>
            <w:pPr/>
            <w:r>
              <w:t xml:space="preserve">One MySQL container and one AppHost per run, seeded data, STS stub</w:t>
            </w:r>
          </w:p>
        </w:tc>
        <w:tc>
          <w:tcPr>
            <w:tcW w:w="1312" w:type="dxa"/>
          </w:tcPr>
          <w:p>
            <w:pPr/>
            <w:r>
              <w:t xml:space="preserve">Not at all (Internal API only)</w:t>
            </w:r>
          </w:p>
        </w:tc>
      </w:tr>
      <w:tr>
        <w:tc>
          <w:tcPr>
            <w:tcW w:w="2063" w:type="dxa"/>
          </w:tcPr>
          <w:p>
            <w:pPr/>
            <w:r>
              <w:t xml:space="preserve">Acceptance tests: </w:t>
            </w:r>
            <w:r>
              <w:rPr>
                <w:rStyle w:val="CodeChar"/>
              </w:rPr>
              <w:t xml:space="preserve">Viedoc.Data.AcceptanceTests</w:t>
            </w:r>
            <w:r>
              <w:t xml:space="preserve"> (116)</w:t>
            </w:r>
          </w:p>
        </w:tc>
        <w:tc>
          <w:tcPr>
            <w:tcW w:w="915" w:type="dxa"/>
          </w:tcPr>
          <w:p>
            <w:pPr/>
            <w:r>
              <w:t xml:space="preserve">Dev</w:t>
            </w:r>
          </w:p>
        </w:tc>
        <w:tc>
          <w:tcPr>
            <w:tcW w:w="3335" w:type="dxa"/>
          </w:tcPr>
          <w:p>
            <w:pPr/>
            <w:r>
              <w:t xml:space="preserve">Is each acceptance criterion of a PBI, TBI or Bug met? One test class per work item, tagged </w:t>
            </w:r>
            <w:r>
              <w:rPr>
                <w:rStyle w:val="CodeChar"/>
              </w:rPr>
              <w:t xml:space="preserve">[Requirement]</w:t>
            </w:r>
            <w:r>
              <w:t xml:space="preserve"> and </w:t>
            </w:r>
            <w:r>
              <w:rPr>
                <w:rStyle w:val="CodeChar"/>
              </w:rPr>
              <w:t xml:space="preserve">[AcceptanceCriterion]</w:t>
            </w:r>
            <w:r>
              <w:t xml:space="preserve">; results published to the PBI as Test Case and Test Result</w:t>
            </w:r>
          </w:p>
        </w:tc>
        <w:tc>
          <w:tcPr>
            <w:tcW w:w="1735" w:type="dxa"/>
          </w:tcPr>
          <w:p>
            <w:pPr/>
            <w:r>
              <w:t xml:space="preserve">One MySQL container and one AppHost per run, </w:t>
            </w:r>
            <w:r>
              <w:rPr>
                <w:rStyle w:val="CodeChar"/>
              </w:rPr>
              <w:t xml:space="preserve">seed.sql</w:t>
            </w:r>
            <w:r>
              <w:t xml:space="preserve"> per work item, auth and STS stubs</w:t>
            </w:r>
          </w:p>
        </w:tc>
        <w:tc>
          <w:tcPr>
            <w:tcW w:w="1312" w:type="dxa"/>
          </w:tcPr>
          <w:p>
            <w:pPr/>
            <w:r>
              <w:t xml:space="preserve">Calls the tool directly with arguments the test writes; no LLM</w:t>
            </w:r>
          </w:p>
        </w:tc>
      </w:tr>
      <w:tr>
        <w:tc>
          <w:tcPr>
            <w:tcW w:w="2063" w:type="dxa"/>
          </w:tcPr>
          <w:p>
            <w:pPr/>
            <w:r>
              <w:t xml:space="preserve">QA end-to-end tests: </w:t>
            </w:r>
            <w:r>
              <w:rPr>
                <w:rStyle w:val="CodeChar"/>
              </w:rPr>
              <w:t xml:space="preserve">Viedoc.Data.Testing</w:t>
            </w:r>
            <w:r>
              <w:t xml:space="preserve"> (Viedoc.PlaywrightTests repo)</w:t>
            </w:r>
          </w:p>
        </w:tc>
        <w:tc>
          <w:tcPr>
            <w:tcW w:w="915" w:type="dxa"/>
          </w:tcPr>
          <w:p>
            <w:pPr/>
            <w:r>
              <w:t xml:space="preserve">QA</w:t>
            </w:r>
          </w:p>
        </w:tc>
        <w:tc>
          <w:tcPr>
            <w:tcW w:w="3335" w:type="dxa"/>
          </w:tcPr>
          <w:p>
            <w:pPr/>
            <w:r>
              <w:t xml:space="preserve">Does a real user get a correct answer? The bot picks the tool from a natural question, the answer matches MySQL, end to end on a live environment</w:t>
            </w:r>
          </w:p>
        </w:tc>
        <w:tc>
          <w:tcPr>
            <w:tcW w:w="1735" w:type="dxa"/>
          </w:tcPr>
          <w:p>
            <w:pPr/>
            <w:r>
              <w:t xml:space="preserve">dev1: real Viedoc, real data, real login and tokens</w:t>
            </w:r>
          </w:p>
        </w:tc>
        <w:tc>
          <w:tcPr>
            <w:tcW w:w="1312" w:type="dxa"/>
          </w:tcPr>
          <w:p>
            <w:pPr/>
            <w:r>
              <w:t xml:space="preserve">A real chatbot (Claude CLI) asks as a named test account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Naming: "system tests" means the dev team's pipeline suite; the QA suite is called end-to-end tests.</w:t>
      </w:r>
    </w:p>
    <w:p>
      <w:pPr>
        <w:pStyle w:val="ListParagraph"/>
        <w:numPr>
          <w:ilvl w:val="0"/>
          <w:numId w:val="3"/>
        </w:numPr>
      </w:pPr>
      <w:r>
        <w:t xml:space="preserve">A green acceptance test proves the tool's data for that AC, not that the bot reaches the tool; the QA suite covers that link.</w:t>
      </w:r>
    </w:p>
    <w:p>
      <w:pPr>
        <w:pStyle w:val="Heading2"/>
      </w:pPr>
      <w:r>
        <w:t xml:space="preserve">Gaps</w:t>
      </w:r>
    </w:p>
    <w:p>
      <w:pPr/>
      <w:r>
        <w:t xml:space="preserve">Without these, some KPIs stay green while dev1 is broken, or cannot be measured at all.</w:t>
      </w:r>
    </w:p>
    <w:p>
      <w:pPr>
        <w:pStyle w:val="ListParagraph"/>
        <w:numPr>
          <w:ilvl w:val="0"/>
          <w:numId w:val="4"/>
        </w:numPr>
      </w:pPr>
      <w:r>
        <w:t xml:space="preserve">☐ Post-deploy smoke test on dev1: </w:t>
      </w:r>
      <w:r>
        <w:rPr>
          <w:rStyle w:val="CodeChar"/>
        </w:rPr>
        <w:t xml:space="preserve">deploy.yml</w:t>
      </w:r>
      <w:r>
        <w:t xml:space="preserve"> ends at "Deploy via deploy.ps1" with no check against the running app. In progress: Task 108676 "Add smoke test to the deployment pipeline", under TBI 107801 "Shift Left Testing".</w:t>
      </w:r>
    </w:p>
    <w:p>
      <w:pPr>
        <w:pStyle w:val="ListParagraph"/>
        <w:numPr>
          <w:ilvl w:val="0"/>
          <w:numId w:val="4"/>
        </w:numPr>
      </w:pPr>
      <w:r>
        <w:t xml:space="preserve">☐ AC coverage script: read the </w:t>
      </w:r>
      <w:r>
        <w:rPr>
          <w:rStyle w:val="CodeChar"/>
        </w:rPr>
        <w:t xml:space="preserve">Requirement</w:t>
      </w:r>
      <w:r>
        <w:t xml:space="preserve"> / </w:t>
      </w:r>
      <w:r>
        <w:rPr>
          <w:rStyle w:val="CodeChar"/>
        </w:rPr>
        <w:t xml:space="preserve">AcceptanceCriterion</w:t>
      </w:r>
      <w:r>
        <w:t xml:space="preserve"> traits and compare with each PBI's Acceptance Criteria field. Today only PBIs 105523, 105540 and 105701 have acceptance tests.</w:t>
      </w:r>
    </w:p>
    <w:p>
      <w:pPr>
        <w:pStyle w:val="ListParagraph"/>
        <w:numPr>
          <w:ilvl w:val="0"/>
          <w:numId w:val="4"/>
        </w:numPr>
      </w:pPr>
      <w:r>
        <w:t xml:space="preserve">☐ End-to-end freshness (Viedoc action to read model updated): add a histogram next to </w:t>
      </w:r>
      <w:r>
        <w:rPr>
          <w:rStyle w:val="CodeChar"/>
        </w:rPr>
        <w:t xml:space="preserve">app.marten.projection.business.latency</w:t>
      </w:r>
      <w:r>
        <w:t xml:space="preserve"> in </w:t>
      </w:r>
      <w:r>
        <w:rPr>
          <w:rStyle w:val="CodeChar"/>
        </w:rPr>
        <w:t xml:space="preserve">Telemetry/MartenTelemetry.cs</w:t>
      </w:r>
      <w:r>
        <w:t xml:space="preserve">, recorded as </w:t>
      </w:r>
      <w:r>
        <w:rPr>
          <w:rStyle w:val="CodeChar"/>
        </w:rPr>
        <w:t xml:space="preserve">now - SourceSystemChangeTime</w:t>
      </w:r>
      <w:r>
        <w:t xml:space="preserve"> when each async read-model projection (</w:t>
      </w:r>
      <w:r>
        <w:rPr>
          <w:rStyle w:val="CodeChar"/>
        </w:rPr>
        <w:t xml:space="preserve">FormReadModel</w:t>
      </w:r>
      <w:r>
        <w:t xml:space="preserve">, </w:t>
      </w:r>
      <w:r>
        <w:rPr>
          <w:rStyle w:val="CodeChar"/>
        </w:rPr>
        <w:t xml:space="preserve">ItemReadModel</w:t>
      </w:r>
      <w:r>
        <w:t xml:space="preserve">, </w:t>
      </w:r>
      <w:r>
        <w:rPr>
          <w:rStyle w:val="CodeChar"/>
        </w:rPr>
        <w:t xml:space="preserve">EventReadModel</w:t>
      </w:r>
      <w:r>
        <w:t xml:space="preserve">, </w:t>
      </w:r>
      <w:r>
        <w:rPr>
          <w:rStyle w:val="CodeChar"/>
        </w:rPr>
        <w:t xml:space="preserve">QueryReadModel</w:t>
      </w:r>
      <w:r>
        <w:t xml:space="preserve">) has applied the event. </w:t>
      </w:r>
      <w:r>
        <w:rPr>
          <w:rStyle w:val="CodeChar"/>
        </w:rPr>
        <w:t xml:space="preserve">SourceSystemChangeTime</w:t>
      </w:r>
      <w:r>
        <w:t xml:space="preserve"> is already on every event header (</w:t>
      </w:r>
      <w:r>
        <w:rPr>
          <w:rStyle w:val="CodeChar"/>
        </w:rPr>
        <w:t xml:space="preserve">EventProcessor.cs</w:t>
      </w:r>
      <w:r>
        <w:t xml:space="preserve">). Today's metric stops at event append. Not raised with the dev team yet.</w:t>
      </w:r>
    </w:p>
    <w:p>
      <w:pPr>
        <w:pStyle w:val="ListParagraph"/>
        <w:numPr>
          <w:ilvl w:val="0"/>
          <w:numId w:val="4"/>
        </w:numPr>
      </w:pPr>
      <w:r>
        <w:t xml:space="preserve">☐ MCP errors per tool: a failing tool still returns HTTP 200 and every request is named </w:t>
      </w:r>
      <w:r>
        <w:rPr>
          <w:rStyle w:val="CodeChar"/>
        </w:rPr>
        <w:t xml:space="preserve">POST /mcp/</w:t>
      </w:r>
      <w:r>
        <w:t xml:space="preserve">, so App Insights cannot show which tool fails. Fix: record the tool name and success or failure on each call (a request tag, or a metric such as </w:t>
      </w:r>
      <w:r>
        <w:rPr>
          <w:rStyle w:val="CodeChar"/>
        </w:rPr>
        <w:t xml:space="preserve">mcp.tool.calls</w:t>
      </w:r>
      <w:r>
        <w:t xml:space="preserve"> tagged </w:t>
      </w:r>
      <w:r>
        <w:rPr>
          <w:rStyle w:val="CodeChar"/>
        </w:rPr>
        <w:t xml:space="preserve">tool</w:t>
      </w:r>
      <w:r>
        <w:t xml:space="preserve"> and </w:t>
      </w:r>
      <w:r>
        <w:rPr>
          <w:rStyle w:val="CodeChar"/>
        </w:rPr>
        <w:t xml:space="preserve">success</w:t>
      </w:r>
      <w:r>
        <w:t xml:space="preserve">). For the dev team; not raised yet.</w:t>
      </w:r>
    </w:p>
    <w:p>
      <w:pPr>
        <w:pStyle w:val="ListParagraph"/>
        <w:numPr>
          <w:ilvl w:val="0"/>
          <w:numId w:val="4"/>
        </w:numPr>
      </w:pPr>
      <w:r>
        <w:t xml:space="preserve">☐ Data freshness accuracy: </w:t>
      </w:r>
      <w:r>
        <w:rPr>
          <w:rStyle w:val="CodeChar"/>
        </w:rPr>
        <w:t xml:space="preserve">app.marten.projection.business.latency</w:t>
      </w:r>
      <w:r>
        <w:t xml:space="preserve"> has no tag to tell backfill from live changes, and no distribution, so backfill skews the average and there is no true p95. Fix: add a backfill tag and record it as a histogram; can ship with the end-to-end freshness change in </w:t>
      </w:r>
      <w:r>
        <w:rPr>
          <w:rStyle w:val="CodeChar"/>
        </w:rPr>
        <w:t xml:space="preserve">MartenTelemetry.cs</w:t>
      </w:r>
      <w:r>
        <w:t xml:space="preserve">. For the dev team; not raised yet.</w:t>
      </w:r>
    </w:p>
    <w:p>
      <w:pPr>
        <w:pStyle w:val="ListParagraph"/>
        <w:numPr>
          <w:ilvl w:val="0"/>
          <w:numId w:val="4"/>
        </w:numPr>
      </w:pPr>
      <w:r>
        <w:t xml:space="preserve">☐ Failed events: processing failures are only logged. Fix: add a </w:t>
      </w:r>
      <w:r>
        <w:rPr>
          <w:rStyle w:val="CodeChar"/>
        </w:rPr>
        <w:t xml:space="preserve">processor.events.failed</w:t>
      </w:r>
      <w:r>
        <w:t xml:space="preserve"> counter where the error is logged, so failures can be charted and alerted on; later, a dead-letter store to keep failed events for replay. For the dev team; not raised yet.</w:t>
      </w:r>
    </w:p>
    <w:p>
      <w:pPr>
        <w:pStyle w:val="ListParagraph"/>
        <w:numPr>
          <w:ilvl w:val="0"/>
          <w:numId w:val="4"/>
        </w:numPr>
      </w:pPr>
      <w:r>
        <w:t xml:space="preserve">☐ Complete the QA end-to-end test suite (Viedoc.Data.Testing in Viedoc.PlaywrightTests) as the MCP answer-quality check: it already asks the chatbot as test users and verifies answers against MySQL; it still needs wider coverage and a run after each dev1 deploy with a pass rate for the dashboard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5"/>
        </w:numPr>
      </w:pPr>
      <w:r>
        <w:t xml:space="preserve">App Insights </w:t>
      </w:r>
      <w:r>
        <w:rPr>
          <w:rStyle w:val="CodeChar"/>
        </w:rPr>
        <w:t xml:space="preserve">appi-dat-dev1-swc</w:t>
      </w:r>
      <w:r>
        <w:t xml:space="preserve"> is readable (checked 2026-10-28). Its telemetry gaps (MCP errors per tool, data freshness accuracy, failed events) are listed under Gaps.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6"/>
        </w:numPr>
      </w:pPr>
      <w:r>
        <w:t xml:space="preserve">Viedoc.Data repo, </w:t>
      </w:r>
      <w:r>
        <w:rPr>
          <w:rStyle w:val="CodeChar"/>
        </w:rPr>
        <w:t xml:space="preserve">origin/main</w:t>
      </w:r>
      <w:r>
        <w:t xml:space="preserve">: pipelines in </w:t>
      </w:r>
      <w:r>
        <w:rPr>
          <w:rStyle w:val="CodeChar"/>
        </w:rPr>
        <w:t xml:space="preserve">.azuredevops/pipelines/</w:t>
      </w:r>
      <w:r>
        <w:t xml:space="preserve">, test projects under </w:t>
      </w:r>
      <w:r>
        <w:rPr>
          <w:rStyle w:val="CodeChar"/>
        </w:rPr>
        <w:t xml:space="preserve">systems/*/tests/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TBI </w:t>
      </w:r>
      <w:hyperlink r:id="rId3" w:history="1">
        <w:r>
          <w:rPr>
            <w:rStyle w:val="Hyperlink"/>
          </w:rPr>
          <w:t xml:space="preserve">107801 — Shift Left Testing</w:t>
        </w:r>
      </w:hyperlink>
      <w:r>
        <w:t xml:space="preserve"> and its child tasks.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SDLC_Software_Quality_and_AI_Adoption_Guide.pdf</w:t>
      </w:r>
      <w:r>
        <w:t xml:space="preserve"> (AI-generated, used only as ideas): DORA, static analysis, requirement volatility, defect rejection rate, AI code acceptance.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ev.azure.com/pcgsolutions/Viedoc4/_workitems/edit/107801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Viedoc.Data quality KPIs</dc:title>
  <dc:description>Claude Docs node/e4706ee7-e207@53 docx-w7</dc:description>
  <cp:revision>53</cp:revision>
</cp:coreProperties>
</file>