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63FC7">
      <w:pPr>
        <w:spacing w:line="500" w:lineRule="atLeast"/>
        <w:jc w:val="center"/>
        <w:divId w:val="184488692"/>
        <w:rPr>
          <w:rFonts w:ascii="黑体" w:eastAsia="黑体" w:hAnsi="黑体"/>
          <w:sz w:val="36"/>
          <w:szCs w:val="36"/>
        </w:rPr>
      </w:pPr>
      <w:bookmarkStart w:id="0" w:name="_GoBack"/>
      <w:bookmarkEnd w:id="0"/>
      <w:r>
        <w:rPr>
          <w:rFonts w:ascii="黑体" w:eastAsia="黑体" w:hAnsi="黑体" w:hint="eastAsia"/>
          <w:sz w:val="36"/>
          <w:szCs w:val="36"/>
        </w:rPr>
        <w:t>上海市第二中级人民法院</w:t>
      </w:r>
    </w:p>
    <w:p w:rsidR="00000000" w:rsidRDefault="00F63FC7">
      <w:pPr>
        <w:spacing w:line="500" w:lineRule="atLeast"/>
        <w:jc w:val="center"/>
        <w:divId w:val="70753504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63FC7">
      <w:pPr>
        <w:spacing w:line="500" w:lineRule="atLeast"/>
        <w:jc w:val="right"/>
        <w:divId w:val="1907492539"/>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02</w:t>
      </w:r>
      <w:r>
        <w:rPr>
          <w:rFonts w:hint="eastAsia"/>
          <w:sz w:val="30"/>
          <w:szCs w:val="30"/>
        </w:rPr>
        <w:t>民终</w:t>
      </w:r>
      <w:r>
        <w:rPr>
          <w:rFonts w:hint="eastAsia"/>
          <w:sz w:val="30"/>
          <w:szCs w:val="30"/>
        </w:rPr>
        <w:t>8505</w:t>
      </w:r>
      <w:r>
        <w:rPr>
          <w:rFonts w:hint="eastAsia"/>
          <w:sz w:val="30"/>
          <w:szCs w:val="30"/>
        </w:rPr>
        <w:t>号</w:t>
      </w:r>
    </w:p>
    <w:p w:rsidR="00000000" w:rsidRDefault="00F63FC7">
      <w:pPr>
        <w:spacing w:line="500" w:lineRule="atLeast"/>
        <w:ind w:firstLine="600"/>
        <w:divId w:val="1026833105"/>
        <w:rPr>
          <w:rFonts w:hint="eastAsia"/>
          <w:sz w:val="30"/>
          <w:szCs w:val="30"/>
        </w:rPr>
      </w:pPr>
      <w:r>
        <w:rPr>
          <w:rFonts w:hint="eastAsia"/>
          <w:sz w:val="30"/>
          <w:szCs w:val="30"/>
        </w:rPr>
        <w:t>上诉人</w:t>
      </w:r>
      <w:r>
        <w:rPr>
          <w:rFonts w:hint="eastAsia"/>
          <w:sz w:val="30"/>
          <w:szCs w:val="30"/>
        </w:rPr>
        <w:t>(</w:t>
      </w:r>
      <w:r>
        <w:rPr>
          <w:rFonts w:hint="eastAsia"/>
          <w:sz w:val="30"/>
          <w:szCs w:val="30"/>
        </w:rPr>
        <w:t>原审原告</w:t>
      </w:r>
      <w:r>
        <w:rPr>
          <w:rFonts w:hint="eastAsia"/>
          <w:sz w:val="30"/>
          <w:szCs w:val="30"/>
        </w:rPr>
        <w:t>)</w:t>
      </w:r>
      <w:r>
        <w:rPr>
          <w:rFonts w:hint="eastAsia"/>
          <w:sz w:val="30"/>
          <w:szCs w:val="30"/>
        </w:rPr>
        <w:t>：上海丽彤铸造材料有限公司，住所地上海市嘉定区。</w:t>
      </w:r>
    </w:p>
    <w:p w:rsidR="00000000" w:rsidRDefault="00F63FC7">
      <w:pPr>
        <w:spacing w:line="500" w:lineRule="atLeast"/>
        <w:ind w:firstLine="600"/>
        <w:divId w:val="2046326500"/>
        <w:rPr>
          <w:rFonts w:hint="eastAsia"/>
          <w:sz w:val="30"/>
          <w:szCs w:val="30"/>
        </w:rPr>
      </w:pPr>
      <w:r>
        <w:rPr>
          <w:rFonts w:hint="eastAsia"/>
          <w:sz w:val="30"/>
          <w:szCs w:val="30"/>
        </w:rPr>
        <w:t>诉讼代表人：唐鹏，该公司监事。</w:t>
      </w:r>
    </w:p>
    <w:p w:rsidR="00000000" w:rsidRDefault="00F63FC7">
      <w:pPr>
        <w:spacing w:line="500" w:lineRule="atLeast"/>
        <w:ind w:firstLine="600"/>
        <w:divId w:val="1152676101"/>
        <w:rPr>
          <w:rFonts w:hint="eastAsia"/>
          <w:sz w:val="30"/>
          <w:szCs w:val="30"/>
        </w:rPr>
      </w:pPr>
      <w:r>
        <w:rPr>
          <w:rFonts w:hint="eastAsia"/>
          <w:sz w:val="30"/>
          <w:szCs w:val="30"/>
        </w:rPr>
        <w:t>委托诉讼代理人：庄侃，上海科尚律师事务所律师。</w:t>
      </w:r>
    </w:p>
    <w:p w:rsidR="00000000" w:rsidRDefault="00F63FC7">
      <w:pPr>
        <w:spacing w:line="500" w:lineRule="atLeast"/>
        <w:ind w:firstLine="600"/>
        <w:divId w:val="1902709824"/>
        <w:rPr>
          <w:rFonts w:hint="eastAsia"/>
          <w:sz w:val="30"/>
          <w:szCs w:val="30"/>
        </w:rPr>
      </w:pPr>
      <w:r>
        <w:rPr>
          <w:rFonts w:hint="eastAsia"/>
          <w:sz w:val="30"/>
          <w:szCs w:val="30"/>
        </w:rPr>
        <w:t>委托诉讼代理人：华振宇，上海科尚律师事务所律师。</w:t>
      </w:r>
    </w:p>
    <w:p w:rsidR="00000000" w:rsidRDefault="00F63FC7">
      <w:pPr>
        <w:spacing w:line="500" w:lineRule="atLeast"/>
        <w:ind w:firstLine="600"/>
        <w:divId w:val="1956058661"/>
        <w:rPr>
          <w:rFonts w:hint="eastAsia"/>
          <w:sz w:val="30"/>
          <w:szCs w:val="30"/>
        </w:rPr>
      </w:pPr>
      <w:r>
        <w:rPr>
          <w:rFonts w:hint="eastAsia"/>
          <w:sz w:val="30"/>
          <w:szCs w:val="30"/>
        </w:rPr>
        <w:t>被上诉人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：端木佳杰，男，</w:t>
      </w:r>
      <w:r>
        <w:rPr>
          <w:rFonts w:hint="eastAsia"/>
          <w:sz w:val="30"/>
          <w:szCs w:val="30"/>
        </w:rPr>
        <w:t>1983</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日生，汉族，住江苏省。</w:t>
      </w:r>
    </w:p>
    <w:p w:rsidR="00000000" w:rsidRDefault="00F63FC7">
      <w:pPr>
        <w:spacing w:line="500" w:lineRule="atLeast"/>
        <w:ind w:firstLine="600"/>
        <w:divId w:val="80569117"/>
        <w:rPr>
          <w:rFonts w:hint="eastAsia"/>
          <w:sz w:val="30"/>
          <w:szCs w:val="30"/>
        </w:rPr>
      </w:pPr>
      <w:r>
        <w:rPr>
          <w:rFonts w:hint="eastAsia"/>
          <w:sz w:val="30"/>
          <w:szCs w:val="30"/>
        </w:rPr>
        <w:t>委托诉讼代理人：殷忠刚，上海普世</w:t>
      </w:r>
      <w:r>
        <w:rPr>
          <w:rFonts w:hint="eastAsia"/>
          <w:sz w:val="30"/>
          <w:szCs w:val="30"/>
        </w:rPr>
        <w:t>(</w:t>
      </w:r>
      <w:r>
        <w:rPr>
          <w:rFonts w:hint="eastAsia"/>
          <w:sz w:val="30"/>
          <w:szCs w:val="30"/>
        </w:rPr>
        <w:t>昆山</w:t>
      </w:r>
      <w:r>
        <w:rPr>
          <w:rFonts w:hint="eastAsia"/>
          <w:sz w:val="30"/>
          <w:szCs w:val="30"/>
        </w:rPr>
        <w:t>)</w:t>
      </w:r>
      <w:r>
        <w:rPr>
          <w:rFonts w:hint="eastAsia"/>
          <w:sz w:val="30"/>
          <w:szCs w:val="30"/>
        </w:rPr>
        <w:t>律师事务所律师。</w:t>
      </w:r>
    </w:p>
    <w:p w:rsidR="00000000" w:rsidRDefault="00F63FC7">
      <w:pPr>
        <w:spacing w:line="500" w:lineRule="atLeast"/>
        <w:ind w:firstLine="600"/>
        <w:divId w:val="2027251456"/>
        <w:rPr>
          <w:rFonts w:hint="eastAsia"/>
          <w:sz w:val="30"/>
          <w:szCs w:val="30"/>
        </w:rPr>
      </w:pPr>
      <w:r>
        <w:rPr>
          <w:rFonts w:hint="eastAsia"/>
          <w:sz w:val="30"/>
          <w:szCs w:val="30"/>
        </w:rPr>
        <w:t>上诉人上海丽彤铸造材料有限公司</w:t>
      </w:r>
      <w:r>
        <w:rPr>
          <w:rFonts w:hint="eastAsia"/>
          <w:sz w:val="30"/>
          <w:szCs w:val="30"/>
        </w:rPr>
        <w:t>(</w:t>
      </w:r>
      <w:r>
        <w:rPr>
          <w:rFonts w:hint="eastAsia"/>
          <w:sz w:val="30"/>
          <w:szCs w:val="30"/>
        </w:rPr>
        <w:t>以下简称丽彤公司</w:t>
      </w:r>
      <w:r>
        <w:rPr>
          <w:rFonts w:hint="eastAsia"/>
          <w:sz w:val="30"/>
          <w:szCs w:val="30"/>
        </w:rPr>
        <w:t>)</w:t>
      </w:r>
      <w:r>
        <w:rPr>
          <w:rFonts w:hint="eastAsia"/>
          <w:sz w:val="30"/>
          <w:szCs w:val="30"/>
        </w:rPr>
        <w:t>因与被上诉人端木佳杰损害公司利益责任纠纷一案，不服上海市嘉定区人民法院</w:t>
      </w:r>
      <w:r>
        <w:rPr>
          <w:rFonts w:hint="eastAsia"/>
          <w:sz w:val="30"/>
          <w:szCs w:val="30"/>
        </w:rPr>
        <w:t>(2018)</w:t>
      </w:r>
      <w:r>
        <w:rPr>
          <w:rFonts w:hint="eastAsia"/>
          <w:sz w:val="30"/>
          <w:szCs w:val="30"/>
        </w:rPr>
        <w:t>沪</w:t>
      </w:r>
      <w:r>
        <w:rPr>
          <w:rFonts w:hint="eastAsia"/>
          <w:sz w:val="30"/>
          <w:szCs w:val="30"/>
        </w:rPr>
        <w:t>0114</w:t>
      </w:r>
      <w:r>
        <w:rPr>
          <w:rFonts w:hint="eastAsia"/>
          <w:sz w:val="30"/>
          <w:szCs w:val="30"/>
        </w:rPr>
        <w:t>民初</w:t>
      </w:r>
      <w:r>
        <w:rPr>
          <w:rFonts w:hint="eastAsia"/>
          <w:sz w:val="30"/>
          <w:szCs w:val="30"/>
        </w:rPr>
        <w:t>2033</w:t>
      </w:r>
      <w:r>
        <w:rPr>
          <w:rFonts w:hint="eastAsia"/>
          <w:sz w:val="30"/>
          <w:szCs w:val="30"/>
        </w:rPr>
        <w:t>号民事判决，向本院提起上诉。本院于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日立案受理后，依法组成合议庭对本案进行了审理。本案现已审理终结。</w:t>
      </w:r>
    </w:p>
    <w:p w:rsidR="00000000" w:rsidRDefault="00F63FC7">
      <w:pPr>
        <w:spacing w:line="500" w:lineRule="atLeast"/>
        <w:ind w:firstLine="600"/>
        <w:divId w:val="354385613"/>
        <w:rPr>
          <w:rFonts w:hint="eastAsia"/>
          <w:sz w:val="30"/>
          <w:szCs w:val="30"/>
        </w:rPr>
      </w:pPr>
      <w:r>
        <w:rPr>
          <w:rFonts w:hint="eastAsia"/>
          <w:sz w:val="30"/>
          <w:szCs w:val="30"/>
        </w:rPr>
        <w:t>丽彤公司上诉请求：撤销一审判决，发回重审或者依法改判端木佳杰将违反公司法竞业禁止规定所得人民币</w:t>
      </w:r>
      <w:r>
        <w:rPr>
          <w:rFonts w:hint="eastAsia"/>
          <w:sz w:val="30"/>
          <w:szCs w:val="30"/>
        </w:rPr>
        <w:t>300</w:t>
      </w:r>
      <w:r>
        <w:rPr>
          <w:rFonts w:hint="eastAsia"/>
          <w:sz w:val="30"/>
          <w:szCs w:val="30"/>
        </w:rPr>
        <w:t>万元</w:t>
      </w:r>
      <w:r>
        <w:rPr>
          <w:rFonts w:hint="eastAsia"/>
          <w:sz w:val="30"/>
          <w:szCs w:val="30"/>
        </w:rPr>
        <w:t>(</w:t>
      </w:r>
      <w:r>
        <w:rPr>
          <w:rFonts w:hint="eastAsia"/>
          <w:sz w:val="30"/>
          <w:szCs w:val="30"/>
        </w:rPr>
        <w:t>以下币种均为人民币</w:t>
      </w:r>
      <w:r>
        <w:rPr>
          <w:rFonts w:hint="eastAsia"/>
          <w:sz w:val="30"/>
          <w:szCs w:val="30"/>
        </w:rPr>
        <w:t>)</w:t>
      </w:r>
      <w:r>
        <w:rPr>
          <w:rFonts w:hint="eastAsia"/>
          <w:sz w:val="30"/>
          <w:szCs w:val="30"/>
        </w:rPr>
        <w:t>归还丽彤公司。事实和理由：一审法院认定端木佳杰作为丽彤公司的高级管理人员与他人合作经营案外人昆山帝邦铸造科技有限公司</w:t>
      </w:r>
      <w:r>
        <w:rPr>
          <w:rFonts w:hint="eastAsia"/>
          <w:sz w:val="30"/>
          <w:szCs w:val="30"/>
        </w:rPr>
        <w:t>(</w:t>
      </w:r>
      <w:r>
        <w:rPr>
          <w:rFonts w:hint="eastAsia"/>
          <w:sz w:val="30"/>
          <w:szCs w:val="30"/>
        </w:rPr>
        <w:t>以下简称帝邦公司</w:t>
      </w:r>
      <w:r>
        <w:rPr>
          <w:rFonts w:hint="eastAsia"/>
          <w:sz w:val="30"/>
          <w:szCs w:val="30"/>
        </w:rPr>
        <w:t>)</w:t>
      </w:r>
      <w:r>
        <w:rPr>
          <w:rFonts w:hint="eastAsia"/>
          <w:sz w:val="30"/>
          <w:szCs w:val="30"/>
        </w:rPr>
        <w:t>的行为构成竞业禁止的侵权行为，但是未对端木佳杰的收入情况进行查证，有所不妥。一审法院对端木佳杰侵权时间范围也认定错误。帝邦公司原始股东陶某某与端木佳杰同住于一个地址，两人极有可能是亲属关系。故侵权时间应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日端木佳杰担任丽彤公司法定代表人起算。一审中，端木佳杰提供了四张</w:t>
      </w:r>
      <w:r>
        <w:rPr>
          <w:rFonts w:hint="eastAsia"/>
          <w:sz w:val="30"/>
          <w:szCs w:val="30"/>
        </w:rPr>
        <w:lastRenderedPageBreak/>
        <w:t>案外人苏州都邦材料科技有限公司</w:t>
      </w:r>
      <w:r>
        <w:rPr>
          <w:rFonts w:hint="eastAsia"/>
          <w:sz w:val="30"/>
          <w:szCs w:val="30"/>
        </w:rPr>
        <w:t>(</w:t>
      </w:r>
      <w:r>
        <w:rPr>
          <w:rFonts w:hint="eastAsia"/>
          <w:sz w:val="30"/>
          <w:szCs w:val="30"/>
        </w:rPr>
        <w:t>以下简称都邦公司</w:t>
      </w:r>
      <w:r>
        <w:rPr>
          <w:rFonts w:hint="eastAsia"/>
          <w:sz w:val="30"/>
          <w:szCs w:val="30"/>
        </w:rPr>
        <w:t>)</w:t>
      </w:r>
      <w:r>
        <w:rPr>
          <w:rFonts w:hint="eastAsia"/>
          <w:sz w:val="30"/>
          <w:szCs w:val="30"/>
        </w:rPr>
        <w:t>开具的增值税发票，其中三张发票的复核人是案外人赵某。赵某是帝邦公司的现任法定代表人，端木佳杰也是将持有的帝邦公司股权转让给赵某，帝邦公司和都邦公司的实际经营</w:t>
      </w:r>
      <w:r>
        <w:rPr>
          <w:rFonts w:hint="eastAsia"/>
          <w:sz w:val="30"/>
          <w:szCs w:val="30"/>
        </w:rPr>
        <w:t>人都是端木佳杰，帝邦公司与都邦公司也是关联企业，故都邦公司的收入也应归入丽彤公司所有。丽彤公司在一审中申请对帝邦公司和都邦公司进行司法审计，便于查明案件事实情况，一审法院未进行司法审计程序违法。若二审法院认为本案不适用司法审计的话，建议按照国家统计局关于</w:t>
      </w:r>
      <w:r>
        <w:rPr>
          <w:rFonts w:hint="eastAsia"/>
          <w:sz w:val="30"/>
          <w:szCs w:val="30"/>
        </w:rPr>
        <w:t>2017</w:t>
      </w:r>
      <w:r>
        <w:rPr>
          <w:rFonts w:hint="eastAsia"/>
          <w:sz w:val="30"/>
          <w:szCs w:val="30"/>
        </w:rPr>
        <w:t>年相同行业、相同岗位的平均工资，计算端木佳杰应当归还收入</w:t>
      </w:r>
      <w:r>
        <w:rPr>
          <w:rFonts w:hint="eastAsia"/>
          <w:sz w:val="30"/>
          <w:szCs w:val="30"/>
        </w:rPr>
        <w:t>656,205</w:t>
      </w:r>
      <w:r>
        <w:rPr>
          <w:rFonts w:hint="eastAsia"/>
          <w:sz w:val="30"/>
          <w:szCs w:val="30"/>
        </w:rPr>
        <w:t>元</w:t>
      </w:r>
      <w:r>
        <w:rPr>
          <w:rFonts w:hint="eastAsia"/>
          <w:sz w:val="30"/>
          <w:szCs w:val="30"/>
        </w:rPr>
        <w:t>(</w:t>
      </w:r>
      <w:r>
        <w:rPr>
          <w:rFonts w:hint="eastAsia"/>
          <w:sz w:val="30"/>
          <w:szCs w:val="30"/>
        </w:rPr>
        <w:t>每年</w:t>
      </w:r>
      <w:r>
        <w:rPr>
          <w:rFonts w:hint="eastAsia"/>
          <w:sz w:val="30"/>
          <w:szCs w:val="30"/>
        </w:rPr>
        <w:t>131,241</w:t>
      </w:r>
      <w:r>
        <w:rPr>
          <w:rFonts w:hint="eastAsia"/>
          <w:sz w:val="30"/>
          <w:szCs w:val="30"/>
        </w:rPr>
        <w:t>元，按</w:t>
      </w:r>
      <w:r>
        <w:rPr>
          <w:rFonts w:hint="eastAsia"/>
          <w:sz w:val="30"/>
          <w:szCs w:val="30"/>
        </w:rPr>
        <w:t>5</w:t>
      </w:r>
      <w:r>
        <w:rPr>
          <w:rFonts w:hint="eastAsia"/>
          <w:sz w:val="30"/>
          <w:szCs w:val="30"/>
        </w:rPr>
        <w:t>年计算</w:t>
      </w:r>
      <w:r>
        <w:rPr>
          <w:rFonts w:hint="eastAsia"/>
          <w:sz w:val="30"/>
          <w:szCs w:val="30"/>
        </w:rPr>
        <w:t>)</w:t>
      </w:r>
      <w:r>
        <w:rPr>
          <w:rFonts w:hint="eastAsia"/>
          <w:sz w:val="30"/>
          <w:szCs w:val="30"/>
        </w:rPr>
        <w:t>。</w:t>
      </w:r>
    </w:p>
    <w:p w:rsidR="00000000" w:rsidRDefault="00F63FC7">
      <w:pPr>
        <w:spacing w:line="500" w:lineRule="atLeast"/>
        <w:ind w:firstLine="600"/>
        <w:divId w:val="1004935844"/>
        <w:rPr>
          <w:rFonts w:hint="eastAsia"/>
          <w:sz w:val="30"/>
          <w:szCs w:val="30"/>
        </w:rPr>
      </w:pPr>
      <w:r>
        <w:rPr>
          <w:rFonts w:hint="eastAsia"/>
          <w:sz w:val="30"/>
          <w:szCs w:val="30"/>
        </w:rPr>
        <w:t>端木佳杰答辩称：一审判决结果公正，程序合法，但认定事实部分有误。第一，端木佳杰早就被丽彤公司的实际控制人排除在公司的管理人之外，一审中端木</w:t>
      </w:r>
      <w:r>
        <w:rPr>
          <w:rFonts w:hint="eastAsia"/>
          <w:sz w:val="30"/>
          <w:szCs w:val="30"/>
        </w:rPr>
        <w:t>佳杰的陈述和丽彤公司提供的相关会议纪要可以印证端木佳杰已经不具备董事和高级管理人员的身份职权。第二，端木佳杰是都邦公司的监事，没有实际参与都邦公司的经营和管理，都邦公司成立以来也处于亏损状态，没有任何收益。端木佳杰只是在</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日期间因为贷款的需要，作为帝邦公司名义上的股东和法定代表人，并没有获得帝邦公司的任何收益。丽彤公司要求端木佳杰赔偿</w:t>
      </w:r>
      <w:r>
        <w:rPr>
          <w:rFonts w:hint="eastAsia"/>
          <w:sz w:val="30"/>
          <w:szCs w:val="30"/>
        </w:rPr>
        <w:t>5</w:t>
      </w:r>
      <w:r>
        <w:rPr>
          <w:rFonts w:hint="eastAsia"/>
          <w:sz w:val="30"/>
          <w:szCs w:val="30"/>
        </w:rPr>
        <w:t>年或归还</w:t>
      </w:r>
      <w:r>
        <w:rPr>
          <w:rFonts w:hint="eastAsia"/>
          <w:sz w:val="30"/>
          <w:szCs w:val="30"/>
        </w:rPr>
        <w:t>5</w:t>
      </w:r>
      <w:r>
        <w:rPr>
          <w:rFonts w:hint="eastAsia"/>
          <w:sz w:val="30"/>
          <w:szCs w:val="30"/>
        </w:rPr>
        <w:t>年的收益是没有任何依据的。对于丽彤公司认为一审法院程序违法一节，端木佳杰认为根据谁主张谁举证的原则，应由丽彤公司就端木佳杰获得所</w:t>
      </w:r>
      <w:r>
        <w:rPr>
          <w:rFonts w:hint="eastAsia"/>
          <w:sz w:val="30"/>
          <w:szCs w:val="30"/>
        </w:rPr>
        <w:t>谓的收益进行举证，由于帝邦公司没有提供相应的财务资料，故一审法院无法开展审计和鉴定，程序是合法的。综上，丽彤公司的上诉请求不能成立，请求依法予以驳回。</w:t>
      </w:r>
    </w:p>
    <w:p w:rsidR="00000000" w:rsidRDefault="00F63FC7">
      <w:pPr>
        <w:spacing w:line="500" w:lineRule="atLeast"/>
        <w:ind w:firstLine="600"/>
        <w:divId w:val="533270561"/>
        <w:rPr>
          <w:rFonts w:hint="eastAsia"/>
          <w:sz w:val="30"/>
          <w:szCs w:val="30"/>
        </w:rPr>
      </w:pPr>
      <w:r>
        <w:rPr>
          <w:rFonts w:hint="eastAsia"/>
          <w:sz w:val="30"/>
          <w:szCs w:val="30"/>
        </w:rPr>
        <w:lastRenderedPageBreak/>
        <w:t>丽彤公司向一审法院起诉请求：端木佳杰将违反公司法竞业禁止规定所得归还丽彤公司并赔偿损失合计</w:t>
      </w:r>
      <w:r>
        <w:rPr>
          <w:rFonts w:hint="eastAsia"/>
          <w:sz w:val="30"/>
          <w:szCs w:val="30"/>
        </w:rPr>
        <w:t>300</w:t>
      </w:r>
      <w:r>
        <w:rPr>
          <w:rFonts w:hint="eastAsia"/>
          <w:sz w:val="30"/>
          <w:szCs w:val="30"/>
        </w:rPr>
        <w:t>万元</w:t>
      </w:r>
      <w:r>
        <w:rPr>
          <w:rFonts w:hint="eastAsia"/>
          <w:sz w:val="30"/>
          <w:szCs w:val="30"/>
        </w:rPr>
        <w:t>(</w:t>
      </w:r>
      <w:r>
        <w:rPr>
          <w:rFonts w:hint="eastAsia"/>
          <w:sz w:val="30"/>
          <w:szCs w:val="30"/>
        </w:rPr>
        <w:t>暂定</w:t>
      </w:r>
      <w:r>
        <w:rPr>
          <w:rFonts w:hint="eastAsia"/>
          <w:sz w:val="30"/>
          <w:szCs w:val="30"/>
        </w:rPr>
        <w:t>)</w:t>
      </w:r>
      <w:r>
        <w:rPr>
          <w:rFonts w:hint="eastAsia"/>
          <w:sz w:val="30"/>
          <w:szCs w:val="30"/>
        </w:rPr>
        <w:t>。</w:t>
      </w:r>
    </w:p>
    <w:p w:rsidR="00000000" w:rsidRDefault="00F63FC7">
      <w:pPr>
        <w:spacing w:line="500" w:lineRule="atLeast"/>
        <w:ind w:firstLine="600"/>
        <w:divId w:val="1525748705"/>
        <w:rPr>
          <w:rFonts w:hint="eastAsia"/>
          <w:sz w:val="30"/>
          <w:szCs w:val="30"/>
        </w:rPr>
      </w:pPr>
      <w:r>
        <w:rPr>
          <w:rFonts w:hint="eastAsia"/>
          <w:sz w:val="30"/>
          <w:szCs w:val="30"/>
        </w:rPr>
        <w:t>一审法院认定事实：</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日，丽彤公司经工商部门核准设立，注册资本为</w:t>
      </w:r>
      <w:r>
        <w:rPr>
          <w:rFonts w:hint="eastAsia"/>
          <w:sz w:val="30"/>
          <w:szCs w:val="30"/>
        </w:rPr>
        <w:t>50</w:t>
      </w:r>
      <w:r>
        <w:rPr>
          <w:rFonts w:hint="eastAsia"/>
          <w:sz w:val="30"/>
          <w:szCs w:val="30"/>
        </w:rPr>
        <w:t>万元，股东为：张某某</w:t>
      </w:r>
      <w:r>
        <w:rPr>
          <w:rFonts w:hint="eastAsia"/>
          <w:sz w:val="30"/>
          <w:szCs w:val="30"/>
        </w:rPr>
        <w:t>(</w:t>
      </w:r>
      <w:r>
        <w:rPr>
          <w:rFonts w:hint="eastAsia"/>
          <w:sz w:val="30"/>
          <w:szCs w:val="30"/>
        </w:rPr>
        <w:t>认缴出资</w:t>
      </w:r>
      <w:r>
        <w:rPr>
          <w:rFonts w:hint="eastAsia"/>
          <w:sz w:val="30"/>
          <w:szCs w:val="30"/>
        </w:rPr>
        <w:t>17.5</w:t>
      </w:r>
      <w:r>
        <w:rPr>
          <w:rFonts w:hint="eastAsia"/>
          <w:sz w:val="30"/>
          <w:szCs w:val="30"/>
        </w:rPr>
        <w:t>万元，持股比例</w:t>
      </w:r>
      <w:r>
        <w:rPr>
          <w:rFonts w:hint="eastAsia"/>
          <w:sz w:val="30"/>
          <w:szCs w:val="30"/>
        </w:rPr>
        <w:t>35%)</w:t>
      </w:r>
      <w:r>
        <w:rPr>
          <w:rFonts w:hint="eastAsia"/>
          <w:sz w:val="30"/>
          <w:szCs w:val="30"/>
        </w:rPr>
        <w:t>、唐鹏</w:t>
      </w:r>
      <w:r>
        <w:rPr>
          <w:rFonts w:hint="eastAsia"/>
          <w:sz w:val="30"/>
          <w:szCs w:val="30"/>
        </w:rPr>
        <w:t>(</w:t>
      </w:r>
      <w:r>
        <w:rPr>
          <w:rFonts w:hint="eastAsia"/>
          <w:sz w:val="30"/>
          <w:szCs w:val="30"/>
        </w:rPr>
        <w:t>认缴出资</w:t>
      </w:r>
      <w:r>
        <w:rPr>
          <w:rFonts w:hint="eastAsia"/>
          <w:sz w:val="30"/>
          <w:szCs w:val="30"/>
        </w:rPr>
        <w:t>32.5</w:t>
      </w:r>
      <w:r>
        <w:rPr>
          <w:rFonts w:hint="eastAsia"/>
          <w:sz w:val="30"/>
          <w:szCs w:val="30"/>
        </w:rPr>
        <w:t>万元，持股比例</w:t>
      </w:r>
      <w:r>
        <w:rPr>
          <w:rFonts w:hint="eastAsia"/>
          <w:sz w:val="30"/>
          <w:szCs w:val="30"/>
        </w:rPr>
        <w:t>65%)</w:t>
      </w:r>
      <w:r>
        <w:rPr>
          <w:rFonts w:hint="eastAsia"/>
          <w:sz w:val="30"/>
          <w:szCs w:val="30"/>
        </w:rPr>
        <w:t>。由张某某担任公司执行董事及法定代表人，唐鹏担任公司监事。丽</w:t>
      </w:r>
      <w:r>
        <w:rPr>
          <w:rFonts w:hint="eastAsia"/>
          <w:sz w:val="30"/>
          <w:szCs w:val="30"/>
        </w:rPr>
        <w:t>彤公司的经营范围为：金属材料及制品、化工原料及产品</w:t>
      </w:r>
      <w:r>
        <w:rPr>
          <w:rFonts w:hint="eastAsia"/>
          <w:sz w:val="30"/>
          <w:szCs w:val="30"/>
        </w:rPr>
        <w:t>(</w:t>
      </w:r>
      <w:r>
        <w:rPr>
          <w:rFonts w:hint="eastAsia"/>
          <w:sz w:val="30"/>
          <w:szCs w:val="30"/>
        </w:rPr>
        <w:t>除危险化学品、监控化学品、烟花爆竹、民用爆炸物品、易制毒化学品</w:t>
      </w:r>
      <w:r>
        <w:rPr>
          <w:rFonts w:hint="eastAsia"/>
          <w:sz w:val="30"/>
          <w:szCs w:val="30"/>
        </w:rPr>
        <w:t>)</w:t>
      </w:r>
      <w:r>
        <w:rPr>
          <w:rFonts w:hint="eastAsia"/>
          <w:sz w:val="30"/>
          <w:szCs w:val="30"/>
        </w:rPr>
        <w:t>、水性涂料、五金交电、润滑油、耐火陶瓷制品及其他耐火材料的销售，从事货物及技术的进出口业务。根据公司章程规定，执行董事、高级管理人员不得有下列行为：</w:t>
      </w:r>
      <w:r>
        <w:rPr>
          <w:rFonts w:hint="eastAsia"/>
          <w:sz w:val="30"/>
          <w:szCs w:val="30"/>
        </w:rPr>
        <w:t>(</w:t>
      </w:r>
      <w:r>
        <w:rPr>
          <w:rFonts w:hint="eastAsia"/>
          <w:sz w:val="30"/>
          <w:szCs w:val="30"/>
        </w:rPr>
        <w:t>一</w:t>
      </w:r>
      <w:r>
        <w:rPr>
          <w:rFonts w:hint="eastAsia"/>
          <w:sz w:val="30"/>
          <w:szCs w:val="30"/>
        </w:rPr>
        <w:t>)</w:t>
      </w:r>
      <w:r>
        <w:rPr>
          <w:rFonts w:hint="eastAsia"/>
          <w:sz w:val="30"/>
          <w:szCs w:val="30"/>
        </w:rPr>
        <w:t>挪用公司资金；</w:t>
      </w:r>
      <w:r>
        <w:rPr>
          <w:rFonts w:hint="eastAsia"/>
          <w:sz w:val="30"/>
          <w:szCs w:val="30"/>
        </w:rPr>
        <w:t>(</w:t>
      </w:r>
      <w:r>
        <w:rPr>
          <w:rFonts w:hint="eastAsia"/>
          <w:sz w:val="30"/>
          <w:szCs w:val="30"/>
        </w:rPr>
        <w:t>二</w:t>
      </w:r>
      <w:r>
        <w:rPr>
          <w:rFonts w:hint="eastAsia"/>
          <w:sz w:val="30"/>
          <w:szCs w:val="30"/>
        </w:rPr>
        <w:t>)</w:t>
      </w:r>
      <w:r>
        <w:rPr>
          <w:rFonts w:hint="eastAsia"/>
          <w:sz w:val="30"/>
          <w:szCs w:val="30"/>
        </w:rPr>
        <w:t>将公司资金以其个人名义或者以其他个人名义开立账户存储；……</w:t>
      </w:r>
      <w:r>
        <w:rPr>
          <w:rFonts w:hint="eastAsia"/>
          <w:sz w:val="30"/>
          <w:szCs w:val="30"/>
        </w:rPr>
        <w:t>(</w:t>
      </w:r>
      <w:r>
        <w:rPr>
          <w:rFonts w:hint="eastAsia"/>
          <w:sz w:val="30"/>
          <w:szCs w:val="30"/>
        </w:rPr>
        <w:t>五</w:t>
      </w:r>
      <w:r>
        <w:rPr>
          <w:rFonts w:hint="eastAsia"/>
          <w:sz w:val="30"/>
          <w:szCs w:val="30"/>
        </w:rPr>
        <w:t>)</w:t>
      </w:r>
      <w:r>
        <w:rPr>
          <w:rFonts w:hint="eastAsia"/>
          <w:sz w:val="30"/>
          <w:szCs w:val="30"/>
        </w:rPr>
        <w:t>未经股东会同意，利用职务便利为自己或者他人谋取属于公司的商业机会。自营或者为他人经营与所任职公司同类的业务。</w:t>
      </w:r>
    </w:p>
    <w:p w:rsidR="00000000" w:rsidRDefault="00F63FC7">
      <w:pPr>
        <w:spacing w:line="500" w:lineRule="atLeast"/>
        <w:ind w:firstLine="600"/>
        <w:divId w:val="802383941"/>
        <w:rPr>
          <w:rFonts w:hint="eastAsia"/>
          <w:sz w:val="30"/>
          <w:szCs w:val="30"/>
        </w:rPr>
      </w:pP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日，丽彤公司召开会议，就公司</w:t>
      </w:r>
      <w:r>
        <w:rPr>
          <w:rFonts w:hint="eastAsia"/>
          <w:sz w:val="30"/>
          <w:szCs w:val="30"/>
        </w:rPr>
        <w:t>销售额、客户资源、法定代表人变更</w:t>
      </w:r>
      <w:r>
        <w:rPr>
          <w:rFonts w:hint="eastAsia"/>
          <w:sz w:val="30"/>
          <w:szCs w:val="30"/>
        </w:rPr>
        <w:t>(</w:t>
      </w:r>
      <w:r>
        <w:rPr>
          <w:rFonts w:hint="eastAsia"/>
          <w:sz w:val="30"/>
          <w:szCs w:val="30"/>
        </w:rPr>
        <w:t>由张某某变更为端木佳杰</w:t>
      </w:r>
      <w:r>
        <w:rPr>
          <w:rFonts w:hint="eastAsia"/>
          <w:sz w:val="30"/>
          <w:szCs w:val="30"/>
        </w:rPr>
        <w:t>)</w:t>
      </w:r>
      <w:r>
        <w:rPr>
          <w:rFonts w:hint="eastAsia"/>
          <w:sz w:val="30"/>
          <w:szCs w:val="30"/>
        </w:rPr>
        <w:t>、公司利润、分红分配方案、公司考核、办公室人员管理等问题进行商讨。其中提到</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月份开始实行每月做到周总结、周计划，开展巩固客户，为公司、客户创造双赢价值，邮件最后到唐总。该会议纪要落款处由端木佳杰、张某某及唐鹏签字确认。</w:t>
      </w:r>
    </w:p>
    <w:p w:rsidR="00000000" w:rsidRDefault="00F63FC7">
      <w:pPr>
        <w:spacing w:line="500" w:lineRule="atLeast"/>
        <w:ind w:firstLine="600"/>
        <w:divId w:val="1143424610"/>
        <w:rPr>
          <w:rFonts w:hint="eastAsia"/>
          <w:sz w:val="30"/>
          <w:szCs w:val="30"/>
        </w:rPr>
      </w:pP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日，张某某将其持有的丽彤公司</w:t>
      </w:r>
      <w:r>
        <w:rPr>
          <w:rFonts w:hint="eastAsia"/>
          <w:sz w:val="30"/>
          <w:szCs w:val="30"/>
        </w:rPr>
        <w:t>20%</w:t>
      </w:r>
      <w:r>
        <w:rPr>
          <w:rFonts w:hint="eastAsia"/>
          <w:sz w:val="30"/>
          <w:szCs w:val="30"/>
        </w:rPr>
        <w:t>股权转让给端木佳杰，张某某另将其持有的丽彤公司</w:t>
      </w:r>
      <w:r>
        <w:rPr>
          <w:rFonts w:hint="eastAsia"/>
          <w:sz w:val="30"/>
          <w:szCs w:val="30"/>
        </w:rPr>
        <w:t>15%</w:t>
      </w:r>
      <w:r>
        <w:rPr>
          <w:rFonts w:hint="eastAsia"/>
          <w:sz w:val="30"/>
          <w:szCs w:val="30"/>
        </w:rPr>
        <w:t>股权转让给案外人唐某某。同时，丽彤公司经股东会决议，免去张某某公司法定代表人职务，选举端木佳杰为丽彤公司新的法定代表人。</w:t>
      </w:r>
      <w:r>
        <w:rPr>
          <w:rFonts w:hint="eastAsia"/>
          <w:sz w:val="30"/>
          <w:szCs w:val="30"/>
        </w:rPr>
        <w:t>2013</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6</w:t>
      </w:r>
      <w:r>
        <w:rPr>
          <w:rFonts w:hint="eastAsia"/>
          <w:sz w:val="30"/>
          <w:szCs w:val="30"/>
        </w:rPr>
        <w:t>月期间，端木佳杰作为部门主管在公司报销单签字。</w:t>
      </w:r>
    </w:p>
    <w:p w:rsidR="00000000" w:rsidRDefault="00F63FC7">
      <w:pPr>
        <w:spacing w:line="500" w:lineRule="atLeast"/>
        <w:ind w:firstLine="600"/>
        <w:divId w:val="792018402"/>
        <w:rPr>
          <w:rFonts w:hint="eastAsia"/>
          <w:sz w:val="30"/>
          <w:szCs w:val="30"/>
        </w:rPr>
      </w:pPr>
      <w:r>
        <w:rPr>
          <w:rFonts w:hint="eastAsia"/>
          <w:sz w:val="30"/>
          <w:szCs w:val="30"/>
        </w:rPr>
        <w:t>一审另查明，</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日，帝邦公司经工商部门核准设立，公司经营范围为铸造材料及设备的研发；金属制品加工、销售；铸造用耗材、铸造设备、水性涂料、五金交电、润滑油销售；自营和代理货物和技术的进出口业务。</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日，端木佳杰与案外人陶某某</w:t>
      </w:r>
      <w:r>
        <w:rPr>
          <w:rFonts w:hint="eastAsia"/>
          <w:sz w:val="30"/>
          <w:szCs w:val="30"/>
        </w:rPr>
        <w:t>(</w:t>
      </w:r>
      <w:r>
        <w:rPr>
          <w:rFonts w:hint="eastAsia"/>
          <w:sz w:val="30"/>
          <w:szCs w:val="30"/>
        </w:rPr>
        <w:t>一审法院误写为陶贞祥，下同</w:t>
      </w:r>
      <w:r>
        <w:rPr>
          <w:rFonts w:hint="eastAsia"/>
          <w:sz w:val="30"/>
          <w:szCs w:val="30"/>
        </w:rPr>
        <w:t>)</w:t>
      </w:r>
      <w:r>
        <w:rPr>
          <w:rFonts w:hint="eastAsia"/>
          <w:sz w:val="30"/>
          <w:szCs w:val="30"/>
        </w:rPr>
        <w:t>签订股权转让协议一份，约定陶某某将其持有的帝邦公司</w:t>
      </w:r>
      <w:r>
        <w:rPr>
          <w:rFonts w:hint="eastAsia"/>
          <w:sz w:val="30"/>
          <w:szCs w:val="30"/>
        </w:rPr>
        <w:t>50%</w:t>
      </w:r>
      <w:r>
        <w:rPr>
          <w:rFonts w:hint="eastAsia"/>
          <w:sz w:val="30"/>
          <w:szCs w:val="30"/>
        </w:rPr>
        <w:t>股权以</w:t>
      </w:r>
      <w:r>
        <w:rPr>
          <w:rFonts w:hint="eastAsia"/>
          <w:sz w:val="30"/>
          <w:szCs w:val="30"/>
        </w:rPr>
        <w:t>50</w:t>
      </w:r>
      <w:r>
        <w:rPr>
          <w:rFonts w:hint="eastAsia"/>
          <w:sz w:val="30"/>
          <w:szCs w:val="30"/>
        </w:rPr>
        <w:t>万元的对价转让给端木佳杰。同日，帝邦公司股东会选举端木佳杰为该公司法定代表人及执行董事。</w:t>
      </w:r>
      <w:r>
        <w:rPr>
          <w:rFonts w:hint="eastAsia"/>
          <w:sz w:val="30"/>
          <w:szCs w:val="30"/>
        </w:rPr>
        <w:t>20</w:t>
      </w:r>
      <w:r>
        <w:rPr>
          <w:rFonts w:hint="eastAsia"/>
          <w:sz w:val="30"/>
          <w:szCs w:val="30"/>
        </w:rPr>
        <w:t>15</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日，端木佳杰与案外人赵某</w:t>
      </w:r>
      <w:r>
        <w:rPr>
          <w:rFonts w:hint="eastAsia"/>
          <w:sz w:val="30"/>
          <w:szCs w:val="30"/>
        </w:rPr>
        <w:t>(</w:t>
      </w:r>
      <w:r>
        <w:rPr>
          <w:rFonts w:hint="eastAsia"/>
          <w:sz w:val="30"/>
          <w:szCs w:val="30"/>
        </w:rPr>
        <w:t>一审法院误写为张利，下同</w:t>
      </w:r>
      <w:r>
        <w:rPr>
          <w:rFonts w:hint="eastAsia"/>
          <w:sz w:val="30"/>
          <w:szCs w:val="30"/>
        </w:rPr>
        <w:t>)</w:t>
      </w:r>
      <w:r>
        <w:rPr>
          <w:rFonts w:hint="eastAsia"/>
          <w:sz w:val="30"/>
          <w:szCs w:val="30"/>
        </w:rPr>
        <w:t>签订股权转让协议一份，约定端木佳杰将其持有的帝邦公司</w:t>
      </w:r>
      <w:r>
        <w:rPr>
          <w:rFonts w:hint="eastAsia"/>
          <w:sz w:val="30"/>
          <w:szCs w:val="30"/>
        </w:rPr>
        <w:t>50%</w:t>
      </w:r>
      <w:r>
        <w:rPr>
          <w:rFonts w:hint="eastAsia"/>
          <w:sz w:val="30"/>
          <w:szCs w:val="30"/>
        </w:rPr>
        <w:t>股权以</w:t>
      </w:r>
      <w:r>
        <w:rPr>
          <w:rFonts w:hint="eastAsia"/>
          <w:sz w:val="30"/>
          <w:szCs w:val="30"/>
        </w:rPr>
        <w:t>50</w:t>
      </w:r>
      <w:r>
        <w:rPr>
          <w:rFonts w:hint="eastAsia"/>
          <w:sz w:val="30"/>
          <w:szCs w:val="30"/>
        </w:rPr>
        <w:t>万元的对价转让给赵某。同日，帝邦公司股东会免去端木佳杰法定代表人及执行董事职务，并选举赵某为公司执行董事及法定代表人。</w:t>
      </w:r>
    </w:p>
    <w:p w:rsidR="00000000" w:rsidRDefault="00F63FC7">
      <w:pPr>
        <w:spacing w:line="500" w:lineRule="atLeast"/>
        <w:ind w:firstLine="600"/>
        <w:divId w:val="617223953"/>
        <w:rPr>
          <w:rFonts w:hint="eastAsia"/>
          <w:sz w:val="30"/>
          <w:szCs w:val="30"/>
        </w:rPr>
      </w:pPr>
      <w:r>
        <w:rPr>
          <w:rFonts w:hint="eastAsia"/>
          <w:sz w:val="30"/>
          <w:szCs w:val="30"/>
        </w:rPr>
        <w:t>一审还查明，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日，都邦公司经工商部门核准设立，注册资本为</w:t>
      </w:r>
      <w:r>
        <w:rPr>
          <w:rFonts w:hint="eastAsia"/>
          <w:sz w:val="30"/>
          <w:szCs w:val="30"/>
        </w:rPr>
        <w:t>500</w:t>
      </w:r>
      <w:r>
        <w:rPr>
          <w:rFonts w:hint="eastAsia"/>
          <w:sz w:val="30"/>
          <w:szCs w:val="30"/>
        </w:rPr>
        <w:t>万元，股东为端木佳杰及案外人张某某。端木佳杰在都邦公司担任监事职务。都邦公司的经营范围为：铸造材料及设备的研发；金属制品加工、销售；铸造辅助材料、耐火材料、高性能膜材料、脱模制品</w:t>
      </w:r>
      <w:r>
        <w:rPr>
          <w:rFonts w:hint="eastAsia"/>
          <w:sz w:val="30"/>
          <w:szCs w:val="30"/>
        </w:rPr>
        <w:t>(</w:t>
      </w:r>
      <w:r>
        <w:rPr>
          <w:rFonts w:hint="eastAsia"/>
          <w:sz w:val="30"/>
          <w:szCs w:val="30"/>
        </w:rPr>
        <w:t>不含危险品、易制毒化学品及监控化学品</w:t>
      </w:r>
      <w:r>
        <w:rPr>
          <w:rFonts w:hint="eastAsia"/>
          <w:sz w:val="30"/>
          <w:szCs w:val="30"/>
        </w:rPr>
        <w:t>)</w:t>
      </w:r>
      <w:r>
        <w:rPr>
          <w:rFonts w:hint="eastAsia"/>
          <w:sz w:val="30"/>
          <w:szCs w:val="30"/>
        </w:rPr>
        <w:t>五金交电、润滑油销售。都邦公司在</w:t>
      </w:r>
      <w:r>
        <w:rPr>
          <w:rFonts w:hint="eastAsia"/>
          <w:sz w:val="30"/>
          <w:szCs w:val="30"/>
        </w:rPr>
        <w:t>2017</w:t>
      </w:r>
      <w:r>
        <w:rPr>
          <w:rFonts w:hint="eastAsia"/>
          <w:sz w:val="30"/>
          <w:szCs w:val="30"/>
        </w:rPr>
        <w:t>年之前并未开展经营业务，仅在</w:t>
      </w:r>
      <w:r>
        <w:rPr>
          <w:rFonts w:hint="eastAsia"/>
          <w:sz w:val="30"/>
          <w:szCs w:val="30"/>
        </w:rPr>
        <w:t>2018</w:t>
      </w:r>
      <w:r>
        <w:rPr>
          <w:rFonts w:hint="eastAsia"/>
          <w:sz w:val="30"/>
          <w:szCs w:val="30"/>
        </w:rPr>
        <w:t>年起才有少量经营业务。</w:t>
      </w:r>
    </w:p>
    <w:p w:rsidR="00000000" w:rsidRDefault="00F63FC7">
      <w:pPr>
        <w:spacing w:line="500" w:lineRule="atLeast"/>
        <w:ind w:firstLine="600"/>
        <w:divId w:val="122819746"/>
        <w:rPr>
          <w:rFonts w:hint="eastAsia"/>
          <w:sz w:val="30"/>
          <w:szCs w:val="30"/>
        </w:rPr>
      </w:pPr>
      <w:r>
        <w:rPr>
          <w:rFonts w:hint="eastAsia"/>
          <w:sz w:val="30"/>
          <w:szCs w:val="30"/>
        </w:rPr>
        <w:t>一审审理中，一审法院向帝邦公司发函，询问端木佳杰在该公司履职及获得收益情况。帝邦公司回函称，端木佳杰于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期间担任过该公司的股东及法定代表人，仅是为了该公司办理贷款需要，公司办完贷款后即将股东及法定代表人重新变更；该公司未向端木佳杰支付过收益；丽彤公司与端木佳杰之间的诉讼与该公司无关，公司的财务账册涉及商业机密，故不同意向法院提交财务账</w:t>
      </w:r>
      <w:r>
        <w:rPr>
          <w:rFonts w:hint="eastAsia"/>
          <w:sz w:val="30"/>
          <w:szCs w:val="30"/>
        </w:rPr>
        <w:t>册并配合相关司法审计。</w:t>
      </w:r>
    </w:p>
    <w:p w:rsidR="00000000" w:rsidRDefault="00F63FC7">
      <w:pPr>
        <w:spacing w:line="500" w:lineRule="atLeast"/>
        <w:ind w:firstLine="600"/>
        <w:divId w:val="722489107"/>
        <w:rPr>
          <w:rFonts w:hint="eastAsia"/>
          <w:sz w:val="30"/>
          <w:szCs w:val="30"/>
        </w:rPr>
      </w:pPr>
      <w:r>
        <w:rPr>
          <w:rFonts w:hint="eastAsia"/>
          <w:sz w:val="30"/>
          <w:szCs w:val="30"/>
        </w:rPr>
        <w:t>一审法院认为本案争议焦点：一、端木佳杰是否符合公司法及公司章程规定的应当受到竞业禁止义务约束的公司董事、高级管理人员的身份？</w:t>
      </w:r>
    </w:p>
    <w:p w:rsidR="00000000" w:rsidRDefault="00F63FC7">
      <w:pPr>
        <w:spacing w:line="500" w:lineRule="atLeast"/>
        <w:ind w:firstLine="600"/>
        <w:divId w:val="701130307"/>
        <w:rPr>
          <w:rFonts w:hint="eastAsia"/>
          <w:sz w:val="30"/>
          <w:szCs w:val="30"/>
        </w:rPr>
      </w:pPr>
      <w:r>
        <w:rPr>
          <w:rFonts w:hint="eastAsia"/>
          <w:sz w:val="30"/>
          <w:szCs w:val="30"/>
        </w:rPr>
        <w:t>端木佳杰认为，其仅是丽彤公司的普通业务员及持股</w:t>
      </w:r>
      <w:r>
        <w:rPr>
          <w:rFonts w:hint="eastAsia"/>
          <w:sz w:val="30"/>
          <w:szCs w:val="30"/>
        </w:rPr>
        <w:t>20%</w:t>
      </w:r>
      <w:r>
        <w:rPr>
          <w:rFonts w:hint="eastAsia"/>
          <w:sz w:val="30"/>
          <w:szCs w:val="30"/>
        </w:rPr>
        <w:t>的股东，并非丽彤公司实际的法定代表人，不参与公司经营管理。一审法院认为，根据工商登记资料显示，</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日，端木佳杰受让丽彤公司</w:t>
      </w:r>
      <w:r>
        <w:rPr>
          <w:rFonts w:hint="eastAsia"/>
          <w:sz w:val="30"/>
          <w:szCs w:val="30"/>
        </w:rPr>
        <w:t>20%</w:t>
      </w:r>
      <w:r>
        <w:rPr>
          <w:rFonts w:hint="eastAsia"/>
          <w:sz w:val="30"/>
          <w:szCs w:val="30"/>
        </w:rPr>
        <w:t>股权并同时担任丽彤公司执行董事及法定代表人。端木佳杰任职公司执行董事已经公司股东会决议通过，并经工商登记。端木佳杰认为其仅系名义的执行董事，应当就此提供相应证据予以佐证。</w:t>
      </w:r>
      <w:r>
        <w:rPr>
          <w:rFonts w:hint="eastAsia"/>
          <w:sz w:val="30"/>
          <w:szCs w:val="30"/>
        </w:rPr>
        <w:t>但端木佳杰并未提供证据，相反在丽彤公司提供的公司报销单上端木佳杰以部门主管的身份签字，可见端木佳杰并非公司一般员工。虽然端木佳杰对上述报销单真实性予以否认，但其并未提供相反证据，故一审法院对端木佳杰的上述抗辩意见不予采信。端木佳杰作为丽彤公司的执行董事及法定代表人，应当对公司负有忠实及勤勉义务，受到竞业禁止义务的约束。</w:t>
      </w:r>
    </w:p>
    <w:p w:rsidR="00000000" w:rsidRDefault="00F63FC7">
      <w:pPr>
        <w:spacing w:line="500" w:lineRule="atLeast"/>
        <w:ind w:firstLine="600"/>
        <w:divId w:val="1144200567"/>
        <w:rPr>
          <w:rFonts w:hint="eastAsia"/>
          <w:sz w:val="30"/>
          <w:szCs w:val="30"/>
        </w:rPr>
      </w:pPr>
      <w:r>
        <w:rPr>
          <w:rFonts w:hint="eastAsia"/>
          <w:sz w:val="30"/>
          <w:szCs w:val="30"/>
        </w:rPr>
        <w:t>二、丽彤公司主张的赔偿损失及归入权能否成立？</w:t>
      </w:r>
    </w:p>
    <w:p w:rsidR="00000000" w:rsidRDefault="00F63FC7">
      <w:pPr>
        <w:spacing w:line="500" w:lineRule="atLeast"/>
        <w:ind w:firstLine="600"/>
        <w:divId w:val="1967464698"/>
        <w:rPr>
          <w:rFonts w:hint="eastAsia"/>
          <w:sz w:val="30"/>
          <w:szCs w:val="30"/>
        </w:rPr>
      </w:pPr>
      <w:r>
        <w:rPr>
          <w:rFonts w:hint="eastAsia"/>
          <w:sz w:val="30"/>
          <w:szCs w:val="30"/>
        </w:rPr>
        <w:t>一审法院认为，根据公司法及丽彤公司的章程规定，董事、高级管理人员不得有下列行为：未经股东会或者股东大会同意，利用职务便利为自己或者他人谋取属于公</w:t>
      </w:r>
      <w:r>
        <w:rPr>
          <w:rFonts w:hint="eastAsia"/>
          <w:sz w:val="30"/>
          <w:szCs w:val="30"/>
        </w:rPr>
        <w:t>司的商业机会，自营或者为他人经营与所任职公司同类的业务。董事、高级管理人员违反前款规定所得的收入应当归公司所有。根据本案庭审查明，端木佳杰担任丽彤公司执行董事及法定代表人职务期间，于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月期间成为帝邦公司的法定代表人及股东，并于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另行与他人共同设立了都邦公司，并担任该家公司的监事。至于都邦公司，端木佳杰虽然系该公司的股东及监事，且该公司经营范围与丽彤公司确存在重合之处，但并无证据证明端木佳杰实际参与了该公司的经营管理，且都邦公司在</w:t>
      </w:r>
      <w:r>
        <w:rPr>
          <w:rFonts w:hint="eastAsia"/>
          <w:sz w:val="30"/>
          <w:szCs w:val="30"/>
        </w:rPr>
        <w:t>2017</w:t>
      </w:r>
      <w:r>
        <w:rPr>
          <w:rFonts w:hint="eastAsia"/>
          <w:sz w:val="30"/>
          <w:szCs w:val="30"/>
        </w:rPr>
        <w:t>年之前确未开展实际经营业务。</w:t>
      </w:r>
      <w:r>
        <w:rPr>
          <w:rFonts w:hint="eastAsia"/>
          <w:sz w:val="30"/>
          <w:szCs w:val="30"/>
        </w:rPr>
        <w:t>故丽彤公司主张端木佳杰实施了损害公司利益的行为，并无依据，一审法院不予采信。至于帝邦公司，端木佳杰在任职丽彤公司执行董事期间，又另行担任该公司的法定代表人并持有该公司</w:t>
      </w:r>
      <w:r>
        <w:rPr>
          <w:rFonts w:hint="eastAsia"/>
          <w:sz w:val="30"/>
          <w:szCs w:val="30"/>
        </w:rPr>
        <w:t>50%</w:t>
      </w:r>
      <w:r>
        <w:rPr>
          <w:rFonts w:hint="eastAsia"/>
          <w:sz w:val="30"/>
          <w:szCs w:val="30"/>
        </w:rPr>
        <w:t>的股权，且帝邦公司的经营范围与丽彤公司存在部分重合，一审法院有理由相信端木佳杰违反了公司法及公司章程关于董事、高级管理人员的竞业禁止义务，依法应当将端木佳杰在帝邦公司的收入归入丽彤公司所有。至于端木佳杰主张其仅系帝邦公司名义法定代表人及股东的意见，一审法院认为，端木佳杰提供的证据无法证实其所述事实，一审法院不予采信。现端木佳杰已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日将持有的帝邦公司</w:t>
      </w:r>
      <w:r>
        <w:rPr>
          <w:rFonts w:hint="eastAsia"/>
          <w:sz w:val="30"/>
          <w:szCs w:val="30"/>
        </w:rPr>
        <w:t>50%</w:t>
      </w:r>
      <w:r>
        <w:rPr>
          <w:rFonts w:hint="eastAsia"/>
          <w:sz w:val="30"/>
          <w:szCs w:val="30"/>
        </w:rPr>
        <w:t>股权转让给案外人，并同时不再担任帝邦公司的法定代表人。另外，帝邦公司并非本案当事人，且不同意配合提供相应财务账册、进行司法审计，一审法院亦无法启动司法审计程序。鉴于丽彤公司未就端木佳杰的侵权行为后果即丽彤公司主张的</w:t>
      </w:r>
      <w:r>
        <w:rPr>
          <w:rFonts w:hint="eastAsia"/>
          <w:sz w:val="30"/>
          <w:szCs w:val="30"/>
        </w:rPr>
        <w:t>300</w:t>
      </w:r>
      <w:r>
        <w:rPr>
          <w:rFonts w:hint="eastAsia"/>
          <w:sz w:val="30"/>
          <w:szCs w:val="30"/>
        </w:rPr>
        <w:t>万元赔偿损失及归入权进行相应举证，丽彤公司的诉请缺乏事实依据，一审法院难以支持。</w:t>
      </w:r>
    </w:p>
    <w:p w:rsidR="00000000" w:rsidRDefault="00F63FC7">
      <w:pPr>
        <w:spacing w:line="500" w:lineRule="atLeast"/>
        <w:ind w:firstLine="600"/>
        <w:divId w:val="850686921"/>
        <w:rPr>
          <w:rFonts w:hint="eastAsia"/>
          <w:sz w:val="30"/>
          <w:szCs w:val="30"/>
        </w:rPr>
      </w:pPr>
      <w:r>
        <w:rPr>
          <w:rFonts w:hint="eastAsia"/>
          <w:sz w:val="30"/>
          <w:szCs w:val="30"/>
        </w:rPr>
        <w:t>综上，一审法院认为，当事人对自己提出的主张应当提供证据。当事人未能提供证据或者证据不足以证明其事实主张的，由负有举证证明责任的当事人承担不利的后果。据此，依照《中华人民共和国民</w:t>
      </w:r>
      <w:r>
        <w:rPr>
          <w:rFonts w:hint="eastAsia"/>
          <w:sz w:val="30"/>
          <w:szCs w:val="30"/>
        </w:rPr>
        <w:t>事诉讼法》第六十四条第一款、《最高人民法院关于适用〈中华人民共和国民事诉讼法〉的解释》第九十条之规定，判决如下：驳回丽彤公司全部诉讼请求。一审案件受理费</w:t>
      </w:r>
      <w:r>
        <w:rPr>
          <w:rFonts w:hint="eastAsia"/>
          <w:sz w:val="30"/>
          <w:szCs w:val="30"/>
        </w:rPr>
        <w:t>30,800</w:t>
      </w:r>
      <w:r>
        <w:rPr>
          <w:rFonts w:hint="eastAsia"/>
          <w:sz w:val="30"/>
          <w:szCs w:val="30"/>
        </w:rPr>
        <w:t>元，由丽彤公司负担。</w:t>
      </w:r>
    </w:p>
    <w:p w:rsidR="00000000" w:rsidRDefault="00F63FC7">
      <w:pPr>
        <w:spacing w:line="500" w:lineRule="atLeast"/>
        <w:ind w:firstLine="600"/>
        <w:divId w:val="66805542"/>
        <w:rPr>
          <w:rFonts w:hint="eastAsia"/>
          <w:sz w:val="30"/>
          <w:szCs w:val="30"/>
        </w:rPr>
      </w:pPr>
      <w:r>
        <w:rPr>
          <w:rFonts w:hint="eastAsia"/>
          <w:sz w:val="30"/>
          <w:szCs w:val="30"/>
        </w:rPr>
        <w:t>二审中，丽彤公司向本院提供网络资料一份，即</w:t>
      </w:r>
      <w:r>
        <w:rPr>
          <w:rFonts w:hint="eastAsia"/>
          <w:sz w:val="30"/>
          <w:szCs w:val="30"/>
        </w:rPr>
        <w:t>2017</w:t>
      </w:r>
      <w:r>
        <w:rPr>
          <w:rFonts w:hint="eastAsia"/>
          <w:sz w:val="30"/>
          <w:szCs w:val="30"/>
        </w:rPr>
        <w:t>年规模以上企业就业人员分岗位年平均工资情况，用以证明按照该资料显示内容，批发和零售业中层及以上管理人员的年平均工资是</w:t>
      </w:r>
      <w:r>
        <w:rPr>
          <w:rFonts w:hint="eastAsia"/>
          <w:sz w:val="30"/>
          <w:szCs w:val="30"/>
        </w:rPr>
        <w:t>131,241</w:t>
      </w:r>
      <w:r>
        <w:rPr>
          <w:rFonts w:hint="eastAsia"/>
          <w:sz w:val="30"/>
          <w:szCs w:val="30"/>
        </w:rPr>
        <w:t>元。端木佳杰对该份证据的真实性不予认可，对其合法性也无法确定。此外，端木佳杰在帝邦公司和都邦公司都没有任何收益，该份证据不适用本案。</w:t>
      </w:r>
    </w:p>
    <w:p w:rsidR="00000000" w:rsidRDefault="00F63FC7">
      <w:pPr>
        <w:spacing w:line="500" w:lineRule="atLeast"/>
        <w:ind w:firstLine="600"/>
        <w:divId w:val="1520314233"/>
        <w:rPr>
          <w:rFonts w:hint="eastAsia"/>
          <w:sz w:val="30"/>
          <w:szCs w:val="30"/>
        </w:rPr>
      </w:pPr>
      <w:r>
        <w:rPr>
          <w:rFonts w:hint="eastAsia"/>
          <w:sz w:val="30"/>
          <w:szCs w:val="30"/>
        </w:rPr>
        <w:t>本院经审理查</w:t>
      </w:r>
      <w:r>
        <w:rPr>
          <w:rFonts w:hint="eastAsia"/>
          <w:sz w:val="30"/>
          <w:szCs w:val="30"/>
        </w:rPr>
        <w:t>明，一审查明事实属实，本院予以确认。</w:t>
      </w:r>
    </w:p>
    <w:p w:rsidR="00000000" w:rsidRDefault="00F63FC7">
      <w:pPr>
        <w:spacing w:line="500" w:lineRule="atLeast"/>
        <w:ind w:firstLine="600"/>
        <w:divId w:val="1645237923"/>
        <w:rPr>
          <w:rFonts w:hint="eastAsia"/>
          <w:sz w:val="30"/>
          <w:szCs w:val="30"/>
        </w:rPr>
      </w:pPr>
      <w:r>
        <w:rPr>
          <w:rFonts w:hint="eastAsia"/>
          <w:sz w:val="30"/>
          <w:szCs w:val="30"/>
        </w:rPr>
        <w:t>本院另查明：丽彤公司在一审庭审中确认丽彤公司从</w:t>
      </w:r>
      <w:r>
        <w:rPr>
          <w:rFonts w:hint="eastAsia"/>
          <w:sz w:val="30"/>
          <w:szCs w:val="30"/>
        </w:rPr>
        <w:t>2017</w:t>
      </w:r>
      <w:r>
        <w:rPr>
          <w:rFonts w:hint="eastAsia"/>
          <w:sz w:val="30"/>
          <w:szCs w:val="30"/>
        </w:rPr>
        <w:t>年年底停止经营。二审中称近期又陆续恢复经营。</w:t>
      </w:r>
    </w:p>
    <w:p w:rsidR="00000000" w:rsidRDefault="00F63FC7">
      <w:pPr>
        <w:spacing w:line="500" w:lineRule="atLeast"/>
        <w:ind w:firstLine="600"/>
        <w:divId w:val="1187519232"/>
        <w:rPr>
          <w:rFonts w:hint="eastAsia"/>
          <w:sz w:val="30"/>
          <w:szCs w:val="30"/>
        </w:rPr>
      </w:pPr>
      <w:r>
        <w:rPr>
          <w:rFonts w:hint="eastAsia"/>
          <w:sz w:val="30"/>
          <w:szCs w:val="30"/>
        </w:rPr>
        <w:t>本院认为，根据一审查明事实，端木佳杰于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月受让张某某持有的丽彤公司</w:t>
      </w:r>
      <w:r>
        <w:rPr>
          <w:rFonts w:hint="eastAsia"/>
          <w:sz w:val="30"/>
          <w:szCs w:val="30"/>
        </w:rPr>
        <w:t>20%</w:t>
      </w:r>
      <w:r>
        <w:rPr>
          <w:rFonts w:hint="eastAsia"/>
          <w:sz w:val="30"/>
          <w:szCs w:val="30"/>
        </w:rPr>
        <w:t>股权，并担任执行董事和法定代表人。此后，作为部门主管在相关报销单上签字，参与丽彤公司经营管理。虽然端木佳杰认为其早就被丽彤公司的实际控制人排除在公司管理人之外，但是并未提供有效证据予以佐证，故对其早已不具备董事和高级管理人员身份职权的辩称不予采信。此外，根据帝邦公司和都邦公司设立时间、股权情况，以及丽彤公司、帝邦公司和都邦公司经工商部门核准的企业经营范围存在多处重合的情形，一审法院认定端木佳杰违反公司法及丽彤公司公司章程关于董</w:t>
      </w:r>
      <w:r>
        <w:rPr>
          <w:rFonts w:hint="eastAsia"/>
          <w:sz w:val="30"/>
          <w:szCs w:val="30"/>
        </w:rPr>
        <w:t>事、高级管理人员的竞业禁止义务并无不当，本院予以认定。</w:t>
      </w:r>
    </w:p>
    <w:p w:rsidR="00000000" w:rsidRDefault="00F63FC7">
      <w:pPr>
        <w:spacing w:line="500" w:lineRule="atLeast"/>
        <w:ind w:firstLine="600"/>
        <w:divId w:val="1469325855"/>
        <w:rPr>
          <w:rFonts w:hint="eastAsia"/>
          <w:sz w:val="30"/>
          <w:szCs w:val="30"/>
        </w:rPr>
      </w:pPr>
      <w:r>
        <w:rPr>
          <w:rFonts w:hint="eastAsia"/>
          <w:sz w:val="30"/>
          <w:szCs w:val="30"/>
        </w:rPr>
        <w:t>对于丽彤公司要求端木佳杰承担赔偿责任一节，本案中，丽彤公司要求端木佳杰归还所得的金额暂计为</w:t>
      </w:r>
      <w:r>
        <w:rPr>
          <w:rFonts w:hint="eastAsia"/>
          <w:sz w:val="30"/>
          <w:szCs w:val="30"/>
        </w:rPr>
        <w:t>300</w:t>
      </w:r>
      <w:r>
        <w:rPr>
          <w:rFonts w:hint="eastAsia"/>
          <w:sz w:val="30"/>
          <w:szCs w:val="30"/>
        </w:rPr>
        <w:t>万元，但是对于款项的具体组成及明细没有明确说明，也未提供相关证据。就一审查明事实看，都邦公司虽设立于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月，但该公司在</w:t>
      </w:r>
      <w:r>
        <w:rPr>
          <w:rFonts w:hint="eastAsia"/>
          <w:sz w:val="30"/>
          <w:szCs w:val="30"/>
        </w:rPr>
        <w:t>2017</w:t>
      </w:r>
      <w:r>
        <w:rPr>
          <w:rFonts w:hint="eastAsia"/>
          <w:sz w:val="30"/>
          <w:szCs w:val="30"/>
        </w:rPr>
        <w:t>年并未开展经营业务，而丽彤公司在一审中也确认其在</w:t>
      </w:r>
      <w:r>
        <w:rPr>
          <w:rFonts w:hint="eastAsia"/>
          <w:sz w:val="30"/>
          <w:szCs w:val="30"/>
        </w:rPr>
        <w:t>2017</w:t>
      </w:r>
      <w:r>
        <w:rPr>
          <w:rFonts w:hint="eastAsia"/>
          <w:sz w:val="30"/>
          <w:szCs w:val="30"/>
        </w:rPr>
        <w:t>年年底停止经营，因此，端木佳杰虽然是都邦公司的股东及监事，但是现有证据并不能证明其实施了损害丽彤公司利益的行为。此外，帝邦公司向一审法院发函，证明端木佳杰在担任该公司股东</w:t>
      </w:r>
      <w:r>
        <w:rPr>
          <w:rFonts w:hint="eastAsia"/>
          <w:sz w:val="30"/>
          <w:szCs w:val="30"/>
        </w:rPr>
        <w:t>及法定代表人期间并未收到过收益，同时拒绝提交财务账册并配合相关司法审计。而丽彤公司就端木佳杰在帝邦公司获得收益的主张也未提供初步有效的证据，在此情况下，一审法院未支持丽彤公司的诉讼请求且未同意丽彤公司提出的司法审计申请亦无不当。</w:t>
      </w:r>
    </w:p>
    <w:p w:rsidR="00000000" w:rsidRDefault="00F63FC7">
      <w:pPr>
        <w:spacing w:line="500" w:lineRule="atLeast"/>
        <w:ind w:firstLine="600"/>
        <w:divId w:val="226915516"/>
        <w:rPr>
          <w:rFonts w:hint="eastAsia"/>
          <w:sz w:val="30"/>
          <w:szCs w:val="30"/>
        </w:rPr>
      </w:pPr>
      <w:r>
        <w:rPr>
          <w:rFonts w:hint="eastAsia"/>
          <w:sz w:val="30"/>
          <w:szCs w:val="30"/>
        </w:rPr>
        <w:t>综上所述，一审认定事实清楚，所作判决并无不当。丽彤公司所提上诉请求和理由不能成立，本院不予支持。据此，依照《中华人民共和国民事诉讼法》第一百七十条第一款第一项之规定，判决如下：</w:t>
      </w:r>
    </w:p>
    <w:p w:rsidR="00000000" w:rsidRDefault="00F63FC7">
      <w:pPr>
        <w:spacing w:line="500" w:lineRule="atLeast"/>
        <w:ind w:firstLine="600"/>
        <w:divId w:val="2030330775"/>
        <w:rPr>
          <w:rFonts w:hint="eastAsia"/>
          <w:sz w:val="30"/>
          <w:szCs w:val="30"/>
        </w:rPr>
      </w:pPr>
      <w:r>
        <w:rPr>
          <w:rFonts w:hint="eastAsia"/>
          <w:sz w:val="30"/>
          <w:szCs w:val="30"/>
        </w:rPr>
        <w:t>驳回上诉，维持原判。</w:t>
      </w:r>
    </w:p>
    <w:p w:rsidR="00000000" w:rsidRDefault="00F63FC7">
      <w:pPr>
        <w:spacing w:line="500" w:lineRule="atLeast"/>
        <w:ind w:firstLine="600"/>
        <w:divId w:val="768744930"/>
        <w:rPr>
          <w:rFonts w:hint="eastAsia"/>
          <w:sz w:val="30"/>
          <w:szCs w:val="30"/>
        </w:rPr>
      </w:pPr>
      <w:r>
        <w:rPr>
          <w:rFonts w:hint="eastAsia"/>
          <w:sz w:val="30"/>
          <w:szCs w:val="30"/>
        </w:rPr>
        <w:t>二审案件受理费人民币</w:t>
      </w:r>
      <w:r>
        <w:rPr>
          <w:rFonts w:hint="eastAsia"/>
          <w:sz w:val="30"/>
          <w:szCs w:val="30"/>
        </w:rPr>
        <w:t>30,800</w:t>
      </w:r>
      <w:r>
        <w:rPr>
          <w:rFonts w:hint="eastAsia"/>
          <w:sz w:val="30"/>
          <w:szCs w:val="30"/>
        </w:rPr>
        <w:t>元，由上诉人上海丽彤铸造材料有限公司负担。</w:t>
      </w:r>
    </w:p>
    <w:p w:rsidR="00000000" w:rsidRDefault="00F63FC7">
      <w:pPr>
        <w:spacing w:line="500" w:lineRule="atLeast"/>
        <w:ind w:firstLine="600"/>
        <w:divId w:val="119616379"/>
        <w:rPr>
          <w:rFonts w:hint="eastAsia"/>
          <w:sz w:val="30"/>
          <w:szCs w:val="30"/>
        </w:rPr>
      </w:pPr>
      <w:r>
        <w:rPr>
          <w:rFonts w:hint="eastAsia"/>
          <w:sz w:val="30"/>
          <w:szCs w:val="30"/>
        </w:rPr>
        <w:t>本判决</w:t>
      </w:r>
      <w:r>
        <w:rPr>
          <w:rFonts w:hint="eastAsia"/>
          <w:sz w:val="30"/>
          <w:szCs w:val="30"/>
        </w:rPr>
        <w:t>为终审判决。</w:t>
      </w:r>
    </w:p>
    <w:p w:rsidR="00000000" w:rsidRDefault="00F63FC7">
      <w:pPr>
        <w:spacing w:line="500" w:lineRule="atLeast"/>
        <w:jc w:val="right"/>
        <w:divId w:val="94255835"/>
        <w:rPr>
          <w:rFonts w:hint="eastAsia"/>
          <w:sz w:val="30"/>
          <w:szCs w:val="30"/>
        </w:rPr>
      </w:pPr>
      <w:r>
        <w:rPr>
          <w:rFonts w:hint="eastAsia"/>
          <w:sz w:val="30"/>
          <w:szCs w:val="30"/>
        </w:rPr>
        <w:t>审判长　　庄龙平</w:t>
      </w:r>
    </w:p>
    <w:p w:rsidR="00000000" w:rsidRDefault="00F63FC7">
      <w:pPr>
        <w:spacing w:line="500" w:lineRule="atLeast"/>
        <w:jc w:val="right"/>
        <w:divId w:val="164908092"/>
        <w:rPr>
          <w:rFonts w:hint="eastAsia"/>
          <w:sz w:val="30"/>
          <w:szCs w:val="30"/>
        </w:rPr>
      </w:pPr>
      <w:r>
        <w:rPr>
          <w:rFonts w:hint="eastAsia"/>
          <w:sz w:val="30"/>
          <w:szCs w:val="30"/>
        </w:rPr>
        <w:t>审判员　　杨喆明</w:t>
      </w:r>
    </w:p>
    <w:p w:rsidR="00000000" w:rsidRDefault="00F63FC7">
      <w:pPr>
        <w:spacing w:line="500" w:lineRule="atLeast"/>
        <w:jc w:val="right"/>
        <w:divId w:val="1235437237"/>
        <w:rPr>
          <w:rFonts w:hint="eastAsia"/>
          <w:sz w:val="30"/>
          <w:szCs w:val="30"/>
        </w:rPr>
      </w:pPr>
      <w:r>
        <w:rPr>
          <w:rFonts w:hint="eastAsia"/>
          <w:sz w:val="30"/>
          <w:szCs w:val="30"/>
        </w:rPr>
        <w:t>审判员　　杨怡鸣</w:t>
      </w:r>
    </w:p>
    <w:p w:rsidR="00000000" w:rsidRDefault="00F63FC7">
      <w:pPr>
        <w:spacing w:line="500" w:lineRule="atLeast"/>
        <w:jc w:val="right"/>
        <w:divId w:val="543979484"/>
        <w:rPr>
          <w:rFonts w:hint="eastAsia"/>
          <w:sz w:val="30"/>
          <w:szCs w:val="30"/>
        </w:rPr>
      </w:pPr>
      <w:r>
        <w:rPr>
          <w:rFonts w:hint="eastAsia"/>
          <w:sz w:val="30"/>
          <w:szCs w:val="30"/>
        </w:rPr>
        <w:t>二〇一八年九月十九日</w:t>
      </w:r>
    </w:p>
    <w:p w:rsidR="00000000" w:rsidRDefault="00F63FC7">
      <w:pPr>
        <w:spacing w:line="500" w:lineRule="atLeast"/>
        <w:jc w:val="right"/>
        <w:divId w:val="1461340977"/>
        <w:rPr>
          <w:rFonts w:hint="eastAsia"/>
          <w:sz w:val="30"/>
          <w:szCs w:val="30"/>
        </w:rPr>
      </w:pPr>
      <w:r>
        <w:rPr>
          <w:rFonts w:hint="eastAsia"/>
          <w:sz w:val="30"/>
          <w:szCs w:val="30"/>
        </w:rPr>
        <w:t>书记员　　王乐轶</w:t>
      </w:r>
    </w:p>
    <w:p w:rsidR="00000000" w:rsidRDefault="00F63FC7">
      <w:pPr>
        <w:spacing w:line="500" w:lineRule="atLeast"/>
        <w:ind w:firstLine="600"/>
        <w:divId w:val="718093549"/>
        <w:rPr>
          <w:rFonts w:hint="eastAsia"/>
          <w:sz w:val="30"/>
          <w:szCs w:val="30"/>
        </w:rPr>
      </w:pPr>
      <w:r>
        <w:rPr>
          <w:rFonts w:hint="eastAsia"/>
          <w:sz w:val="30"/>
          <w:szCs w:val="30"/>
        </w:rPr>
        <w:t>附：相关法律条文</w:t>
      </w:r>
    </w:p>
    <w:p w:rsidR="00000000" w:rsidRDefault="00F63FC7">
      <w:pPr>
        <w:spacing w:line="500" w:lineRule="atLeast"/>
        <w:ind w:firstLine="600"/>
        <w:divId w:val="2046439510"/>
        <w:rPr>
          <w:rFonts w:hint="eastAsia"/>
          <w:sz w:val="30"/>
          <w:szCs w:val="30"/>
        </w:rPr>
      </w:pPr>
      <w:r>
        <w:rPr>
          <w:rFonts w:hint="eastAsia"/>
          <w:sz w:val="30"/>
          <w:szCs w:val="30"/>
        </w:rPr>
        <w:t>附：相关的法律条文</w:t>
      </w:r>
    </w:p>
    <w:p w:rsidR="00000000" w:rsidRDefault="00F63FC7">
      <w:pPr>
        <w:spacing w:line="500" w:lineRule="atLeast"/>
        <w:ind w:firstLine="600"/>
        <w:divId w:val="1685671665"/>
        <w:rPr>
          <w:rFonts w:hint="eastAsia"/>
          <w:sz w:val="30"/>
          <w:szCs w:val="30"/>
        </w:rPr>
      </w:pPr>
      <w:r>
        <w:rPr>
          <w:rFonts w:hint="eastAsia"/>
          <w:sz w:val="30"/>
          <w:szCs w:val="30"/>
        </w:rPr>
        <w:t>《中华人民共和国民事诉讼法》</w:t>
      </w:r>
    </w:p>
    <w:p w:rsidR="00000000" w:rsidRDefault="00F63FC7">
      <w:pPr>
        <w:spacing w:line="500" w:lineRule="atLeast"/>
        <w:ind w:firstLine="600"/>
        <w:divId w:val="552935998"/>
        <w:rPr>
          <w:rFonts w:hint="eastAsia"/>
          <w:sz w:val="30"/>
          <w:szCs w:val="30"/>
        </w:rPr>
      </w:pPr>
      <w:r>
        <w:rPr>
          <w:rFonts w:hint="eastAsia"/>
          <w:sz w:val="30"/>
          <w:szCs w:val="30"/>
        </w:rPr>
        <w:t>第一百七十条第二审人民法院对上诉案件，经过审理，按照下列情形，分别处理：</w:t>
      </w:r>
    </w:p>
    <w:p w:rsidR="00000000" w:rsidRDefault="00F63FC7">
      <w:pPr>
        <w:spacing w:line="500" w:lineRule="atLeast"/>
        <w:ind w:firstLine="600"/>
        <w:divId w:val="1222866223"/>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原判决、裁定认定事实清楚，适用法律正确的，以判决、裁定方式驳回上诉，维持原判决、裁定；</w:t>
      </w:r>
    </w:p>
    <w:p w:rsidR="00000000" w:rsidRDefault="00F63FC7">
      <w:pPr>
        <w:spacing w:line="500" w:lineRule="atLeast"/>
        <w:ind w:firstLine="600"/>
        <w:divId w:val="1161776565"/>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FC7" w:rsidRDefault="00F63FC7" w:rsidP="00F63FC7">
      <w:r>
        <w:separator/>
      </w:r>
    </w:p>
  </w:endnote>
  <w:endnote w:type="continuationSeparator" w:id="0">
    <w:p w:rsidR="00F63FC7" w:rsidRDefault="00F63FC7" w:rsidP="00F63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FC7" w:rsidRDefault="00F63FC7" w:rsidP="00F63FC7">
      <w:r>
        <w:separator/>
      </w:r>
    </w:p>
  </w:footnote>
  <w:footnote w:type="continuationSeparator" w:id="0">
    <w:p w:rsidR="00F63FC7" w:rsidRDefault="00F63FC7" w:rsidP="00F63F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63FC7"/>
    <w:rsid w:val="00F63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63F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3FC7"/>
    <w:rPr>
      <w:rFonts w:ascii="宋体" w:eastAsia="宋体" w:hAnsi="宋体" w:cs="宋体"/>
      <w:sz w:val="18"/>
      <w:szCs w:val="18"/>
    </w:rPr>
  </w:style>
  <w:style w:type="paragraph" w:styleId="a5">
    <w:name w:val="footer"/>
    <w:basedOn w:val="a"/>
    <w:link w:val="a6"/>
    <w:uiPriority w:val="99"/>
    <w:unhideWhenUsed/>
    <w:rsid w:val="00F63FC7"/>
    <w:pPr>
      <w:tabs>
        <w:tab w:val="center" w:pos="4153"/>
        <w:tab w:val="right" w:pos="8306"/>
      </w:tabs>
      <w:snapToGrid w:val="0"/>
    </w:pPr>
    <w:rPr>
      <w:sz w:val="18"/>
      <w:szCs w:val="18"/>
    </w:rPr>
  </w:style>
  <w:style w:type="character" w:customStyle="1" w:styleId="a6">
    <w:name w:val="页脚 字符"/>
    <w:basedOn w:val="a0"/>
    <w:link w:val="a5"/>
    <w:uiPriority w:val="99"/>
    <w:rsid w:val="00F63FC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05542">
      <w:marLeft w:val="0"/>
      <w:marRight w:val="0"/>
      <w:marTop w:val="10"/>
      <w:marBottom w:val="10"/>
      <w:divBdr>
        <w:top w:val="none" w:sz="0" w:space="0" w:color="auto"/>
        <w:left w:val="none" w:sz="0" w:space="0" w:color="auto"/>
        <w:bottom w:val="none" w:sz="0" w:space="0" w:color="auto"/>
        <w:right w:val="none" w:sz="0" w:space="0" w:color="auto"/>
      </w:divBdr>
    </w:div>
    <w:div w:id="80569117">
      <w:marLeft w:val="0"/>
      <w:marRight w:val="0"/>
      <w:marTop w:val="10"/>
      <w:marBottom w:val="10"/>
      <w:divBdr>
        <w:top w:val="none" w:sz="0" w:space="0" w:color="auto"/>
        <w:left w:val="none" w:sz="0" w:space="0" w:color="auto"/>
        <w:bottom w:val="none" w:sz="0" w:space="0" w:color="auto"/>
        <w:right w:val="none" w:sz="0" w:space="0" w:color="auto"/>
      </w:divBdr>
    </w:div>
    <w:div w:id="94255835">
      <w:marLeft w:val="0"/>
      <w:marRight w:val="720"/>
      <w:marTop w:val="10"/>
      <w:marBottom w:val="10"/>
      <w:divBdr>
        <w:top w:val="none" w:sz="0" w:space="0" w:color="auto"/>
        <w:left w:val="none" w:sz="0" w:space="0" w:color="auto"/>
        <w:bottom w:val="none" w:sz="0" w:space="0" w:color="auto"/>
        <w:right w:val="none" w:sz="0" w:space="0" w:color="auto"/>
      </w:divBdr>
    </w:div>
    <w:div w:id="119616379">
      <w:marLeft w:val="0"/>
      <w:marRight w:val="0"/>
      <w:marTop w:val="10"/>
      <w:marBottom w:val="10"/>
      <w:divBdr>
        <w:top w:val="none" w:sz="0" w:space="0" w:color="auto"/>
        <w:left w:val="none" w:sz="0" w:space="0" w:color="auto"/>
        <w:bottom w:val="none" w:sz="0" w:space="0" w:color="auto"/>
        <w:right w:val="none" w:sz="0" w:space="0" w:color="auto"/>
      </w:divBdr>
    </w:div>
    <w:div w:id="122819746">
      <w:marLeft w:val="0"/>
      <w:marRight w:val="0"/>
      <w:marTop w:val="10"/>
      <w:marBottom w:val="10"/>
      <w:divBdr>
        <w:top w:val="none" w:sz="0" w:space="0" w:color="auto"/>
        <w:left w:val="none" w:sz="0" w:space="0" w:color="auto"/>
        <w:bottom w:val="none" w:sz="0" w:space="0" w:color="auto"/>
        <w:right w:val="none" w:sz="0" w:space="0" w:color="auto"/>
      </w:divBdr>
    </w:div>
    <w:div w:id="164908092">
      <w:marLeft w:val="0"/>
      <w:marRight w:val="720"/>
      <w:marTop w:val="10"/>
      <w:marBottom w:val="10"/>
      <w:divBdr>
        <w:top w:val="none" w:sz="0" w:space="0" w:color="auto"/>
        <w:left w:val="none" w:sz="0" w:space="0" w:color="auto"/>
        <w:bottom w:val="none" w:sz="0" w:space="0" w:color="auto"/>
        <w:right w:val="none" w:sz="0" w:space="0" w:color="auto"/>
      </w:divBdr>
    </w:div>
    <w:div w:id="184488692">
      <w:marLeft w:val="0"/>
      <w:marRight w:val="0"/>
      <w:marTop w:val="10"/>
      <w:marBottom w:val="10"/>
      <w:divBdr>
        <w:top w:val="none" w:sz="0" w:space="0" w:color="auto"/>
        <w:left w:val="none" w:sz="0" w:space="0" w:color="auto"/>
        <w:bottom w:val="none" w:sz="0" w:space="0" w:color="auto"/>
        <w:right w:val="none" w:sz="0" w:space="0" w:color="auto"/>
      </w:divBdr>
    </w:div>
    <w:div w:id="226915516">
      <w:marLeft w:val="0"/>
      <w:marRight w:val="0"/>
      <w:marTop w:val="10"/>
      <w:marBottom w:val="10"/>
      <w:divBdr>
        <w:top w:val="none" w:sz="0" w:space="0" w:color="auto"/>
        <w:left w:val="none" w:sz="0" w:space="0" w:color="auto"/>
        <w:bottom w:val="none" w:sz="0" w:space="0" w:color="auto"/>
        <w:right w:val="none" w:sz="0" w:space="0" w:color="auto"/>
      </w:divBdr>
    </w:div>
    <w:div w:id="354385613">
      <w:marLeft w:val="0"/>
      <w:marRight w:val="0"/>
      <w:marTop w:val="10"/>
      <w:marBottom w:val="10"/>
      <w:divBdr>
        <w:top w:val="none" w:sz="0" w:space="0" w:color="auto"/>
        <w:left w:val="none" w:sz="0" w:space="0" w:color="auto"/>
        <w:bottom w:val="none" w:sz="0" w:space="0" w:color="auto"/>
        <w:right w:val="none" w:sz="0" w:space="0" w:color="auto"/>
      </w:divBdr>
    </w:div>
    <w:div w:id="533270561">
      <w:marLeft w:val="0"/>
      <w:marRight w:val="0"/>
      <w:marTop w:val="10"/>
      <w:marBottom w:val="10"/>
      <w:divBdr>
        <w:top w:val="none" w:sz="0" w:space="0" w:color="auto"/>
        <w:left w:val="none" w:sz="0" w:space="0" w:color="auto"/>
        <w:bottom w:val="none" w:sz="0" w:space="0" w:color="auto"/>
        <w:right w:val="none" w:sz="0" w:space="0" w:color="auto"/>
      </w:divBdr>
    </w:div>
    <w:div w:id="543979484">
      <w:marLeft w:val="0"/>
      <w:marRight w:val="720"/>
      <w:marTop w:val="10"/>
      <w:marBottom w:val="10"/>
      <w:divBdr>
        <w:top w:val="none" w:sz="0" w:space="0" w:color="auto"/>
        <w:left w:val="none" w:sz="0" w:space="0" w:color="auto"/>
        <w:bottom w:val="none" w:sz="0" w:space="0" w:color="auto"/>
        <w:right w:val="none" w:sz="0" w:space="0" w:color="auto"/>
      </w:divBdr>
    </w:div>
    <w:div w:id="552935998">
      <w:marLeft w:val="0"/>
      <w:marRight w:val="0"/>
      <w:marTop w:val="10"/>
      <w:marBottom w:val="10"/>
      <w:divBdr>
        <w:top w:val="none" w:sz="0" w:space="0" w:color="auto"/>
        <w:left w:val="none" w:sz="0" w:space="0" w:color="auto"/>
        <w:bottom w:val="none" w:sz="0" w:space="0" w:color="auto"/>
        <w:right w:val="none" w:sz="0" w:space="0" w:color="auto"/>
      </w:divBdr>
    </w:div>
    <w:div w:id="617223953">
      <w:marLeft w:val="0"/>
      <w:marRight w:val="0"/>
      <w:marTop w:val="10"/>
      <w:marBottom w:val="10"/>
      <w:divBdr>
        <w:top w:val="none" w:sz="0" w:space="0" w:color="auto"/>
        <w:left w:val="none" w:sz="0" w:space="0" w:color="auto"/>
        <w:bottom w:val="none" w:sz="0" w:space="0" w:color="auto"/>
        <w:right w:val="none" w:sz="0" w:space="0" w:color="auto"/>
      </w:divBdr>
    </w:div>
    <w:div w:id="701130307">
      <w:marLeft w:val="0"/>
      <w:marRight w:val="0"/>
      <w:marTop w:val="10"/>
      <w:marBottom w:val="10"/>
      <w:divBdr>
        <w:top w:val="none" w:sz="0" w:space="0" w:color="auto"/>
        <w:left w:val="none" w:sz="0" w:space="0" w:color="auto"/>
        <w:bottom w:val="none" w:sz="0" w:space="0" w:color="auto"/>
        <w:right w:val="none" w:sz="0" w:space="0" w:color="auto"/>
      </w:divBdr>
    </w:div>
    <w:div w:id="707535040">
      <w:marLeft w:val="0"/>
      <w:marRight w:val="0"/>
      <w:marTop w:val="10"/>
      <w:marBottom w:val="10"/>
      <w:divBdr>
        <w:top w:val="none" w:sz="0" w:space="0" w:color="auto"/>
        <w:left w:val="none" w:sz="0" w:space="0" w:color="auto"/>
        <w:bottom w:val="none" w:sz="0" w:space="0" w:color="auto"/>
        <w:right w:val="none" w:sz="0" w:space="0" w:color="auto"/>
      </w:divBdr>
    </w:div>
    <w:div w:id="718093549">
      <w:marLeft w:val="0"/>
      <w:marRight w:val="0"/>
      <w:marTop w:val="10"/>
      <w:marBottom w:val="10"/>
      <w:divBdr>
        <w:top w:val="none" w:sz="0" w:space="0" w:color="auto"/>
        <w:left w:val="none" w:sz="0" w:space="0" w:color="auto"/>
        <w:bottom w:val="none" w:sz="0" w:space="0" w:color="auto"/>
        <w:right w:val="none" w:sz="0" w:space="0" w:color="auto"/>
      </w:divBdr>
    </w:div>
    <w:div w:id="722489107">
      <w:marLeft w:val="0"/>
      <w:marRight w:val="0"/>
      <w:marTop w:val="10"/>
      <w:marBottom w:val="10"/>
      <w:divBdr>
        <w:top w:val="none" w:sz="0" w:space="0" w:color="auto"/>
        <w:left w:val="none" w:sz="0" w:space="0" w:color="auto"/>
        <w:bottom w:val="none" w:sz="0" w:space="0" w:color="auto"/>
        <w:right w:val="none" w:sz="0" w:space="0" w:color="auto"/>
      </w:divBdr>
    </w:div>
    <w:div w:id="768744930">
      <w:marLeft w:val="0"/>
      <w:marRight w:val="0"/>
      <w:marTop w:val="10"/>
      <w:marBottom w:val="10"/>
      <w:divBdr>
        <w:top w:val="none" w:sz="0" w:space="0" w:color="auto"/>
        <w:left w:val="none" w:sz="0" w:space="0" w:color="auto"/>
        <w:bottom w:val="none" w:sz="0" w:space="0" w:color="auto"/>
        <w:right w:val="none" w:sz="0" w:space="0" w:color="auto"/>
      </w:divBdr>
    </w:div>
    <w:div w:id="792018402">
      <w:marLeft w:val="0"/>
      <w:marRight w:val="0"/>
      <w:marTop w:val="10"/>
      <w:marBottom w:val="10"/>
      <w:divBdr>
        <w:top w:val="none" w:sz="0" w:space="0" w:color="auto"/>
        <w:left w:val="none" w:sz="0" w:space="0" w:color="auto"/>
        <w:bottom w:val="none" w:sz="0" w:space="0" w:color="auto"/>
        <w:right w:val="none" w:sz="0" w:space="0" w:color="auto"/>
      </w:divBdr>
    </w:div>
    <w:div w:id="802383941">
      <w:marLeft w:val="0"/>
      <w:marRight w:val="0"/>
      <w:marTop w:val="10"/>
      <w:marBottom w:val="10"/>
      <w:divBdr>
        <w:top w:val="none" w:sz="0" w:space="0" w:color="auto"/>
        <w:left w:val="none" w:sz="0" w:space="0" w:color="auto"/>
        <w:bottom w:val="none" w:sz="0" w:space="0" w:color="auto"/>
        <w:right w:val="none" w:sz="0" w:space="0" w:color="auto"/>
      </w:divBdr>
    </w:div>
    <w:div w:id="850686921">
      <w:marLeft w:val="0"/>
      <w:marRight w:val="0"/>
      <w:marTop w:val="10"/>
      <w:marBottom w:val="10"/>
      <w:divBdr>
        <w:top w:val="none" w:sz="0" w:space="0" w:color="auto"/>
        <w:left w:val="none" w:sz="0" w:space="0" w:color="auto"/>
        <w:bottom w:val="none" w:sz="0" w:space="0" w:color="auto"/>
        <w:right w:val="none" w:sz="0" w:space="0" w:color="auto"/>
      </w:divBdr>
    </w:div>
    <w:div w:id="1004935844">
      <w:marLeft w:val="0"/>
      <w:marRight w:val="0"/>
      <w:marTop w:val="10"/>
      <w:marBottom w:val="10"/>
      <w:divBdr>
        <w:top w:val="none" w:sz="0" w:space="0" w:color="auto"/>
        <w:left w:val="none" w:sz="0" w:space="0" w:color="auto"/>
        <w:bottom w:val="none" w:sz="0" w:space="0" w:color="auto"/>
        <w:right w:val="none" w:sz="0" w:space="0" w:color="auto"/>
      </w:divBdr>
    </w:div>
    <w:div w:id="1026833105">
      <w:marLeft w:val="0"/>
      <w:marRight w:val="0"/>
      <w:marTop w:val="10"/>
      <w:marBottom w:val="10"/>
      <w:divBdr>
        <w:top w:val="none" w:sz="0" w:space="0" w:color="auto"/>
        <w:left w:val="none" w:sz="0" w:space="0" w:color="auto"/>
        <w:bottom w:val="none" w:sz="0" w:space="0" w:color="auto"/>
        <w:right w:val="none" w:sz="0" w:space="0" w:color="auto"/>
      </w:divBdr>
    </w:div>
    <w:div w:id="1143424610">
      <w:marLeft w:val="0"/>
      <w:marRight w:val="0"/>
      <w:marTop w:val="10"/>
      <w:marBottom w:val="10"/>
      <w:divBdr>
        <w:top w:val="none" w:sz="0" w:space="0" w:color="auto"/>
        <w:left w:val="none" w:sz="0" w:space="0" w:color="auto"/>
        <w:bottom w:val="none" w:sz="0" w:space="0" w:color="auto"/>
        <w:right w:val="none" w:sz="0" w:space="0" w:color="auto"/>
      </w:divBdr>
    </w:div>
    <w:div w:id="1144200567">
      <w:marLeft w:val="0"/>
      <w:marRight w:val="0"/>
      <w:marTop w:val="10"/>
      <w:marBottom w:val="10"/>
      <w:divBdr>
        <w:top w:val="none" w:sz="0" w:space="0" w:color="auto"/>
        <w:left w:val="none" w:sz="0" w:space="0" w:color="auto"/>
        <w:bottom w:val="none" w:sz="0" w:space="0" w:color="auto"/>
        <w:right w:val="none" w:sz="0" w:space="0" w:color="auto"/>
      </w:divBdr>
    </w:div>
    <w:div w:id="1152676101">
      <w:marLeft w:val="0"/>
      <w:marRight w:val="0"/>
      <w:marTop w:val="10"/>
      <w:marBottom w:val="10"/>
      <w:divBdr>
        <w:top w:val="none" w:sz="0" w:space="0" w:color="auto"/>
        <w:left w:val="none" w:sz="0" w:space="0" w:color="auto"/>
        <w:bottom w:val="none" w:sz="0" w:space="0" w:color="auto"/>
        <w:right w:val="none" w:sz="0" w:space="0" w:color="auto"/>
      </w:divBdr>
    </w:div>
    <w:div w:id="1161776565">
      <w:marLeft w:val="0"/>
      <w:marRight w:val="0"/>
      <w:marTop w:val="10"/>
      <w:marBottom w:val="10"/>
      <w:divBdr>
        <w:top w:val="none" w:sz="0" w:space="0" w:color="auto"/>
        <w:left w:val="none" w:sz="0" w:space="0" w:color="auto"/>
        <w:bottom w:val="none" w:sz="0" w:space="0" w:color="auto"/>
        <w:right w:val="none" w:sz="0" w:space="0" w:color="auto"/>
      </w:divBdr>
    </w:div>
    <w:div w:id="1187519232">
      <w:marLeft w:val="0"/>
      <w:marRight w:val="0"/>
      <w:marTop w:val="10"/>
      <w:marBottom w:val="10"/>
      <w:divBdr>
        <w:top w:val="none" w:sz="0" w:space="0" w:color="auto"/>
        <w:left w:val="none" w:sz="0" w:space="0" w:color="auto"/>
        <w:bottom w:val="none" w:sz="0" w:space="0" w:color="auto"/>
        <w:right w:val="none" w:sz="0" w:space="0" w:color="auto"/>
      </w:divBdr>
    </w:div>
    <w:div w:id="1222866223">
      <w:marLeft w:val="0"/>
      <w:marRight w:val="0"/>
      <w:marTop w:val="10"/>
      <w:marBottom w:val="10"/>
      <w:divBdr>
        <w:top w:val="none" w:sz="0" w:space="0" w:color="auto"/>
        <w:left w:val="none" w:sz="0" w:space="0" w:color="auto"/>
        <w:bottom w:val="none" w:sz="0" w:space="0" w:color="auto"/>
        <w:right w:val="none" w:sz="0" w:space="0" w:color="auto"/>
      </w:divBdr>
    </w:div>
    <w:div w:id="1235437237">
      <w:marLeft w:val="0"/>
      <w:marRight w:val="720"/>
      <w:marTop w:val="10"/>
      <w:marBottom w:val="10"/>
      <w:divBdr>
        <w:top w:val="none" w:sz="0" w:space="0" w:color="auto"/>
        <w:left w:val="none" w:sz="0" w:space="0" w:color="auto"/>
        <w:bottom w:val="none" w:sz="0" w:space="0" w:color="auto"/>
        <w:right w:val="none" w:sz="0" w:space="0" w:color="auto"/>
      </w:divBdr>
    </w:div>
    <w:div w:id="1461340977">
      <w:marLeft w:val="0"/>
      <w:marRight w:val="720"/>
      <w:marTop w:val="10"/>
      <w:marBottom w:val="10"/>
      <w:divBdr>
        <w:top w:val="none" w:sz="0" w:space="0" w:color="auto"/>
        <w:left w:val="none" w:sz="0" w:space="0" w:color="auto"/>
        <w:bottom w:val="none" w:sz="0" w:space="0" w:color="auto"/>
        <w:right w:val="none" w:sz="0" w:space="0" w:color="auto"/>
      </w:divBdr>
    </w:div>
    <w:div w:id="1469325855">
      <w:marLeft w:val="0"/>
      <w:marRight w:val="0"/>
      <w:marTop w:val="10"/>
      <w:marBottom w:val="10"/>
      <w:divBdr>
        <w:top w:val="none" w:sz="0" w:space="0" w:color="auto"/>
        <w:left w:val="none" w:sz="0" w:space="0" w:color="auto"/>
        <w:bottom w:val="none" w:sz="0" w:space="0" w:color="auto"/>
        <w:right w:val="none" w:sz="0" w:space="0" w:color="auto"/>
      </w:divBdr>
    </w:div>
    <w:div w:id="1520314233">
      <w:marLeft w:val="0"/>
      <w:marRight w:val="0"/>
      <w:marTop w:val="10"/>
      <w:marBottom w:val="10"/>
      <w:divBdr>
        <w:top w:val="none" w:sz="0" w:space="0" w:color="auto"/>
        <w:left w:val="none" w:sz="0" w:space="0" w:color="auto"/>
        <w:bottom w:val="none" w:sz="0" w:space="0" w:color="auto"/>
        <w:right w:val="none" w:sz="0" w:space="0" w:color="auto"/>
      </w:divBdr>
    </w:div>
    <w:div w:id="1525748705">
      <w:marLeft w:val="0"/>
      <w:marRight w:val="0"/>
      <w:marTop w:val="10"/>
      <w:marBottom w:val="10"/>
      <w:divBdr>
        <w:top w:val="none" w:sz="0" w:space="0" w:color="auto"/>
        <w:left w:val="none" w:sz="0" w:space="0" w:color="auto"/>
        <w:bottom w:val="none" w:sz="0" w:space="0" w:color="auto"/>
        <w:right w:val="none" w:sz="0" w:space="0" w:color="auto"/>
      </w:divBdr>
    </w:div>
    <w:div w:id="1645237923">
      <w:marLeft w:val="0"/>
      <w:marRight w:val="0"/>
      <w:marTop w:val="10"/>
      <w:marBottom w:val="10"/>
      <w:divBdr>
        <w:top w:val="none" w:sz="0" w:space="0" w:color="auto"/>
        <w:left w:val="none" w:sz="0" w:space="0" w:color="auto"/>
        <w:bottom w:val="none" w:sz="0" w:space="0" w:color="auto"/>
        <w:right w:val="none" w:sz="0" w:space="0" w:color="auto"/>
      </w:divBdr>
    </w:div>
    <w:div w:id="1685671665">
      <w:marLeft w:val="0"/>
      <w:marRight w:val="0"/>
      <w:marTop w:val="10"/>
      <w:marBottom w:val="10"/>
      <w:divBdr>
        <w:top w:val="none" w:sz="0" w:space="0" w:color="auto"/>
        <w:left w:val="none" w:sz="0" w:space="0" w:color="auto"/>
        <w:bottom w:val="none" w:sz="0" w:space="0" w:color="auto"/>
        <w:right w:val="none" w:sz="0" w:space="0" w:color="auto"/>
      </w:divBdr>
    </w:div>
    <w:div w:id="1902709824">
      <w:marLeft w:val="0"/>
      <w:marRight w:val="0"/>
      <w:marTop w:val="10"/>
      <w:marBottom w:val="10"/>
      <w:divBdr>
        <w:top w:val="none" w:sz="0" w:space="0" w:color="auto"/>
        <w:left w:val="none" w:sz="0" w:space="0" w:color="auto"/>
        <w:bottom w:val="none" w:sz="0" w:space="0" w:color="auto"/>
        <w:right w:val="none" w:sz="0" w:space="0" w:color="auto"/>
      </w:divBdr>
    </w:div>
    <w:div w:id="1907492539">
      <w:marLeft w:val="0"/>
      <w:marRight w:val="0"/>
      <w:marTop w:val="10"/>
      <w:marBottom w:val="10"/>
      <w:divBdr>
        <w:top w:val="none" w:sz="0" w:space="0" w:color="auto"/>
        <w:left w:val="none" w:sz="0" w:space="0" w:color="auto"/>
        <w:bottom w:val="none" w:sz="0" w:space="0" w:color="auto"/>
        <w:right w:val="none" w:sz="0" w:space="0" w:color="auto"/>
      </w:divBdr>
    </w:div>
    <w:div w:id="1956058661">
      <w:marLeft w:val="0"/>
      <w:marRight w:val="0"/>
      <w:marTop w:val="10"/>
      <w:marBottom w:val="10"/>
      <w:divBdr>
        <w:top w:val="none" w:sz="0" w:space="0" w:color="auto"/>
        <w:left w:val="none" w:sz="0" w:space="0" w:color="auto"/>
        <w:bottom w:val="none" w:sz="0" w:space="0" w:color="auto"/>
        <w:right w:val="none" w:sz="0" w:space="0" w:color="auto"/>
      </w:divBdr>
    </w:div>
    <w:div w:id="1967464698">
      <w:marLeft w:val="0"/>
      <w:marRight w:val="0"/>
      <w:marTop w:val="10"/>
      <w:marBottom w:val="10"/>
      <w:divBdr>
        <w:top w:val="none" w:sz="0" w:space="0" w:color="auto"/>
        <w:left w:val="none" w:sz="0" w:space="0" w:color="auto"/>
        <w:bottom w:val="none" w:sz="0" w:space="0" w:color="auto"/>
        <w:right w:val="none" w:sz="0" w:space="0" w:color="auto"/>
      </w:divBdr>
    </w:div>
    <w:div w:id="2027251456">
      <w:marLeft w:val="0"/>
      <w:marRight w:val="0"/>
      <w:marTop w:val="10"/>
      <w:marBottom w:val="10"/>
      <w:divBdr>
        <w:top w:val="none" w:sz="0" w:space="0" w:color="auto"/>
        <w:left w:val="none" w:sz="0" w:space="0" w:color="auto"/>
        <w:bottom w:val="none" w:sz="0" w:space="0" w:color="auto"/>
        <w:right w:val="none" w:sz="0" w:space="0" w:color="auto"/>
      </w:divBdr>
    </w:div>
    <w:div w:id="2030330775">
      <w:marLeft w:val="0"/>
      <w:marRight w:val="0"/>
      <w:marTop w:val="10"/>
      <w:marBottom w:val="10"/>
      <w:divBdr>
        <w:top w:val="none" w:sz="0" w:space="0" w:color="auto"/>
        <w:left w:val="none" w:sz="0" w:space="0" w:color="auto"/>
        <w:bottom w:val="none" w:sz="0" w:space="0" w:color="auto"/>
        <w:right w:val="none" w:sz="0" w:space="0" w:color="auto"/>
      </w:divBdr>
    </w:div>
    <w:div w:id="2046326500">
      <w:marLeft w:val="0"/>
      <w:marRight w:val="0"/>
      <w:marTop w:val="10"/>
      <w:marBottom w:val="10"/>
      <w:divBdr>
        <w:top w:val="none" w:sz="0" w:space="0" w:color="auto"/>
        <w:left w:val="none" w:sz="0" w:space="0" w:color="auto"/>
        <w:bottom w:val="none" w:sz="0" w:space="0" w:color="auto"/>
        <w:right w:val="none" w:sz="0" w:space="0" w:color="auto"/>
      </w:divBdr>
    </w:div>
    <w:div w:id="204643951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